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lang w:eastAsia="es-ES"/>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1F626E98" w14:textId="04C2BB23" w:rsidR="00C04BD7" w:rsidRPr="003E4788" w:rsidRDefault="00C04BD7" w:rsidP="0045225B">
      <w:pPr>
        <w:ind w:left="-709" w:right="-141"/>
        <w:jc w:val="center"/>
        <w:rPr>
          <w:rFonts w:ascii="Roboto Light" w:eastAsia="ヒラギノ角ゴ Pro W3" w:hAnsi="Roboto Light"/>
          <w:color w:val="404040" w:themeColor="text1" w:themeTint="BF"/>
          <w:lang w:val="en-GB"/>
        </w:rPr>
      </w:pPr>
      <w:r w:rsidRPr="003E4788">
        <w:rPr>
          <w:rFonts w:ascii="Roboto" w:eastAsia="ヒラギノ角ゴ Pro W3" w:hAnsi="Roboto"/>
          <w:color w:val="404040" w:themeColor="text1" w:themeTint="BF"/>
          <w:sz w:val="36"/>
          <w:lang w:val="en-GB"/>
        </w:rPr>
        <w:t>M</w:t>
      </w:r>
      <w:r w:rsidR="003E4788">
        <w:rPr>
          <w:rFonts w:ascii="Roboto" w:eastAsia="ヒラギノ角ゴ Pro W3" w:hAnsi="Roboto"/>
          <w:color w:val="404040" w:themeColor="text1" w:themeTint="BF"/>
          <w:sz w:val="36"/>
          <w:lang w:val="en-GB"/>
        </w:rPr>
        <w:t>A</w:t>
      </w:r>
      <w:r w:rsidRPr="003E4788">
        <w:rPr>
          <w:rFonts w:ascii="Roboto" w:eastAsia="ヒラギノ角ゴ Pro W3" w:hAnsi="Roboto"/>
          <w:color w:val="404040" w:themeColor="text1" w:themeTint="BF"/>
          <w:sz w:val="36"/>
          <w:lang w:val="en-GB"/>
        </w:rPr>
        <w:t>STER</w:t>
      </w:r>
      <w:r w:rsidR="003E4788">
        <w:rPr>
          <w:rFonts w:ascii="Roboto" w:eastAsia="ヒラギノ角ゴ Pro W3" w:hAnsi="Roboto"/>
          <w:color w:val="404040" w:themeColor="text1" w:themeTint="BF"/>
          <w:sz w:val="36"/>
          <w:lang w:val="en-GB"/>
        </w:rPr>
        <w:t>’S</w:t>
      </w:r>
      <w:r w:rsidRPr="003E4788">
        <w:rPr>
          <w:rFonts w:ascii="Roboto" w:eastAsia="ヒラギノ角ゴ Pro W3" w:hAnsi="Roboto"/>
          <w:color w:val="404040" w:themeColor="text1" w:themeTint="BF"/>
          <w:sz w:val="36"/>
          <w:lang w:val="en-GB"/>
        </w:rPr>
        <w:t xml:space="preserve"> </w:t>
      </w:r>
      <w:r w:rsidR="003E4788">
        <w:rPr>
          <w:rFonts w:ascii="Roboto" w:eastAsia="ヒラギノ角ゴ Pro W3" w:hAnsi="Roboto"/>
          <w:color w:val="404040" w:themeColor="text1" w:themeTint="BF"/>
          <w:sz w:val="36"/>
          <w:lang w:val="en-GB"/>
        </w:rPr>
        <w:t>IN</w:t>
      </w:r>
      <w:r w:rsidRPr="003E4788">
        <w:rPr>
          <w:rFonts w:ascii="Roboto" w:eastAsia="ヒラギノ角ゴ Pro W3" w:hAnsi="Roboto"/>
          <w:color w:val="404040" w:themeColor="text1" w:themeTint="BF"/>
          <w:sz w:val="36"/>
          <w:lang w:val="en-GB"/>
        </w:rPr>
        <w:t xml:space="preserve"> </w:t>
      </w:r>
      <w:r w:rsidR="0045225B" w:rsidRPr="003E4788">
        <w:rPr>
          <w:rFonts w:ascii="Roboto" w:eastAsia="ヒラギノ角ゴ Pro W3" w:hAnsi="Roboto"/>
          <w:color w:val="404040" w:themeColor="text1" w:themeTint="BF"/>
          <w:sz w:val="36"/>
          <w:lang w:val="en-GB"/>
        </w:rPr>
        <w:t>BIG DATA</w:t>
      </w:r>
    </w:p>
    <w:p w14:paraId="1E39738B"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1D12696D" w14:textId="77777777" w:rsidR="00C04BD7" w:rsidRPr="003E4788" w:rsidRDefault="00C04BD7" w:rsidP="00DB53E3">
      <w:pPr>
        <w:ind w:left="-709" w:right="-141"/>
        <w:jc w:val="both"/>
        <w:rPr>
          <w:rFonts w:ascii="Roboto Light" w:eastAsia="ヒラギノ角ゴ Pro W3" w:hAnsi="Roboto Light"/>
          <w:color w:val="C00000"/>
          <w:lang w:val="en-GB"/>
        </w:rPr>
      </w:pPr>
    </w:p>
    <w:p w14:paraId="66632A7A" w14:textId="4CB74DD4" w:rsidR="00C04BD7" w:rsidRPr="003E4788" w:rsidRDefault="003E4788" w:rsidP="00C04BD7">
      <w:pPr>
        <w:ind w:left="-709" w:right="-141"/>
        <w:jc w:val="center"/>
        <w:rPr>
          <w:rFonts w:ascii="Roboto" w:eastAsia="ヒラギノ角ゴ Pro W3" w:hAnsi="Roboto"/>
          <w:color w:val="BA0C2F"/>
          <w:sz w:val="32"/>
          <w:lang w:val="en-GB"/>
        </w:rPr>
      </w:pPr>
      <w:bookmarkStart w:id="0" w:name="_Hlk11058884"/>
      <w:r w:rsidRPr="003E4788">
        <w:rPr>
          <w:lang w:val="en-GB"/>
        </w:rPr>
        <w:t xml:space="preserve"> </w:t>
      </w:r>
      <w:r w:rsidRPr="003E4788">
        <w:rPr>
          <w:rFonts w:ascii="Roboto" w:eastAsia="ヒラギノ角ゴ Pro W3" w:hAnsi="Roboto"/>
          <w:color w:val="BA0C2F"/>
          <w:sz w:val="56"/>
          <w:lang w:val="en-GB"/>
        </w:rPr>
        <w:t>Predicting Novel Drug Metabolism with Machine Learning: A CYP450-Based Approach</w:t>
      </w:r>
    </w:p>
    <w:bookmarkEnd w:id="0"/>
    <w:p w14:paraId="056166C9"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04B0E60B" w14:textId="77777777" w:rsidR="00D47D90" w:rsidRPr="003E4788" w:rsidRDefault="00D47D90" w:rsidP="00DB53E3">
      <w:pPr>
        <w:ind w:left="-709" w:right="-141"/>
        <w:jc w:val="both"/>
        <w:rPr>
          <w:rFonts w:ascii="Roboto Light" w:eastAsia="ヒラギノ角ゴ Pro W3" w:hAnsi="Roboto Light"/>
          <w:color w:val="404040" w:themeColor="text1" w:themeTint="BF"/>
          <w:lang w:val="en-GB"/>
        </w:rPr>
      </w:pPr>
    </w:p>
    <w:p w14:paraId="1175F03E" w14:textId="77777777" w:rsidR="00114998" w:rsidRPr="003E4788" w:rsidRDefault="00114998" w:rsidP="00DB53E3">
      <w:pPr>
        <w:ind w:left="-709" w:right="-141"/>
        <w:jc w:val="both"/>
        <w:rPr>
          <w:rFonts w:ascii="Roboto Light" w:eastAsia="ヒラギノ角ゴ Pro W3" w:hAnsi="Roboto Light"/>
          <w:color w:val="404040" w:themeColor="text1" w:themeTint="BF"/>
          <w:lang w:val="en-GB"/>
        </w:rPr>
      </w:pPr>
    </w:p>
    <w:p w14:paraId="35B839CD" w14:textId="5D2061A9" w:rsidR="003E4788" w:rsidRPr="003E4788" w:rsidRDefault="003E4788" w:rsidP="003E4788">
      <w:pPr>
        <w:ind w:left="284" w:right="-141"/>
        <w:jc w:val="both"/>
        <w:rPr>
          <w:rFonts w:ascii="Roboto Light" w:eastAsia="ヒラギノ角ゴ Pro W3" w:hAnsi="Roboto Light"/>
          <w:color w:val="404040" w:themeColor="text1" w:themeTint="BF"/>
          <w:sz w:val="32"/>
          <w:lang w:val="en-GB"/>
        </w:rPr>
      </w:pPr>
      <w:r w:rsidRPr="003E4788">
        <w:rPr>
          <w:rFonts w:ascii="Roboto Light" w:eastAsia="ヒラギノ角ゴ Pro W3" w:hAnsi="Roboto Light"/>
          <w:color w:val="404040" w:themeColor="text1" w:themeTint="BF"/>
          <w:sz w:val="32"/>
          <w:lang w:val="en-GB"/>
        </w:rPr>
        <w:t xml:space="preserve">Master's Thesis by: </w:t>
      </w:r>
      <w:r>
        <w:rPr>
          <w:rFonts w:ascii="Roboto Light" w:eastAsia="ヒラギノ角ゴ Pro W3" w:hAnsi="Roboto Light"/>
          <w:color w:val="404040" w:themeColor="text1" w:themeTint="BF"/>
          <w:sz w:val="32"/>
          <w:lang w:val="en-GB"/>
        </w:rPr>
        <w:t>Gonzalo Robles Criado</w:t>
      </w:r>
      <w:r w:rsidRPr="003E4788">
        <w:rPr>
          <w:rFonts w:ascii="Roboto Light" w:eastAsia="ヒラギノ角ゴ Pro W3" w:hAnsi="Roboto Light"/>
          <w:color w:val="404040" w:themeColor="text1" w:themeTint="BF"/>
          <w:sz w:val="32"/>
          <w:lang w:val="en-GB"/>
        </w:rPr>
        <w:t xml:space="preserve">  </w:t>
      </w:r>
    </w:p>
    <w:p w14:paraId="0DC10517" w14:textId="5BDC6900" w:rsidR="00DE7FDA" w:rsidRDefault="003E4788" w:rsidP="003E4788">
      <w:pPr>
        <w:ind w:left="284" w:right="-141"/>
        <w:jc w:val="both"/>
        <w:rPr>
          <w:rFonts w:ascii="Roboto Light" w:eastAsia="ヒラギノ角ゴ Pro W3" w:hAnsi="Roboto Light"/>
          <w:color w:val="404040" w:themeColor="text1" w:themeTint="BF"/>
          <w:sz w:val="32"/>
          <w:lang w:val="es-ES_tradnl"/>
        </w:rPr>
      </w:pPr>
      <w:proofErr w:type="spellStart"/>
      <w:r w:rsidRPr="003E4788">
        <w:rPr>
          <w:rFonts w:ascii="Roboto Light" w:eastAsia="ヒラギノ角ゴ Pro W3" w:hAnsi="Roboto Light"/>
          <w:color w:val="404040" w:themeColor="text1" w:themeTint="BF"/>
          <w:sz w:val="32"/>
          <w:lang w:val="es-ES_tradnl"/>
        </w:rPr>
        <w:t>Thesis</w:t>
      </w:r>
      <w:proofErr w:type="spellEnd"/>
      <w:r w:rsidRPr="003E4788">
        <w:rPr>
          <w:rFonts w:ascii="Roboto Light" w:eastAsia="ヒラギノ角ゴ Pro W3" w:hAnsi="Roboto Light"/>
          <w:color w:val="404040" w:themeColor="text1" w:themeTint="BF"/>
          <w:sz w:val="32"/>
          <w:lang w:val="es-ES_tradnl"/>
        </w:rPr>
        <w:t xml:space="preserve"> Supervisor:</w:t>
      </w:r>
      <w:r>
        <w:rPr>
          <w:rFonts w:ascii="Roboto Light" w:eastAsia="ヒラギノ角ゴ Pro W3" w:hAnsi="Roboto Light"/>
          <w:color w:val="404040" w:themeColor="text1" w:themeTint="BF"/>
          <w:sz w:val="32"/>
          <w:lang w:val="es-ES_tradnl"/>
        </w:rPr>
        <w:t xml:space="preserve"> </w:t>
      </w:r>
      <w:r w:rsidR="0045225B" w:rsidRPr="0045225B">
        <w:rPr>
          <w:rFonts w:ascii="Roboto Light" w:eastAsia="ヒラギノ角ゴ Pro W3" w:hAnsi="Roboto Light"/>
          <w:color w:val="404040" w:themeColor="text1" w:themeTint="BF"/>
          <w:sz w:val="32"/>
          <w:lang w:val="es-ES_tradnl"/>
        </w:rPr>
        <w:t>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5CE02565" w14:textId="77777777" w:rsidR="00F8595F" w:rsidRDefault="00F8595F" w:rsidP="003873F2">
      <w:pPr>
        <w:ind w:right="-141"/>
        <w:jc w:val="both"/>
        <w:rPr>
          <w:rFonts w:ascii="Roboto Light" w:eastAsia="ヒラギノ角ゴ Pro W3" w:hAnsi="Roboto Light"/>
          <w:color w:val="404040" w:themeColor="text1" w:themeTint="BF"/>
          <w:sz w:val="32"/>
          <w:lang w:val="es-ES_tradnl"/>
        </w:rPr>
      </w:pPr>
    </w:p>
    <w:p w14:paraId="1E0783DD"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15A658B"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3F63813"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55B581F8" w:rsidR="00F8595F" w:rsidRDefault="0045225B" w:rsidP="00F8595F">
      <w:pPr>
        <w:ind w:left="-1701" w:right="-1276"/>
        <w:jc w:val="center"/>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w:t>
      </w:r>
      <w:r w:rsid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Madrid, A</w:t>
      </w:r>
      <w:r w:rsidR="003E4788">
        <w:rPr>
          <w:rFonts w:ascii="Roboto Light" w:eastAsia="ヒラギノ角ゴ Pro W3" w:hAnsi="Roboto Light"/>
          <w:color w:val="404040" w:themeColor="text1" w:themeTint="BF"/>
          <w:sz w:val="32"/>
          <w:lang w:val="es-ES_tradnl"/>
        </w:rPr>
        <w:t>ugust</w:t>
      </w:r>
      <w:r>
        <w:rPr>
          <w:rFonts w:ascii="Roboto Light" w:eastAsia="ヒラギノ角ゴ Pro W3" w:hAnsi="Roboto Light"/>
          <w:color w:val="404040" w:themeColor="text1" w:themeTint="BF"/>
          <w:sz w:val="32"/>
          <w:lang w:val="es-ES_tradnl"/>
        </w:rPr>
        <w:t xml:space="preserve"> 2025</w:t>
      </w:r>
      <w:r w:rsidR="00F8595F" w:rsidRP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w:t>
      </w:r>
    </w:p>
    <w:p w14:paraId="0B9F2578"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752409A0"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0FFFE35D" w14:textId="77777777" w:rsidR="0045225B" w:rsidRPr="00C20205" w:rsidRDefault="0045225B" w:rsidP="003E4788">
      <w:pPr>
        <w:rPr>
          <w:rFonts w:cstheme="minorHAnsi"/>
          <w:color w:val="262626"/>
          <w:lang w:eastAsia="en-GB"/>
        </w:rPr>
      </w:pPr>
    </w:p>
    <w:p w14:paraId="408A4199" w14:textId="77777777" w:rsidR="0045225B" w:rsidRPr="00C20205" w:rsidRDefault="0045225B" w:rsidP="003E4788">
      <w:pPr>
        <w:ind w:left="360"/>
        <w:rPr>
          <w:rFonts w:cstheme="minorHAnsi"/>
          <w:color w:val="262626"/>
          <w:lang w:eastAsia="en-GB"/>
        </w:rPr>
      </w:pPr>
    </w:p>
    <w:p w14:paraId="43580CDF" w14:textId="7B07B156" w:rsidR="0045225B" w:rsidRPr="00C20205" w:rsidRDefault="0045225B" w:rsidP="003E4788">
      <w:pPr>
        <w:ind w:left="360"/>
        <w:rPr>
          <w:rFonts w:cstheme="minorHAnsi"/>
          <w:color w:val="262626"/>
          <w:lang w:eastAsia="en-GB"/>
        </w:rPr>
      </w:pPr>
      <w:r w:rsidRPr="00C20205">
        <w:rPr>
          <w:rFonts w:cstheme="minorHAnsi"/>
          <w:color w:val="262626"/>
          <w:lang w:eastAsia="en-GB"/>
        </w:rPr>
        <w:t xml:space="preserve">Resumen o </w:t>
      </w:r>
      <w:proofErr w:type="spellStart"/>
      <w:r w:rsidRPr="00C20205">
        <w:rPr>
          <w:rFonts w:cstheme="minorHAnsi"/>
          <w:color w:val="262626"/>
          <w:lang w:eastAsia="en-GB"/>
        </w:rPr>
        <w:t>abstract</w:t>
      </w:r>
      <w:proofErr w:type="spellEnd"/>
      <w:r w:rsidRPr="00C20205">
        <w:rPr>
          <w:rFonts w:cstheme="minorHAnsi"/>
          <w:color w:val="262626"/>
          <w:lang w:eastAsia="en-GB"/>
        </w:rPr>
        <w:t>.</w:t>
      </w:r>
      <w:r w:rsidRPr="00C20205">
        <w:rPr>
          <w:rFonts w:cstheme="minorHAnsi"/>
          <w:color w:val="262626"/>
          <w:lang w:eastAsia="en-GB"/>
        </w:rPr>
        <w:br/>
        <w:t>Introducción y antecedentes.</w:t>
      </w:r>
      <w:r w:rsidRPr="00C20205">
        <w:rPr>
          <w:rFonts w:cstheme="minorHAnsi"/>
          <w:color w:val="262626"/>
          <w:lang w:eastAsia="en-GB"/>
        </w:rPr>
        <w:br/>
        <w:t>Objetivos del proyecto: se recomienda la fijación de un solo objetivo general, cuya exposición</w:t>
      </w:r>
      <w:r w:rsidRPr="00C20205">
        <w:rPr>
          <w:rFonts w:cstheme="minorHAnsi"/>
          <w:color w:val="262626"/>
          <w:lang w:eastAsia="en-GB"/>
        </w:rPr>
        <w:br/>
        <w:t>debe comenzar con un verbo de acción, infinitivo, que dará respuesta a la pregunta: “¿Qué se</w:t>
      </w:r>
      <w:r w:rsidRPr="00C20205">
        <w:rPr>
          <w:rFonts w:cstheme="minorHAnsi"/>
          <w:color w:val="262626"/>
          <w:lang w:eastAsia="en-GB"/>
        </w:rPr>
        <w:br/>
        <w:t>pretende conseguir con este proyecto?” (Por ejemplo: “Desarroll</w:t>
      </w:r>
      <w:r w:rsidR="008244EF" w:rsidRPr="00C20205">
        <w:rPr>
          <w:rFonts w:cstheme="minorHAnsi"/>
          <w:color w:val="262626"/>
          <w:lang w:eastAsia="en-GB"/>
        </w:rPr>
        <w:t xml:space="preserve">ar una arquitectura </w:t>
      </w:r>
      <w:proofErr w:type="spellStart"/>
      <w:r w:rsidR="008244EF" w:rsidRPr="00C20205">
        <w:rPr>
          <w:rFonts w:cstheme="minorHAnsi"/>
          <w:color w:val="262626"/>
          <w:lang w:eastAsia="en-GB"/>
        </w:rPr>
        <w:t>big</w:t>
      </w:r>
      <w:proofErr w:type="spellEnd"/>
      <w:r w:rsidR="008244EF" w:rsidRPr="00C20205">
        <w:rPr>
          <w:rFonts w:cstheme="minorHAnsi"/>
          <w:color w:val="262626"/>
          <w:lang w:eastAsia="en-GB"/>
        </w:rPr>
        <w:t xml:space="preserve"> data en </w:t>
      </w:r>
      <w:r w:rsidRPr="00C20205">
        <w:rPr>
          <w:rFonts w:cstheme="minorHAnsi"/>
          <w:color w:val="262626"/>
          <w:lang w:eastAsia="en-GB"/>
        </w:rPr>
        <w:t>tiempo real (NRT) para procesar y predecir precios de una acción bursátil”. Una vez establecido</w:t>
      </w:r>
      <w:r w:rsidR="008244EF" w:rsidRPr="00C20205">
        <w:rPr>
          <w:rFonts w:cstheme="minorHAnsi"/>
          <w:color w:val="262626"/>
          <w:lang w:eastAsia="en-GB"/>
        </w:rPr>
        <w:t xml:space="preserve"> </w:t>
      </w:r>
      <w:r w:rsidRPr="00C20205">
        <w:rPr>
          <w:rFonts w:cstheme="minorHAnsi"/>
          <w:color w:val="262626"/>
          <w:lang w:eastAsia="en-GB"/>
        </w:rPr>
        <w:t>el objetivo general, se detallarán los objetivos específicos; estos se derivan del objetivo</w:t>
      </w:r>
      <w:r w:rsidR="008244EF" w:rsidRPr="00C20205">
        <w:rPr>
          <w:rFonts w:cstheme="minorHAnsi"/>
          <w:color w:val="262626"/>
          <w:lang w:eastAsia="en-GB"/>
        </w:rPr>
        <w:t xml:space="preserve"> </w:t>
      </w:r>
      <w:r w:rsidRPr="00C20205">
        <w:rPr>
          <w:rFonts w:cstheme="minorHAnsi"/>
          <w:color w:val="262626"/>
          <w:lang w:eastAsia="en-GB"/>
        </w:rPr>
        <w:t>general, y desarrollan, desglosan y concretan cada una de sus partes principales.</w:t>
      </w:r>
      <w:r w:rsidRPr="00C20205">
        <w:rPr>
          <w:rFonts w:cstheme="minorHAnsi"/>
          <w:color w:val="262626"/>
          <w:lang w:eastAsia="en-GB"/>
        </w:rPr>
        <w:br/>
        <w:t>Material y métodos: si va a emplearse alguna base de datos relacional o no relacional; si se</w:t>
      </w:r>
      <w:r w:rsidRPr="00C20205">
        <w:rPr>
          <w:rFonts w:cstheme="minorHAnsi"/>
          <w:color w:val="262626"/>
          <w:lang w:eastAsia="en-GB"/>
        </w:rPr>
        <w:br/>
        <w:t>utilizará alguna máquina virtual o si el estudiante dispone de alguna cuenta en cualesquiera de</w:t>
      </w:r>
      <w:r w:rsidRPr="00C20205">
        <w:rPr>
          <w:rFonts w:cstheme="minorHAnsi"/>
          <w:color w:val="262626"/>
          <w:lang w:eastAsia="en-GB"/>
        </w:rPr>
        <w:br/>
        <w:t xml:space="preserve">los principales proveedores </w:t>
      </w:r>
      <w:proofErr w:type="spellStart"/>
      <w:r w:rsidRPr="00C20205">
        <w:rPr>
          <w:rFonts w:cstheme="minorHAnsi"/>
          <w:color w:val="262626"/>
          <w:lang w:eastAsia="en-GB"/>
        </w:rPr>
        <w:t>cloud</w:t>
      </w:r>
      <w:proofErr w:type="spellEnd"/>
      <w:r w:rsidRPr="00C20205">
        <w:rPr>
          <w:rFonts w:cstheme="minorHAnsi"/>
          <w:color w:val="262626"/>
          <w:lang w:eastAsia="en-GB"/>
        </w:rPr>
        <w:t xml:space="preserve"> para elaborar y desplegar el proyecto; si se utilizará un</w:t>
      </w:r>
      <w:r w:rsidRPr="00C20205">
        <w:rPr>
          <w:rFonts w:cstheme="minorHAnsi"/>
          <w:color w:val="262626"/>
          <w:lang w:eastAsia="en-GB"/>
        </w:rPr>
        <w:br/>
        <w:t>repositorio para subir y mantener el código fuente del proyecto, o si, por el contrario, todo el</w:t>
      </w:r>
      <w:r w:rsidRPr="00C20205">
        <w:rPr>
          <w:rFonts w:cstheme="minorHAnsi"/>
          <w:color w:val="262626"/>
          <w:lang w:eastAsia="en-GB"/>
        </w:rPr>
        <w:br/>
        <w:t>proyecto se desarrollará en un entorno local en el propio equipo del alumno, etc.</w:t>
      </w:r>
      <w:r w:rsidRPr="00C20205">
        <w:rPr>
          <w:rFonts w:cstheme="minorHAnsi"/>
          <w:color w:val="262626"/>
          <w:lang w:eastAsia="en-GB"/>
        </w:rPr>
        <w:br/>
        <w:t>Resultados: argumentación y desarrollo de todo el trabajo realizado en el TFM; es decir, desde</w:t>
      </w:r>
      <w:r w:rsidRPr="00C20205">
        <w:rPr>
          <w:rFonts w:cstheme="minorHAnsi"/>
          <w:color w:val="262626"/>
          <w:lang w:eastAsia="en-GB"/>
        </w:rPr>
        <w:br/>
        <w:t>la adquisición de fuentes de datos en origen hasta la obtención de resultados.</w:t>
      </w:r>
      <w:r w:rsidRPr="00C20205">
        <w:rPr>
          <w:rFonts w:cstheme="minorHAnsi"/>
          <w:color w:val="262626"/>
          <w:lang w:eastAsia="en-GB"/>
        </w:rPr>
        <w:br/>
        <w:t>Conclusiones.</w:t>
      </w:r>
      <w:r w:rsidRPr="00C20205">
        <w:rPr>
          <w:rFonts w:cstheme="minorHAnsi"/>
          <w:color w:val="262626"/>
          <w:lang w:eastAsia="en-GB"/>
        </w:rPr>
        <w:br/>
        <w:t>Referencias bibliográficas: se redactarán de acuerdo con las normas APA para las referencias</w:t>
      </w:r>
      <w:r w:rsidRPr="00C20205">
        <w:rPr>
          <w:rFonts w:cstheme="minorHAnsi"/>
          <w:color w:val="262626"/>
          <w:lang w:eastAsia="en-GB"/>
        </w:rPr>
        <w:br/>
        <w:t>bibliográficas. Ver las normas APA en el siguiente enlace:</w:t>
      </w:r>
    </w:p>
    <w:p w14:paraId="616D5719" w14:textId="23F28C9F" w:rsidR="0045225B" w:rsidRPr="00C20205" w:rsidRDefault="0045225B" w:rsidP="003E4788">
      <w:pPr>
        <w:ind w:left="360"/>
        <w:rPr>
          <w:rFonts w:cstheme="minorHAnsi"/>
          <w:color w:val="262626"/>
          <w:lang w:eastAsia="en-GB"/>
        </w:rPr>
      </w:pPr>
      <w:r w:rsidRPr="00C20205">
        <w:rPr>
          <w:rFonts w:cstheme="minorHAnsi"/>
          <w:color w:val="262626"/>
          <w:lang w:eastAsia="en-GB"/>
        </w:rPr>
        <w:t>Anexos.</w:t>
      </w:r>
    </w:p>
    <w:p w14:paraId="26781B90" w14:textId="77777777" w:rsidR="0045225B" w:rsidRPr="00C20205" w:rsidRDefault="0045225B" w:rsidP="003E4788">
      <w:pPr>
        <w:ind w:left="360"/>
        <w:rPr>
          <w:rFonts w:cstheme="minorHAnsi"/>
          <w:color w:val="262626"/>
          <w:lang w:eastAsia="en-GB"/>
        </w:rPr>
      </w:pPr>
    </w:p>
    <w:p w14:paraId="6B84754A" w14:textId="77777777" w:rsidR="00CD779A" w:rsidRPr="00067F24" w:rsidRDefault="0045225B" w:rsidP="00964CF8">
      <w:pPr>
        <w:ind w:left="360"/>
        <w:rPr>
          <w:rFonts w:cstheme="minorHAnsi"/>
          <w:color w:val="262626"/>
          <w:lang w:eastAsia="en-GB"/>
        </w:rPr>
        <w:sectPr w:rsidR="00CD779A" w:rsidRPr="00067F24" w:rsidSect="00CD779A">
          <w:footerReference w:type="default" r:id="rId11"/>
          <w:footerReference w:type="first" r:id="rId12"/>
          <w:pgSz w:w="11906" w:h="16838" w:code="9"/>
          <w:pgMar w:top="-1985" w:right="1276" w:bottom="993" w:left="1701" w:header="709" w:footer="439" w:gutter="0"/>
          <w:cols w:space="708"/>
          <w:docGrid w:linePitch="360"/>
        </w:sectPr>
      </w:pPr>
      <w:r w:rsidRPr="00C20205">
        <w:rPr>
          <w:rFonts w:cstheme="minorHAnsi"/>
          <w:color w:val="262626"/>
          <w:lang w:eastAsia="en-GB"/>
        </w:rPr>
        <w:t>Portada.</w:t>
      </w:r>
      <w:r w:rsidRPr="00C20205">
        <w:rPr>
          <w:rFonts w:cstheme="minorHAnsi"/>
          <w:color w:val="262626"/>
          <w:lang w:eastAsia="en-GB"/>
        </w:rPr>
        <w:br/>
        <w:t xml:space="preserve">2. Resumen, </w:t>
      </w:r>
      <w:proofErr w:type="spellStart"/>
      <w:r w:rsidRPr="00C20205">
        <w:rPr>
          <w:rFonts w:cstheme="minorHAnsi"/>
          <w:color w:val="262626"/>
          <w:lang w:eastAsia="en-GB"/>
        </w:rPr>
        <w:t>abstract</w:t>
      </w:r>
      <w:proofErr w:type="spellEnd"/>
      <w:r w:rsidRPr="00C20205">
        <w:rPr>
          <w:rFonts w:cstheme="minorHAnsi"/>
          <w:color w:val="262626"/>
          <w:lang w:eastAsia="en-GB"/>
        </w:rPr>
        <w:t>.</w:t>
      </w:r>
      <w:r w:rsidRPr="00C20205">
        <w:rPr>
          <w:rFonts w:cstheme="minorHAnsi"/>
          <w:color w:val="262626"/>
          <w:lang w:eastAsia="en-GB"/>
        </w:rPr>
        <w:br/>
        <w:t>3. Introducción y antecedentes.</w:t>
      </w:r>
      <w:r w:rsidRPr="00C20205">
        <w:rPr>
          <w:rFonts w:cstheme="minorHAnsi"/>
          <w:color w:val="262626"/>
          <w:lang w:eastAsia="en-GB"/>
        </w:rPr>
        <w:br/>
        <w:t>4. Objetivos del proyecto.</w:t>
      </w:r>
      <w:r w:rsidRPr="00C20205">
        <w:rPr>
          <w:rFonts w:cstheme="minorHAnsi"/>
          <w:color w:val="262626"/>
          <w:lang w:eastAsia="en-GB"/>
        </w:rPr>
        <w:br/>
        <w:t>5. Material y métodos.</w:t>
      </w:r>
      <w:r w:rsidRPr="00C20205">
        <w:rPr>
          <w:rFonts w:cstheme="minorHAnsi"/>
          <w:color w:val="262626"/>
          <w:lang w:eastAsia="en-GB"/>
        </w:rPr>
        <w:br/>
        <w:t>6. Resultados:</w:t>
      </w:r>
      <w:r w:rsidRPr="00C20205">
        <w:rPr>
          <w:rFonts w:cstheme="minorHAnsi"/>
          <w:color w:val="262626"/>
          <w:lang w:eastAsia="en-GB"/>
        </w:rPr>
        <w:br/>
        <w:t xml:space="preserve">a. Adquisición de fuentes de datos (por ejemplo, múltiples ficheros de una competición </w:t>
      </w:r>
      <w:proofErr w:type="spellStart"/>
      <w:r w:rsidRPr="00C20205">
        <w:rPr>
          <w:rFonts w:cstheme="minorHAnsi"/>
          <w:color w:val="262626"/>
          <w:lang w:eastAsia="en-GB"/>
        </w:rPr>
        <w:t>Kaggle</w:t>
      </w:r>
      <w:proofErr w:type="spellEnd"/>
      <w:r w:rsidRPr="00C20205">
        <w:rPr>
          <w:rFonts w:cstheme="minorHAnsi"/>
          <w:color w:val="262626"/>
          <w:lang w:eastAsia="en-GB"/>
        </w:rPr>
        <w:t>).</w:t>
      </w:r>
      <w:r w:rsidRPr="00C20205">
        <w:rPr>
          <w:rFonts w:cstheme="minorHAnsi"/>
          <w:color w:val="262626"/>
          <w:lang w:eastAsia="en-GB"/>
        </w:rPr>
        <w:br/>
        <w:t>b. Descripción de fuentes de datos.</w:t>
      </w:r>
      <w:r w:rsidRPr="00C20205">
        <w:rPr>
          <w:rFonts w:cstheme="minorHAnsi"/>
          <w:color w:val="262626"/>
          <w:lang w:eastAsia="en-GB"/>
        </w:rPr>
        <w:br/>
        <w:t>c. Análisis exploratorio de datos, EDA (muy recomendable al finalizar este epígrafe incluir</w:t>
      </w:r>
      <w:r w:rsidRPr="00C20205">
        <w:rPr>
          <w:rFonts w:cstheme="minorHAnsi"/>
          <w:color w:val="262626"/>
          <w:lang w:eastAsia="en-GB"/>
        </w:rPr>
        <w:br/>
        <w:t>conclusiones más relevantes sobre el EDA).</w:t>
      </w:r>
      <w:r w:rsidRPr="00C20205">
        <w:rPr>
          <w:rFonts w:cstheme="minorHAnsi"/>
          <w:color w:val="262626"/>
          <w:lang w:eastAsia="en-GB"/>
        </w:rPr>
        <w:br/>
        <w:t>d. Preprocesado de datos (transformación, estandarización de variables, aplicación de pruebas</w:t>
      </w:r>
      <w:r w:rsidRPr="00C20205">
        <w:rPr>
          <w:rFonts w:cstheme="minorHAnsi"/>
          <w:color w:val="262626"/>
          <w:lang w:eastAsia="en-GB"/>
        </w:rPr>
        <w:br/>
        <w:t>de hipótesis estadísticas, etc.).</w:t>
      </w:r>
      <w:r w:rsidRPr="00C20205">
        <w:rPr>
          <w:rFonts w:cstheme="minorHAnsi"/>
          <w:color w:val="262626"/>
          <w:lang w:eastAsia="en-GB"/>
        </w:rPr>
        <w:br/>
        <w:t>e. Selección de variables.</w:t>
      </w:r>
      <w:r w:rsidRPr="00C20205">
        <w:rPr>
          <w:rFonts w:cstheme="minorHAnsi"/>
          <w:color w:val="262626"/>
          <w:lang w:eastAsia="en-GB"/>
        </w:rPr>
        <w:br/>
        <w:t xml:space="preserve">f. Partición de los datos en conjuntos </w:t>
      </w:r>
      <w:proofErr w:type="spellStart"/>
      <w:r w:rsidRPr="00C20205">
        <w:rPr>
          <w:rFonts w:cstheme="minorHAnsi"/>
          <w:color w:val="262626"/>
          <w:lang w:eastAsia="en-GB"/>
        </w:rPr>
        <w:t>train</w:t>
      </w:r>
      <w:proofErr w:type="spellEnd"/>
      <w:r w:rsidRPr="00C20205">
        <w:rPr>
          <w:rFonts w:cstheme="minorHAnsi"/>
          <w:color w:val="262626"/>
          <w:lang w:eastAsia="en-GB"/>
        </w:rPr>
        <w:t>/test.</w:t>
      </w:r>
      <w:r w:rsidRPr="00C20205">
        <w:rPr>
          <w:rFonts w:cstheme="minorHAnsi"/>
          <w:color w:val="262626"/>
          <w:lang w:eastAsia="en-GB"/>
        </w:rPr>
        <w:br/>
        <w:t>g. Aplicación de modelos de aprendizaje automático.</w:t>
      </w:r>
      <w:r w:rsidRPr="00C20205">
        <w:rPr>
          <w:rFonts w:cstheme="minorHAnsi"/>
          <w:color w:val="262626"/>
          <w:lang w:eastAsia="en-GB"/>
        </w:rPr>
        <w:br/>
        <w:t>h. Evaluación y validación de modelos de aprendizaje automático.</w:t>
      </w:r>
      <w:r w:rsidRPr="00C20205">
        <w:rPr>
          <w:rFonts w:cstheme="minorHAnsi"/>
          <w:color w:val="262626"/>
          <w:lang w:eastAsia="en-GB"/>
        </w:rPr>
        <w:br/>
        <w:t>i. Comparativa de resultados.</w:t>
      </w:r>
      <w:r w:rsidRPr="00C20205">
        <w:rPr>
          <w:rFonts w:cstheme="minorHAnsi"/>
          <w:color w:val="262626"/>
          <w:lang w:eastAsia="en-GB"/>
        </w:rPr>
        <w:br/>
      </w:r>
      <w:r w:rsidRPr="00067F24">
        <w:rPr>
          <w:rFonts w:cstheme="minorHAnsi"/>
          <w:color w:val="262626"/>
          <w:lang w:eastAsia="en-GB"/>
        </w:rPr>
        <w:t>7. Conclusiones.</w:t>
      </w:r>
      <w:r w:rsidRPr="00067F24">
        <w:rPr>
          <w:rFonts w:cstheme="minorHAnsi"/>
          <w:color w:val="262626"/>
          <w:lang w:eastAsia="en-GB"/>
        </w:rPr>
        <w:br/>
        <w:t>8. Referencias bibliográficas.</w:t>
      </w:r>
      <w:r w:rsidRPr="00067F24">
        <w:rPr>
          <w:rFonts w:cstheme="minorHAnsi"/>
          <w:color w:val="262626"/>
          <w:lang w:eastAsia="en-GB"/>
        </w:rPr>
        <w:br/>
        <w:t>9. Anexos.</w:t>
      </w:r>
    </w:p>
    <w:p w14:paraId="274C3BF9" w14:textId="2DF31054" w:rsidR="003E4788" w:rsidRDefault="003E4788" w:rsidP="00D767EB">
      <w:pPr>
        <w:pStyle w:val="Heading1"/>
        <w:jc w:val="both"/>
        <w:rPr>
          <w:lang w:val="en-GB" w:eastAsia="en-GB"/>
        </w:rPr>
      </w:pPr>
      <w:r>
        <w:rPr>
          <w:lang w:val="en-GB" w:eastAsia="en-GB"/>
        </w:rPr>
        <w:lastRenderedPageBreak/>
        <w:t>Abstract</w:t>
      </w:r>
    </w:p>
    <w:p w14:paraId="4E241BC9" w14:textId="0ADF121F" w:rsidR="003E4788" w:rsidRDefault="003E4788" w:rsidP="00D767EB">
      <w:pPr>
        <w:jc w:val="both"/>
        <w:rPr>
          <w:lang w:val="en-GB" w:eastAsia="en-GB"/>
        </w:rPr>
      </w:pPr>
      <w:proofErr w:type="spellStart"/>
      <w:r>
        <w:rPr>
          <w:lang w:val="en-GB" w:eastAsia="en-GB"/>
        </w:rPr>
        <w:t>Xxx</w:t>
      </w:r>
      <w:proofErr w:type="spellEnd"/>
    </w:p>
    <w:p w14:paraId="711B0857" w14:textId="24766542" w:rsidR="003E4788" w:rsidRPr="003E4788" w:rsidRDefault="005F33DB" w:rsidP="00D767EB">
      <w:pPr>
        <w:pStyle w:val="Heading1"/>
        <w:jc w:val="both"/>
        <w:rPr>
          <w:lang w:val="en-GB" w:eastAsia="en-GB"/>
        </w:rPr>
      </w:pPr>
      <w:proofErr w:type="spellStart"/>
      <w:r>
        <w:rPr>
          <w:lang w:val="en-GB" w:eastAsia="en-GB"/>
        </w:rPr>
        <w:t>Resu</w:t>
      </w:r>
      <w:r w:rsidR="003E4788">
        <w:rPr>
          <w:lang w:val="en-GB" w:eastAsia="en-GB"/>
        </w:rPr>
        <w:t>men</w:t>
      </w:r>
      <w:proofErr w:type="spellEnd"/>
    </w:p>
    <w:p w14:paraId="514F3EEA" w14:textId="401FE700" w:rsidR="003E4788" w:rsidRDefault="003E4788" w:rsidP="00D767EB">
      <w:pPr>
        <w:jc w:val="both"/>
        <w:rPr>
          <w:lang w:val="en-GB" w:eastAsia="en-GB"/>
        </w:rPr>
      </w:pPr>
      <w:proofErr w:type="spellStart"/>
      <w:r w:rsidRPr="0076241E">
        <w:rPr>
          <w:lang w:val="en-GB" w:eastAsia="en-GB"/>
        </w:rPr>
        <w:t>Xxx</w:t>
      </w:r>
      <w:proofErr w:type="spellEnd"/>
      <w:r w:rsidRPr="0076241E">
        <w:rPr>
          <w:lang w:val="en-GB" w:eastAsia="en-GB"/>
        </w:rPr>
        <w:t xml:space="preserve"> </w:t>
      </w:r>
      <w:proofErr w:type="spellStart"/>
      <w:r w:rsidRPr="0076241E">
        <w:rPr>
          <w:lang w:val="en-GB" w:eastAsia="en-GB"/>
        </w:rPr>
        <w:t>español</w:t>
      </w:r>
      <w:proofErr w:type="spellEnd"/>
    </w:p>
    <w:p w14:paraId="0CA30B99" w14:textId="7ACDA2EE" w:rsidR="005F33DB" w:rsidRDefault="005F33DB" w:rsidP="005F33DB">
      <w:pPr>
        <w:pStyle w:val="Heading1"/>
        <w:rPr>
          <w:lang w:val="en-GB" w:eastAsia="en-GB"/>
        </w:rPr>
      </w:pPr>
      <w:r>
        <w:rPr>
          <w:lang w:val="en-GB" w:eastAsia="en-GB"/>
        </w:rPr>
        <w:t>Table of contents</w:t>
      </w:r>
    </w:p>
    <w:p w14:paraId="3DF08B55" w14:textId="1DEB6C3C" w:rsidR="005F33DB" w:rsidRDefault="00067F24" w:rsidP="005F33DB">
      <w:pPr>
        <w:rPr>
          <w:lang w:val="en-GB" w:eastAsia="en-GB"/>
        </w:rPr>
      </w:pPr>
      <w:r>
        <w:rPr>
          <w:lang w:val="en-GB" w:eastAsia="en-GB"/>
        </w:rPr>
        <w:t>I</w:t>
      </w:r>
      <w:r w:rsidR="005F33DB">
        <w:rPr>
          <w:lang w:val="en-GB" w:eastAsia="en-GB"/>
        </w:rPr>
        <w:t>ndex</w:t>
      </w:r>
    </w:p>
    <w:p w14:paraId="06C940B8" w14:textId="2017CBEB" w:rsidR="00067F24" w:rsidRDefault="00067F24" w:rsidP="005F33DB">
      <w:pPr>
        <w:rPr>
          <w:lang w:val="en-GB" w:eastAsia="en-GB"/>
        </w:rPr>
      </w:pPr>
      <w:r>
        <w:rPr>
          <w:lang w:val="en-GB" w:eastAsia="en-GB"/>
        </w:rPr>
        <w:t>¿¿abbreviations?</w:t>
      </w:r>
    </w:p>
    <w:p w14:paraId="55230A5C" w14:textId="67F73FCE" w:rsidR="00067F24" w:rsidRDefault="00067F24" w:rsidP="005F33DB">
      <w:pPr>
        <w:rPr>
          <w:lang w:val="en-GB" w:eastAsia="en-GB"/>
        </w:rPr>
      </w:pPr>
      <w:proofErr w:type="spellStart"/>
      <w:r>
        <w:rPr>
          <w:lang w:val="en-GB" w:eastAsia="en-GB"/>
        </w:rPr>
        <w:t>Dataframe</w:t>
      </w:r>
      <w:proofErr w:type="spellEnd"/>
      <w:r>
        <w:rPr>
          <w:lang w:val="en-GB" w:eastAsia="en-GB"/>
        </w:rPr>
        <w:t xml:space="preserve">: </w:t>
      </w:r>
      <w:proofErr w:type="spellStart"/>
      <w:r>
        <w:rPr>
          <w:lang w:val="en-GB" w:eastAsia="en-GB"/>
        </w:rPr>
        <w:t>df</w:t>
      </w:r>
      <w:proofErr w:type="spellEnd"/>
    </w:p>
    <w:p w14:paraId="28A4CC57" w14:textId="3F3CFEEF" w:rsidR="00067F24" w:rsidRPr="005F33DB" w:rsidRDefault="00067F24" w:rsidP="005F33DB">
      <w:pPr>
        <w:rPr>
          <w:lang w:val="en-GB" w:eastAsia="en-GB"/>
        </w:rPr>
      </w:pPr>
      <w:r>
        <w:rPr>
          <w:lang w:val="en-GB" w:eastAsia="en-GB"/>
        </w:rPr>
        <w:t>Cytochrome p450: CYP450</w:t>
      </w:r>
    </w:p>
    <w:p w14:paraId="2657B225" w14:textId="2DC228C6" w:rsidR="003E4788" w:rsidRPr="003E4788" w:rsidRDefault="003E4788" w:rsidP="00D767EB">
      <w:pPr>
        <w:pStyle w:val="Heading1"/>
        <w:jc w:val="both"/>
        <w:rPr>
          <w:lang w:val="en-GB" w:eastAsia="en-GB"/>
        </w:rPr>
      </w:pPr>
      <w:r>
        <w:rPr>
          <w:lang w:val="en-GB" w:eastAsia="en-GB"/>
        </w:rPr>
        <w:t xml:space="preserve">Introduction </w:t>
      </w:r>
    </w:p>
    <w:p w14:paraId="3DD810E4" w14:textId="77777777" w:rsidR="00BA3391" w:rsidRPr="00BA3391" w:rsidRDefault="00BA3391" w:rsidP="00D767EB">
      <w:pPr>
        <w:jc w:val="both"/>
        <w:rPr>
          <w:lang w:val="en-GB" w:eastAsia="en-GB"/>
        </w:rPr>
      </w:pPr>
      <w:r w:rsidRPr="00BA3391">
        <w:rPr>
          <w:lang w:val="en-GB" w:eastAsia="en-GB"/>
        </w:rPr>
        <w:t>The development of new drugs is a long, complex, and costly process, where safety and efficacy must be carefully evaluated before clinical use. Drug metabolism plays a central role in this evaluation, influencing both the appropriate dosage (how much of a drug should be administered and how often) and potential adverse effects. How quickly and efficiently a compound is broken down and eliminated from the body directly affects its therapeutic effect, risk of toxicity, and interactions with other drugs.</w:t>
      </w:r>
    </w:p>
    <w:p w14:paraId="250CC130" w14:textId="1B309442" w:rsidR="00BA3391" w:rsidRPr="00BA3391" w:rsidRDefault="00BA3391" w:rsidP="00D767EB">
      <w:pPr>
        <w:jc w:val="both"/>
        <w:rPr>
          <w:lang w:val="en-GB" w:eastAsia="en-GB"/>
        </w:rPr>
      </w:pPr>
      <w:r w:rsidRPr="00BA3391">
        <w:rPr>
          <w:lang w:val="en-GB" w:eastAsia="en-GB"/>
        </w:rPr>
        <w:t xml:space="preserve">A key family of enzymes responsible for drug metabolism is the cytochrome P450 (CYP450) superfamily, which processes the majority of marketed drugs. Identifying which CYP450 isoenzymes (i.e., subtypes) are involved in the metabolism of a new molecule is critical, as it can reveal potential </w:t>
      </w:r>
      <w:r w:rsidR="00096FCC">
        <w:rPr>
          <w:lang w:val="en-GB" w:eastAsia="en-GB"/>
        </w:rPr>
        <w:t>issues in the clinical stage</w:t>
      </w:r>
      <w:r w:rsidRPr="00BA3391">
        <w:rPr>
          <w:lang w:val="en-GB" w:eastAsia="en-GB"/>
        </w:rPr>
        <w:t>. However, this characterization is typically performed only in late preclinical or even clinical stages, when laboratory assays and in vivo studies become feasible. At these advanced stages, uncovering metabolism-related issues can lead to costly setbacks or even termination of a drug candidate, as redesigning its structure is often no longer practical. In early discovery, where many compounds are screened, routine experimental testing of CYP450 metabolism is rarely performed due to high costs, leaving potential issues undetected until very late in development.</w:t>
      </w:r>
    </w:p>
    <w:p w14:paraId="755C176A" w14:textId="0F9D780A" w:rsidR="00BA3391" w:rsidRPr="00BA3391" w:rsidRDefault="00BA3391" w:rsidP="00D767EB">
      <w:pPr>
        <w:jc w:val="both"/>
        <w:rPr>
          <w:lang w:val="en-GB" w:eastAsia="en-GB"/>
        </w:rPr>
      </w:pPr>
      <w:r w:rsidRPr="00BA3391">
        <w:rPr>
          <w:lang w:val="en-GB" w:eastAsia="en-GB"/>
        </w:rPr>
        <w:t>Experimental systems such as liver microsomes and primary hepatocytes are widely used to study drug metabolism, yet each has significant trade-offs. Microsomes enable relatively inexpensive, high-throughput testing, but offer only partial insights into a molecule’s metabolic profile. In contrast, primary hepatocytes provide a more complete and physiologically relevant picture, but they are far more expensive, challenging to handle, and unsuitable for testing large libraries of early candidates. As a result, detailed metabolic studies are often delayed. This challenge highlights the need for computational tools capable of predicting key metabolic behaviours early, complementing traditional experiments while reducing risk and cost.</w:t>
      </w:r>
    </w:p>
    <w:p w14:paraId="68FB3A90" w14:textId="4C896526" w:rsidR="00BA3391" w:rsidRPr="00BA3391" w:rsidRDefault="00BA3391" w:rsidP="00D767EB">
      <w:pPr>
        <w:jc w:val="both"/>
        <w:rPr>
          <w:lang w:val="en-GB" w:eastAsia="en-GB"/>
        </w:rPr>
      </w:pPr>
      <w:r w:rsidRPr="00BA3391">
        <w:rPr>
          <w:lang w:val="en-GB" w:eastAsia="en-GB"/>
        </w:rPr>
        <w:lastRenderedPageBreak/>
        <w:t xml:space="preserve">The growing availability of high-quality biochemical databases, such as </w:t>
      </w:r>
      <w:proofErr w:type="spellStart"/>
      <w:r w:rsidRPr="00BA3391">
        <w:rPr>
          <w:lang w:val="en-GB" w:eastAsia="en-GB"/>
        </w:rPr>
        <w:t>ChEMBL</w:t>
      </w:r>
      <w:proofErr w:type="spellEnd"/>
      <w:r w:rsidRPr="00BA3391">
        <w:rPr>
          <w:lang w:val="en-GB" w:eastAsia="en-GB"/>
        </w:rPr>
        <w:t xml:space="preserve"> and </w:t>
      </w:r>
      <w:proofErr w:type="spellStart"/>
      <w:r w:rsidRPr="00BA3391">
        <w:rPr>
          <w:lang w:val="en-GB" w:eastAsia="en-GB"/>
        </w:rPr>
        <w:t>DrugBank</w:t>
      </w:r>
      <w:proofErr w:type="spellEnd"/>
      <w:r w:rsidRPr="00BA3391">
        <w:rPr>
          <w:lang w:val="en-GB" w:eastAsia="en-GB"/>
        </w:rPr>
        <w:t>, is helping to bridge this gap. These resources compile extensive information on molecular structures and their known metabolic properties, providing a valuable foundation for predictive modelling. By leveraging this data, machine-learning algorithms can anticipate metabolic behaviour much earlier in the discovery process, offering insights that would otherwise require time-intensive and costly experiments.</w:t>
      </w:r>
    </w:p>
    <w:p w14:paraId="6A39535B" w14:textId="28D9F6C5" w:rsidR="00BA3391" w:rsidRDefault="00BA3391" w:rsidP="00D767EB">
      <w:pPr>
        <w:jc w:val="both"/>
        <w:rPr>
          <w:lang w:val="en-GB" w:eastAsia="en-GB"/>
        </w:rPr>
      </w:pPr>
      <w:r w:rsidRPr="00BA3391">
        <w:rPr>
          <w:lang w:val="en-GB" w:eastAsia="en-GB"/>
        </w:rPr>
        <w:t>This project aims to apply data science and machine learning techniques to predict the metabolism of new drug-like molecules, with a focus on classifying them according to the CYP450 isoenzymes most likely to metabolize them. By training models on curated molecular structure data and publicly available annotations, this work seeks to provide pharmaceutical chemists with a computational tool for evaluating molecular variations and identifying potential metabolic risks early, ultimately improving the likelihood of advancing promising drug candidates to market authorization.</w:t>
      </w:r>
    </w:p>
    <w:p w14:paraId="7FD90C62" w14:textId="2E38658C" w:rsidR="00CD779A" w:rsidRDefault="0035442B" w:rsidP="00D767EB">
      <w:pPr>
        <w:pStyle w:val="Heading1"/>
        <w:jc w:val="both"/>
        <w:rPr>
          <w:lang w:val="en-GB" w:eastAsia="en-GB"/>
        </w:rPr>
      </w:pPr>
      <w:r>
        <w:rPr>
          <w:lang w:val="en-GB" w:eastAsia="en-GB"/>
        </w:rPr>
        <w:t>STATE OF THE ART</w:t>
      </w:r>
    </w:p>
    <w:p w14:paraId="73011ABA" w14:textId="7CB111AF" w:rsidR="007D4602" w:rsidRPr="00C20205" w:rsidRDefault="00C918C2" w:rsidP="00D767EB">
      <w:pPr>
        <w:jc w:val="both"/>
        <w:rPr>
          <w:b/>
          <w:lang w:val="en-GB"/>
        </w:rPr>
      </w:pPr>
      <w:r>
        <w:rPr>
          <w:lang w:val="en-GB" w:eastAsia="en-GB"/>
        </w:rPr>
        <w:t xml:space="preserve">As previously introduced, the importance of the correct characterization of the metabolic profile of a clinical candidate </w:t>
      </w:r>
      <w:r w:rsidR="007D4602">
        <w:rPr>
          <w:lang w:val="en-GB" w:eastAsia="en-GB"/>
        </w:rPr>
        <w:t>cannot</w:t>
      </w:r>
      <w:r>
        <w:rPr>
          <w:lang w:val="en-GB" w:eastAsia="en-GB"/>
        </w:rPr>
        <w:t xml:space="preserve"> be understated. </w:t>
      </w:r>
      <w:r w:rsidR="007D4602">
        <w:rPr>
          <w:lang w:val="en-GB" w:eastAsia="en-GB"/>
        </w:rPr>
        <w:t>T</w:t>
      </w:r>
      <w:r w:rsidR="007D4602" w:rsidRPr="00585443">
        <w:rPr>
          <w:lang w:val="en-GB" w:eastAsia="en-GB"/>
        </w:rPr>
        <w:t>he most physiologically relevant system available for studying human drug metabolism is the use of primary hepatocytes—liver cells that retain the full complement of metabolic enzymes and cofactors found in vivo. These cells allow researchers to observe both major classes of metabolic reactions: Phase I, which generally involves functionalization of the drug (e.g., oxidation, reduction, or hydrolysis), and Phase II, which involves conjugation reactions that increase the molecule’s solubility</w:t>
      </w:r>
      <w:r w:rsidR="00585443">
        <w:rPr>
          <w:lang w:val="en-GB" w:eastAsia="en-GB"/>
        </w:rPr>
        <w:t xml:space="preserve"> and mass</w:t>
      </w:r>
      <w:r w:rsidR="007D4602" w:rsidRPr="00585443">
        <w:rPr>
          <w:lang w:val="en-GB" w:eastAsia="en-GB"/>
        </w:rPr>
        <w:t xml:space="preserve"> for excretion. Together, these phases represent the natural sequence of </w:t>
      </w:r>
      <w:proofErr w:type="spellStart"/>
      <w:r w:rsidR="007D4602" w:rsidRPr="00585443">
        <w:rPr>
          <w:lang w:val="en-GB" w:eastAsia="en-GB"/>
        </w:rPr>
        <w:t>biotransformations</w:t>
      </w:r>
      <w:proofErr w:type="spellEnd"/>
      <w:r w:rsidR="007D4602" w:rsidRPr="00585443">
        <w:rPr>
          <w:lang w:val="en-GB" w:eastAsia="en-GB"/>
        </w:rPr>
        <w:t xml:space="preserve"> a compound undergoes, and hepatocytes are capable of capturing both, providing an overall view of the metabolic fate of a drug candidate.</w:t>
      </w:r>
    </w:p>
    <w:p w14:paraId="14729C51" w14:textId="05D87B83" w:rsidR="00242378" w:rsidRDefault="00242378" w:rsidP="00D767EB">
      <w:pPr>
        <w:jc w:val="both"/>
        <w:rPr>
          <w:b/>
        </w:rPr>
      </w:pPr>
      <w:r>
        <w:rPr>
          <w:b/>
        </w:rPr>
        <w:t>AÑADIR DIAGRAMA EJEMPLIFICANDO FASE I Y II DENTRO DEL HEPATOCITO</w:t>
      </w:r>
    </w:p>
    <w:p w14:paraId="725C1808" w14:textId="77777777" w:rsidR="00242378" w:rsidRPr="00242378" w:rsidRDefault="00242378" w:rsidP="00D767EB">
      <w:pPr>
        <w:jc w:val="both"/>
        <w:rPr>
          <w:lang w:val="en-GB" w:eastAsia="en-GB"/>
        </w:rPr>
      </w:pPr>
      <w:r w:rsidRPr="00242378">
        <w:rPr>
          <w:lang w:val="en-GB" w:eastAsia="en-GB"/>
        </w:rPr>
        <w:t>Because they reflect the full enzymatic and physiological context of the liver, primary hepatocytes are considered the gold standard for studying drug metabolism. They provide a near-complete representation of how a compound would behave in human systems, allowing for precise determination of metabolites, rates of clearance, and enzyme pathways involved. However, the value of hepatocytes comes with significant limitations: they are expensive, often costing hundreds of dollars per experiment, and they require specialized culture conditions and expertise. Their limited availability (due to donor dependence), relatively short lifespan, and low throughput make them unsuitable for screening large libraries of early-stage drug candidates. As a result, hepatocyte studies are typically reserved for promising molecules during late preclinical stages.</w:t>
      </w:r>
    </w:p>
    <w:p w14:paraId="5212DA53" w14:textId="178853AB" w:rsidR="00242378" w:rsidRDefault="00242378" w:rsidP="00D767EB">
      <w:pPr>
        <w:jc w:val="both"/>
        <w:rPr>
          <w:lang w:val="en-GB" w:eastAsia="en-GB"/>
        </w:rPr>
      </w:pPr>
      <w:r w:rsidRPr="00242378">
        <w:rPr>
          <w:lang w:val="en-GB" w:eastAsia="en-GB"/>
        </w:rPr>
        <w:t xml:space="preserve">To address the need for faster and more cost-effective metabolism screening, liver microsomes have become a widely used alternative. Microsomes are subcellular fractions derived from the endoplasmic reticulum of hepatocytes, containing a concentrated pool of Phase I enzymes, particularly the </w:t>
      </w:r>
      <w:r>
        <w:rPr>
          <w:lang w:val="en-GB" w:eastAsia="en-GB"/>
        </w:rPr>
        <w:t>CYP450</w:t>
      </w:r>
      <w:r w:rsidRPr="00242378">
        <w:rPr>
          <w:lang w:val="en-GB" w:eastAsia="en-GB"/>
        </w:rPr>
        <w:t xml:space="preserve"> family. Although they lack the full cellular machinery required for Phase II conjugation reactions, microsomes are highly useful for early characterization of oxidative metabolism and enzyme-specific activity. Their high throughput and lower cost—often an order of magnitude cheaper than hepatocyte assays—make them particularly </w:t>
      </w:r>
      <w:r w:rsidR="00585443" w:rsidRPr="00242378">
        <w:rPr>
          <w:lang w:val="en-GB" w:eastAsia="en-GB"/>
        </w:rPr>
        <w:t>well suited</w:t>
      </w:r>
      <w:r w:rsidRPr="00242378">
        <w:rPr>
          <w:lang w:val="en-GB" w:eastAsia="en-GB"/>
        </w:rPr>
        <w:t xml:space="preserve"> for early drug discovery when many candidate molecules are being tested.</w:t>
      </w:r>
    </w:p>
    <w:p w14:paraId="5D071081" w14:textId="39A7FD37" w:rsidR="00242378" w:rsidRDefault="00242378" w:rsidP="00D767EB">
      <w:pPr>
        <w:jc w:val="both"/>
        <w:rPr>
          <w:lang w:val="en-GB" w:eastAsia="en-GB"/>
        </w:rPr>
      </w:pPr>
      <w:r w:rsidRPr="00585443">
        <w:rPr>
          <w:lang w:val="en-GB" w:eastAsia="en-GB"/>
        </w:rPr>
        <w:lastRenderedPageBreak/>
        <w:t>One important consideration in early drug metabolism studies is that Phase I reactions, which are largely mediated by CYP450 enzymes, tend to be more unpredictable and clinically significant than Phase II reactions. Phase I often introduces functional groups to a molecule, creating reactive intermediates or metabolites that can lead to drug–drug interactions or unexpected toxicity. In contrast, Phase II reactions</w:t>
      </w:r>
      <w:r w:rsidR="00585443">
        <w:rPr>
          <w:lang w:val="en-GB" w:eastAsia="en-GB"/>
        </w:rPr>
        <w:t xml:space="preserve">, </w:t>
      </w:r>
      <w:r w:rsidRPr="00585443">
        <w:rPr>
          <w:lang w:val="en-GB" w:eastAsia="en-GB"/>
        </w:rPr>
        <w:t>such as glucuronidation</w:t>
      </w:r>
      <w:r w:rsidR="00585443">
        <w:rPr>
          <w:lang w:val="en-GB" w:eastAsia="en-GB"/>
        </w:rPr>
        <w:t xml:space="preserve">, </w:t>
      </w:r>
      <w:r w:rsidRPr="00585443">
        <w:rPr>
          <w:lang w:val="en-GB" w:eastAsia="en-GB"/>
        </w:rPr>
        <w:t>typically involve conjugation with endogenous molecules, which generally renders compounds less active and more easily excreted, making these reactions less prone to harmful interactions. Since CYP450 enzymes play a dominant role in Phase I metabolism, understanding and predicting their involvement provides valuable insight into one of the most critical determinants of drug safety and efficacy.</w:t>
      </w:r>
    </w:p>
    <w:p w14:paraId="7CA9EFBC" w14:textId="2BD4B540" w:rsidR="00320D31" w:rsidRDefault="00320D31" w:rsidP="00D767EB">
      <w:pPr>
        <w:jc w:val="both"/>
        <w:rPr>
          <w:lang w:val="en-GB" w:eastAsia="en-GB"/>
        </w:rPr>
      </w:pPr>
      <w:r w:rsidRPr="00320D31">
        <w:rPr>
          <w:lang w:val="en-GB" w:eastAsia="en-GB"/>
        </w:rPr>
        <w:t xml:space="preserve">Beyond experimental systems, advances in computational power and the availability of molecular data have given rise to </w:t>
      </w:r>
      <w:r w:rsidRPr="00320D31">
        <w:rPr>
          <w:i/>
          <w:lang w:val="en-GB" w:eastAsia="en-GB"/>
        </w:rPr>
        <w:t>in silico</w:t>
      </w:r>
      <w:r w:rsidRPr="00320D31">
        <w:rPr>
          <w:lang w:val="en-GB" w:eastAsia="en-GB"/>
        </w:rPr>
        <w:t xml:space="preserve"> technologies designed to predict drug metabolism. Rule-based expert systems, such as </w:t>
      </w:r>
      <w:proofErr w:type="spellStart"/>
      <w:r w:rsidRPr="00320D31">
        <w:rPr>
          <w:lang w:val="en-GB" w:eastAsia="en-GB"/>
        </w:rPr>
        <w:t>MetaSite</w:t>
      </w:r>
      <w:proofErr w:type="spellEnd"/>
      <w:r w:rsidRPr="00320D31">
        <w:rPr>
          <w:lang w:val="en-GB" w:eastAsia="en-GB"/>
        </w:rPr>
        <w:t xml:space="preserve"> and </w:t>
      </w:r>
      <w:proofErr w:type="spellStart"/>
      <w:r w:rsidRPr="00320D31">
        <w:rPr>
          <w:lang w:val="en-GB" w:eastAsia="en-GB"/>
        </w:rPr>
        <w:t>StarDrop</w:t>
      </w:r>
      <w:proofErr w:type="spellEnd"/>
      <w:r w:rsidRPr="00320D31">
        <w:rPr>
          <w:lang w:val="en-GB" w:eastAsia="en-GB"/>
        </w:rPr>
        <w:t xml:space="preserve"> (with its WhichP450™ model), attempt to forecast how molecules are processed by specific enzymes, including CYP450 isoforms. These tools offer rapid predictions and can screen large compound libraries at a scale far beyond what any in vitro system could achieve. However, their proprietary nature and high licensing costs</w:t>
      </w:r>
      <w:r>
        <w:rPr>
          <w:lang w:val="en-GB" w:eastAsia="en-GB"/>
        </w:rPr>
        <w:t xml:space="preserve">, </w:t>
      </w:r>
      <w:r w:rsidRPr="00320D31">
        <w:rPr>
          <w:lang w:val="en-GB" w:eastAsia="en-GB"/>
        </w:rPr>
        <w:t xml:space="preserve">ranging from several thousand euros per project for </w:t>
      </w:r>
      <w:proofErr w:type="spellStart"/>
      <w:r w:rsidRPr="00320D31">
        <w:rPr>
          <w:lang w:val="en-GB" w:eastAsia="en-GB"/>
        </w:rPr>
        <w:t>MetaSite</w:t>
      </w:r>
      <w:proofErr w:type="spellEnd"/>
      <w:r w:rsidRPr="00320D31">
        <w:rPr>
          <w:lang w:val="en-GB" w:eastAsia="en-GB"/>
        </w:rPr>
        <w:t xml:space="preserve"> to annual subscriptions exceeding tens of </w:t>
      </w:r>
      <w:r>
        <w:rPr>
          <w:lang w:val="en-GB" w:eastAsia="en-GB"/>
        </w:rPr>
        <w:t xml:space="preserve">thousands of euros for </w:t>
      </w:r>
      <w:proofErr w:type="spellStart"/>
      <w:r>
        <w:rPr>
          <w:lang w:val="en-GB" w:eastAsia="en-GB"/>
        </w:rPr>
        <w:t>StarDrop</w:t>
      </w:r>
      <w:proofErr w:type="spellEnd"/>
      <w:r>
        <w:rPr>
          <w:lang w:val="en-GB" w:eastAsia="en-GB"/>
        </w:rPr>
        <w:t xml:space="preserve">, </w:t>
      </w:r>
      <w:r w:rsidRPr="00320D31">
        <w:rPr>
          <w:lang w:val="en-GB" w:eastAsia="en-GB"/>
        </w:rPr>
        <w:t>can make them less accessible, particularly for early-stage research teams or academic groups.</w:t>
      </w:r>
    </w:p>
    <w:p w14:paraId="4CE5C075" w14:textId="331027A4" w:rsidR="00242378" w:rsidRDefault="00CF49D4" w:rsidP="00D767EB">
      <w:pPr>
        <w:jc w:val="both"/>
        <w:rPr>
          <w:lang w:val="en-GB" w:eastAsia="en-GB"/>
        </w:rPr>
      </w:pPr>
      <w:r w:rsidRPr="00CF49D4">
        <w:rPr>
          <w:lang w:val="en-GB" w:eastAsia="en-GB"/>
        </w:rPr>
        <w:t xml:space="preserve">From a technological standpoint, these algorithmic solutions are based on a combination of mechanistic </w:t>
      </w:r>
      <w:r>
        <w:rPr>
          <w:lang w:val="en-GB" w:eastAsia="en-GB"/>
        </w:rPr>
        <w:t>models</w:t>
      </w:r>
      <w:r w:rsidRPr="00CF49D4">
        <w:rPr>
          <w:lang w:val="en-GB" w:eastAsia="en-GB"/>
        </w:rPr>
        <w:t xml:space="preserve"> and ma</w:t>
      </w:r>
      <w:r>
        <w:rPr>
          <w:lang w:val="en-GB" w:eastAsia="en-GB"/>
        </w:rPr>
        <w:t>chine learning to simulate drug-</w:t>
      </w:r>
      <w:r w:rsidRPr="00CF49D4">
        <w:rPr>
          <w:lang w:val="en-GB" w:eastAsia="en-GB"/>
        </w:rPr>
        <w:t xml:space="preserve">enzyme interactions. </w:t>
      </w:r>
      <w:proofErr w:type="spellStart"/>
      <w:r w:rsidRPr="00CF49D4">
        <w:rPr>
          <w:lang w:val="en-GB" w:eastAsia="en-GB"/>
        </w:rPr>
        <w:t>StarDrop’s</w:t>
      </w:r>
      <w:proofErr w:type="spellEnd"/>
      <w:r w:rsidRPr="00CF49D4">
        <w:rPr>
          <w:lang w:val="en-GB" w:eastAsia="en-GB"/>
        </w:rPr>
        <w:t xml:space="preserve"> </w:t>
      </w:r>
      <w:proofErr w:type="spellStart"/>
      <w:r w:rsidRPr="00CF49D4">
        <w:rPr>
          <w:lang w:val="en-GB" w:eastAsia="en-GB"/>
        </w:rPr>
        <w:t>Semeta</w:t>
      </w:r>
      <w:proofErr w:type="spellEnd"/>
      <w:r w:rsidRPr="00CF49D4">
        <w:rPr>
          <w:lang w:val="en-GB" w:eastAsia="en-GB"/>
        </w:rPr>
        <w:t xml:space="preserve"> platform integrates enzyme-specific regioselectivity models, quantum mechanical simulations, and predictive heuristics to identify likely metabolic pathways across major Phase I and Phase II enzymes, including CYP450 isoforms</w:t>
      </w:r>
      <w:r w:rsidR="00D767EB">
        <w:rPr>
          <w:lang w:val="en-GB" w:eastAsia="en-GB"/>
        </w:rPr>
        <w:t xml:space="preserve"> </w:t>
      </w:r>
      <w:r w:rsidR="005F33DB">
        <w:rPr>
          <w:color w:val="FF0000"/>
          <w:lang w:val="en-GB" w:eastAsia="en-GB"/>
        </w:rPr>
        <w:t>[1</w:t>
      </w:r>
      <w:r w:rsidR="00D767EB" w:rsidRPr="00CF49D4">
        <w:rPr>
          <w:color w:val="FF0000"/>
          <w:lang w:val="en-GB" w:eastAsia="en-GB"/>
        </w:rPr>
        <w:t>]</w:t>
      </w:r>
      <w:r w:rsidRPr="00CF49D4">
        <w:rPr>
          <w:lang w:val="en-GB" w:eastAsia="en-GB"/>
        </w:rPr>
        <w:t xml:space="preserve">. </w:t>
      </w:r>
      <w:proofErr w:type="spellStart"/>
      <w:r w:rsidRPr="00CF49D4">
        <w:rPr>
          <w:lang w:val="en-GB" w:eastAsia="en-GB"/>
        </w:rPr>
        <w:t>MetaSite</w:t>
      </w:r>
      <w:proofErr w:type="spellEnd"/>
      <w:r w:rsidR="00D767EB">
        <w:rPr>
          <w:lang w:val="en-GB" w:eastAsia="en-GB"/>
        </w:rPr>
        <w:t>,</w:t>
      </w:r>
      <w:r w:rsidRPr="00CF49D4">
        <w:rPr>
          <w:color w:val="FF0000"/>
          <w:lang w:val="en-GB" w:eastAsia="en-GB"/>
        </w:rPr>
        <w:t xml:space="preserve"> </w:t>
      </w:r>
      <w:r w:rsidRPr="00CF49D4">
        <w:rPr>
          <w:lang w:val="en-GB" w:eastAsia="en-GB"/>
        </w:rPr>
        <w:t>on the other hand, leverages structure-based docking, flexible interaction fields, and structure–activity relationships (SARs) to model how xenobiotic compounds interact with enzyme active sites, ranking predicted poses through energy-based scoring functions</w:t>
      </w:r>
      <w:r w:rsidR="005F33DB">
        <w:rPr>
          <w:color w:val="FF0000"/>
          <w:lang w:val="en-GB" w:eastAsia="en-GB"/>
        </w:rPr>
        <w:t>[2]</w:t>
      </w:r>
      <w:r w:rsidRPr="00CF49D4">
        <w:rPr>
          <w:lang w:val="en-GB" w:eastAsia="en-GB"/>
        </w:rPr>
        <w:t>. While these approaches have proven accuracy and the advantage of incorporating detailed enzyme knowledge, they can also be computationally intensive, particularly when simulating multiple enzyme systems or large libraries of molecules</w:t>
      </w:r>
      <w:r w:rsidR="00D767EB">
        <w:rPr>
          <w:lang w:val="en-GB" w:eastAsia="en-GB"/>
        </w:rPr>
        <w:t>.</w:t>
      </w:r>
    </w:p>
    <w:p w14:paraId="6ED7D12B" w14:textId="1D3F8ADB" w:rsidR="00D767EB" w:rsidRDefault="005F33DB" w:rsidP="00D767EB">
      <w:pPr>
        <w:jc w:val="both"/>
        <w:rPr>
          <w:lang w:val="en-GB" w:eastAsia="en-GB"/>
        </w:rPr>
      </w:pPr>
      <w:r w:rsidRPr="005F33DB">
        <w:rPr>
          <w:lang w:val="en-GB" w:eastAsia="en-GB"/>
        </w:rPr>
        <w:t>Despite the proprietary nature of these platforms, it is clear</w:t>
      </w:r>
      <w:r>
        <w:rPr>
          <w:lang w:val="en-GB" w:eastAsia="en-GB"/>
        </w:rPr>
        <w:t xml:space="preserve"> that </w:t>
      </w:r>
      <w:r w:rsidRPr="005F33DB">
        <w:rPr>
          <w:lang w:val="en-GB" w:eastAsia="en-GB"/>
        </w:rPr>
        <w:t xml:space="preserve">the state of the art regarding </w:t>
      </w:r>
      <w:r w:rsidRPr="005F33DB">
        <w:rPr>
          <w:i/>
          <w:lang w:val="en-GB" w:eastAsia="en-GB"/>
        </w:rPr>
        <w:t>in silico</w:t>
      </w:r>
      <w:r w:rsidRPr="005F33DB">
        <w:rPr>
          <w:lang w:val="en-GB" w:eastAsia="en-GB"/>
        </w:rPr>
        <w:t xml:space="preserve"> models relies heavily on ensemble modelling, a technique where multiple predictive models are combined to produce a more accurate and reliable outcome than any single model could achieve on its own. In the case of </w:t>
      </w:r>
      <w:proofErr w:type="spellStart"/>
      <w:r w:rsidRPr="005F33DB">
        <w:rPr>
          <w:lang w:val="en-GB" w:eastAsia="en-GB"/>
        </w:rPr>
        <w:t>Semeta</w:t>
      </w:r>
      <w:proofErr w:type="spellEnd"/>
      <w:r w:rsidRPr="005F33DB">
        <w:rPr>
          <w:lang w:val="en-GB" w:eastAsia="en-GB"/>
        </w:rPr>
        <w:t xml:space="preserve">, for example, separate models such as WhichP450 and </w:t>
      </w:r>
      <w:proofErr w:type="spellStart"/>
      <w:r w:rsidRPr="005F33DB">
        <w:rPr>
          <w:lang w:val="en-GB" w:eastAsia="en-GB"/>
        </w:rPr>
        <w:t>WhichEnzyme</w:t>
      </w:r>
      <w:proofErr w:type="spellEnd"/>
      <w:r w:rsidRPr="005F33DB">
        <w:rPr>
          <w:lang w:val="en-GB" w:eastAsia="en-GB"/>
        </w:rPr>
        <w:t xml:space="preserve"> are integrated alongside regioselectivity predictors to collectively determine the most likely metabolic routes. This combined approach helps balance out the limitations of individual models by bringing together the strengths of different algorithms, leading to more reliable and accurate predictions.</w:t>
      </w:r>
    </w:p>
    <w:p w14:paraId="47BA6845" w14:textId="63131AB9" w:rsidR="002C3E7C" w:rsidRDefault="002C3E7C" w:rsidP="00D767EB">
      <w:pPr>
        <w:jc w:val="both"/>
        <w:rPr>
          <w:lang w:val="en-GB" w:eastAsia="en-GB"/>
        </w:rPr>
      </w:pPr>
      <w:r>
        <w:rPr>
          <w:lang w:val="en-GB" w:eastAsia="en-GB"/>
        </w:rPr>
        <w:t xml:space="preserve">Add about other models?? Like </w:t>
      </w:r>
      <w:proofErr w:type="spellStart"/>
      <w:r>
        <w:rPr>
          <w:lang w:val="en-GB" w:eastAsia="en-GB"/>
        </w:rPr>
        <w:t>CYPReact</w:t>
      </w:r>
      <w:proofErr w:type="spellEnd"/>
      <w:r>
        <w:rPr>
          <w:lang w:val="en-GB" w:eastAsia="en-GB"/>
        </w:rPr>
        <w:t xml:space="preserve">, </w:t>
      </w:r>
      <w:proofErr w:type="spellStart"/>
      <w:r>
        <w:rPr>
          <w:lang w:val="en-GB" w:eastAsia="en-GB"/>
        </w:rPr>
        <w:t>CypST</w:t>
      </w:r>
      <w:proofErr w:type="spellEnd"/>
      <w:r>
        <w:rPr>
          <w:lang w:val="en-GB" w:eastAsia="en-GB"/>
        </w:rPr>
        <w:t>, DeepP450, admetlab3.0. They use trees and SMILES mainly?</w:t>
      </w:r>
    </w:p>
    <w:p w14:paraId="29BEA696" w14:textId="14A48203" w:rsidR="00090FD5" w:rsidRDefault="0068166C" w:rsidP="0068166C">
      <w:pPr>
        <w:pStyle w:val="Heading1"/>
        <w:rPr>
          <w:lang w:val="en-GB" w:eastAsia="en-GB"/>
        </w:rPr>
      </w:pPr>
      <w:r>
        <w:rPr>
          <w:lang w:val="en-GB" w:eastAsia="en-GB"/>
        </w:rPr>
        <w:t>OBJECTIVES</w:t>
      </w:r>
    </w:p>
    <w:p w14:paraId="05A5F441" w14:textId="23824E5B" w:rsidR="0068166C" w:rsidRPr="00566539" w:rsidRDefault="0068166C" w:rsidP="0068166C">
      <w:pPr>
        <w:rPr>
          <w:b/>
          <w:lang w:val="en-GB" w:eastAsia="en-GB"/>
        </w:rPr>
      </w:pPr>
      <w:r w:rsidRPr="00566539">
        <w:rPr>
          <w:b/>
          <w:lang w:val="en-GB" w:eastAsia="en-GB"/>
        </w:rPr>
        <w:t>Main objective:</w:t>
      </w:r>
    </w:p>
    <w:p w14:paraId="061C64C4" w14:textId="5904ADE2" w:rsidR="0068166C" w:rsidRPr="0089727E" w:rsidRDefault="0068166C" w:rsidP="0089727E">
      <w:pPr>
        <w:pStyle w:val="ListParagraph"/>
        <w:numPr>
          <w:ilvl w:val="0"/>
          <w:numId w:val="29"/>
        </w:numPr>
        <w:jc w:val="both"/>
        <w:rPr>
          <w:lang w:val="en-GB" w:eastAsia="en-GB"/>
        </w:rPr>
      </w:pPr>
      <w:r w:rsidRPr="0089727E">
        <w:rPr>
          <w:lang w:val="en-GB" w:eastAsia="en-GB"/>
        </w:rPr>
        <w:lastRenderedPageBreak/>
        <w:t>To develop and evaluate machine learning models capable of predicting the metabolism of novel drug-like molecules by classifying them according to the CYP450 isoenzymes most likely to metabolize them, using publicly available molecular data and annotations.</w:t>
      </w:r>
    </w:p>
    <w:p w14:paraId="238F931E" w14:textId="051D746C" w:rsidR="0068166C" w:rsidRPr="00566539" w:rsidRDefault="0068166C" w:rsidP="0068166C">
      <w:pPr>
        <w:rPr>
          <w:b/>
          <w:lang w:val="en-GB" w:eastAsia="en-GB"/>
        </w:rPr>
      </w:pPr>
      <w:r w:rsidRPr="00566539">
        <w:rPr>
          <w:b/>
          <w:lang w:val="en-GB" w:eastAsia="en-GB"/>
        </w:rPr>
        <w:t>Secondary objectives:</w:t>
      </w:r>
    </w:p>
    <w:p w14:paraId="4949D9C1" w14:textId="0383FE01" w:rsidR="00566539" w:rsidRDefault="00566539" w:rsidP="00566539">
      <w:pPr>
        <w:pStyle w:val="ListParagraph"/>
        <w:numPr>
          <w:ilvl w:val="0"/>
          <w:numId w:val="29"/>
        </w:numPr>
        <w:jc w:val="both"/>
        <w:rPr>
          <w:color w:val="FF0000"/>
          <w:lang w:val="en-GB" w:eastAsia="en-GB"/>
        </w:rPr>
      </w:pPr>
      <w:r w:rsidRPr="00566539">
        <w:rPr>
          <w:lang w:val="en-GB" w:eastAsia="en-GB"/>
        </w:rPr>
        <w:t xml:space="preserve">Apply ETL (Extract, Transform, Load) techniques to collect, clean, and preprocess molecular structure datasets and metabolic annotations from public </w:t>
      </w:r>
      <w:r w:rsidRPr="00566539">
        <w:rPr>
          <w:color w:val="FF0000"/>
          <w:lang w:val="en-GB" w:eastAsia="en-GB"/>
        </w:rPr>
        <w:t xml:space="preserve">sources such as </w:t>
      </w:r>
      <w:proofErr w:type="spellStart"/>
      <w:r w:rsidRPr="00566539">
        <w:rPr>
          <w:color w:val="FF0000"/>
          <w:lang w:val="en-GB" w:eastAsia="en-GB"/>
        </w:rPr>
        <w:t>ChEMBL</w:t>
      </w:r>
      <w:proofErr w:type="spellEnd"/>
      <w:r w:rsidRPr="00566539">
        <w:rPr>
          <w:color w:val="FF0000"/>
          <w:lang w:val="en-GB" w:eastAsia="en-GB"/>
        </w:rPr>
        <w:t xml:space="preserve"> and </w:t>
      </w:r>
      <w:proofErr w:type="spellStart"/>
      <w:r w:rsidRPr="00566539">
        <w:rPr>
          <w:color w:val="FF0000"/>
          <w:lang w:val="en-GB" w:eastAsia="en-GB"/>
        </w:rPr>
        <w:t>DrugBank</w:t>
      </w:r>
      <w:proofErr w:type="spellEnd"/>
      <w:r w:rsidRPr="00566539">
        <w:rPr>
          <w:color w:val="FF0000"/>
          <w:lang w:val="en-GB" w:eastAsia="en-GB"/>
        </w:rPr>
        <w:t>.</w:t>
      </w:r>
    </w:p>
    <w:p w14:paraId="79B41AAA" w14:textId="04F7B992" w:rsidR="00566539" w:rsidRPr="00566539" w:rsidRDefault="00566539" w:rsidP="00566539">
      <w:pPr>
        <w:pStyle w:val="ListParagraph"/>
        <w:numPr>
          <w:ilvl w:val="0"/>
          <w:numId w:val="29"/>
        </w:numPr>
        <w:jc w:val="both"/>
        <w:rPr>
          <w:color w:val="000000" w:themeColor="text1"/>
          <w:lang w:val="en-GB" w:eastAsia="en-GB"/>
        </w:rPr>
      </w:pPr>
      <w:r w:rsidRPr="00566539">
        <w:rPr>
          <w:color w:val="000000" w:themeColor="text1"/>
          <w:lang w:val="en-GB" w:eastAsia="en-GB"/>
        </w:rPr>
        <w:t>Conduct exploratory data analysis (EDA) to identify trends, correlations, and potential biases within the data, ensuring high-quality input for the predictive models.</w:t>
      </w:r>
    </w:p>
    <w:p w14:paraId="55E5D180" w14:textId="5ABC7D93" w:rsidR="00566539" w:rsidRDefault="00566539" w:rsidP="00566539">
      <w:pPr>
        <w:pStyle w:val="ListParagraph"/>
        <w:numPr>
          <w:ilvl w:val="0"/>
          <w:numId w:val="29"/>
        </w:numPr>
        <w:jc w:val="both"/>
        <w:rPr>
          <w:lang w:val="en-GB" w:eastAsia="en-GB"/>
        </w:rPr>
      </w:pPr>
      <w:r>
        <w:rPr>
          <w:lang w:val="en-GB" w:eastAsia="en-GB"/>
        </w:rPr>
        <w:t>To a</w:t>
      </w:r>
      <w:r w:rsidRPr="00566539">
        <w:rPr>
          <w:lang w:val="en-GB" w:eastAsia="en-GB"/>
        </w:rPr>
        <w:t>ssess model performance with appropriate metrics, validate predictions against known experimental data, and explore how the approach support early drug discovery.</w:t>
      </w:r>
    </w:p>
    <w:p w14:paraId="0C2A441A" w14:textId="65E5B566" w:rsidR="000F0CFA" w:rsidRDefault="000F0CFA" w:rsidP="000F0CFA">
      <w:pPr>
        <w:pStyle w:val="Heading1"/>
        <w:rPr>
          <w:lang w:val="en-GB" w:eastAsia="en-GB"/>
        </w:rPr>
      </w:pPr>
      <w:r>
        <w:rPr>
          <w:lang w:val="en-GB" w:eastAsia="en-GB"/>
        </w:rPr>
        <w:t>METHODOLOGY</w:t>
      </w:r>
    </w:p>
    <w:p w14:paraId="63E547CD" w14:textId="6E3F6BA6" w:rsidR="005A34ED" w:rsidRDefault="00565D7C" w:rsidP="000F0CFA">
      <w:pPr>
        <w:rPr>
          <w:lang w:val="en-GB"/>
        </w:rPr>
      </w:pPr>
      <w:r w:rsidRPr="00565D7C">
        <w:rPr>
          <w:lang w:val="en-GB"/>
        </w:rPr>
        <w:t>The source code and coursework developed for this project will be uploaded and maintained in a GitHub repository, ensuring proper version control and accessibility.</w:t>
      </w:r>
    </w:p>
    <w:p w14:paraId="5B2C4112" w14:textId="77B55901" w:rsidR="00565D7C" w:rsidRDefault="00565D7C" w:rsidP="000F0CFA">
      <w:pPr>
        <w:rPr>
          <w:lang w:val="en-GB"/>
        </w:rPr>
      </w:pPr>
      <w:r w:rsidRPr="00565D7C">
        <w:rPr>
          <w:lang w:val="en-GB"/>
        </w:rPr>
        <w:t xml:space="preserve">For data management, relational tables will be created and handled using the Python library </w:t>
      </w:r>
      <w:r w:rsidRPr="00565D7C">
        <w:rPr>
          <w:b/>
          <w:bCs/>
          <w:lang w:val="en-GB"/>
        </w:rPr>
        <w:t>pandas</w:t>
      </w:r>
      <w:r w:rsidRPr="00565D7C">
        <w:rPr>
          <w:lang w:val="en-GB"/>
        </w:rPr>
        <w:t>, as the datasets involved are relatively small in size. This is particularly the case for drug-related data, where the number of compounds, especially those tested for metabolism, is limited and does not require large-scale or distributed database solutions.</w:t>
      </w:r>
    </w:p>
    <w:p w14:paraId="349E0324" w14:textId="34D6FC91" w:rsidR="00565D7C" w:rsidRPr="00565D7C" w:rsidRDefault="00565D7C" w:rsidP="000F0CFA">
      <w:pPr>
        <w:rPr>
          <w:lang w:val="en-GB" w:eastAsia="en-GB"/>
        </w:rPr>
      </w:pPr>
      <w:r>
        <w:rPr>
          <w:lang w:val="en-GB"/>
        </w:rPr>
        <w:t>…</w:t>
      </w:r>
    </w:p>
    <w:p w14:paraId="6AA109F7" w14:textId="52863813" w:rsidR="00CE3883" w:rsidRDefault="00CE3883" w:rsidP="00CE3883">
      <w:pPr>
        <w:pStyle w:val="Heading1"/>
        <w:rPr>
          <w:lang w:val="en-GB" w:eastAsia="en-GB"/>
        </w:rPr>
      </w:pPr>
      <w:r>
        <w:rPr>
          <w:lang w:val="en-GB" w:eastAsia="en-GB"/>
        </w:rPr>
        <w:t>RESULTS</w:t>
      </w:r>
    </w:p>
    <w:p w14:paraId="1F245F6C" w14:textId="0B03B075" w:rsidR="00CE3883" w:rsidRDefault="00CE3883" w:rsidP="00CE3883">
      <w:pPr>
        <w:pStyle w:val="Heading2"/>
        <w:rPr>
          <w:lang w:val="en-GB" w:eastAsia="en-GB"/>
        </w:rPr>
      </w:pPr>
      <w:r>
        <w:rPr>
          <w:lang w:val="en-GB" w:eastAsia="en-GB"/>
        </w:rPr>
        <w:t>Data Source acquisition</w:t>
      </w:r>
    </w:p>
    <w:p w14:paraId="4BA9D93B" w14:textId="6276F202" w:rsidR="00455E03" w:rsidRDefault="00455E03" w:rsidP="00455E03">
      <w:pPr>
        <w:rPr>
          <w:lang w:val="en-GB" w:eastAsia="en-GB"/>
        </w:rPr>
      </w:pPr>
      <w:r>
        <w:rPr>
          <w:lang w:val="en-GB" w:eastAsia="en-GB"/>
        </w:rPr>
        <w:t xml:space="preserve">To obtain high quality data in a structured database an application was made to </w:t>
      </w:r>
      <w:proofErr w:type="spellStart"/>
      <w:r>
        <w:rPr>
          <w:lang w:val="en-GB" w:eastAsia="en-GB"/>
        </w:rPr>
        <w:t>DrugBank</w:t>
      </w:r>
      <w:proofErr w:type="spellEnd"/>
      <w:r>
        <w:rPr>
          <w:lang w:val="en-GB" w:eastAsia="en-GB"/>
        </w:rPr>
        <w:t>, an online repository of pharmacological data. After approval for academic use, all their databases were readily available, containing structural and pharmacological data of over 1300 small molecule drugs which will serve as backbone for the final data set.</w:t>
      </w:r>
    </w:p>
    <w:p w14:paraId="2B9D06F8" w14:textId="6A72BD96" w:rsidR="00067F24" w:rsidRDefault="00067F24" w:rsidP="00455E03">
      <w:pPr>
        <w:rPr>
          <w:lang w:val="en-GB" w:eastAsia="en-GB"/>
        </w:rPr>
      </w:pPr>
      <w:r>
        <w:rPr>
          <w:lang w:val="en-GB" w:eastAsia="en-GB"/>
        </w:rPr>
        <w:t xml:space="preserve">The data obtained from several relational tables was combined to produce a pandas </w:t>
      </w:r>
      <w:proofErr w:type="spellStart"/>
      <w:r>
        <w:rPr>
          <w:lang w:val="en-GB" w:eastAsia="en-GB"/>
        </w:rPr>
        <w:t>dataframe</w:t>
      </w:r>
      <w:proofErr w:type="spellEnd"/>
      <w:r>
        <w:rPr>
          <w:lang w:val="en-GB" w:eastAsia="en-GB"/>
        </w:rPr>
        <w:t xml:space="preserve"> (</w:t>
      </w:r>
      <w:proofErr w:type="spellStart"/>
      <w:r>
        <w:rPr>
          <w:lang w:val="en-GB" w:eastAsia="en-GB"/>
        </w:rPr>
        <w:t>df</w:t>
      </w:r>
      <w:proofErr w:type="spellEnd"/>
      <w:r>
        <w:rPr>
          <w:lang w:val="en-GB" w:eastAsia="en-GB"/>
        </w:rPr>
        <w:t>) containing a primary key that will be the “</w:t>
      </w:r>
      <w:proofErr w:type="spellStart"/>
      <w:r>
        <w:rPr>
          <w:lang w:val="en-GB" w:eastAsia="en-GB"/>
        </w:rPr>
        <w:t>DrugBank</w:t>
      </w:r>
      <w:proofErr w:type="spellEnd"/>
      <w:r>
        <w:rPr>
          <w:lang w:val="en-GB" w:eastAsia="en-GB"/>
        </w:rPr>
        <w:t xml:space="preserve"> ID”, which is a unique identifier for each chemical compound. This </w:t>
      </w:r>
      <w:proofErr w:type="spellStart"/>
      <w:r>
        <w:rPr>
          <w:lang w:val="en-GB" w:eastAsia="en-GB"/>
        </w:rPr>
        <w:t>dataframe</w:t>
      </w:r>
      <w:proofErr w:type="spellEnd"/>
      <w:r>
        <w:rPr>
          <w:lang w:val="en-GB" w:eastAsia="en-GB"/>
        </w:rPr>
        <w:t xml:space="preserve"> also contained the following data:</w:t>
      </w:r>
    </w:p>
    <w:p w14:paraId="30779B99" w14:textId="378C4DBC" w:rsidR="00067F24" w:rsidRDefault="00067F24" w:rsidP="00067F24">
      <w:pPr>
        <w:pStyle w:val="ListParagraph"/>
        <w:numPr>
          <w:ilvl w:val="0"/>
          <w:numId w:val="31"/>
        </w:numPr>
        <w:rPr>
          <w:lang w:val="en-GB" w:eastAsia="en-GB"/>
        </w:rPr>
      </w:pPr>
      <w:r>
        <w:rPr>
          <w:lang w:val="en-GB" w:eastAsia="en-GB"/>
        </w:rPr>
        <w:t>“CYPs”: List of all the cytochromes that metabolize it.</w:t>
      </w:r>
    </w:p>
    <w:p w14:paraId="3615256C" w14:textId="7EC2D8F2" w:rsidR="00067F24" w:rsidRDefault="00067F24" w:rsidP="00067F24">
      <w:pPr>
        <w:pStyle w:val="ListParagraph"/>
        <w:numPr>
          <w:ilvl w:val="0"/>
          <w:numId w:val="31"/>
        </w:numPr>
        <w:rPr>
          <w:lang w:val="en-GB" w:eastAsia="en-GB"/>
        </w:rPr>
      </w:pPr>
      <w:r>
        <w:rPr>
          <w:lang w:val="en-GB" w:eastAsia="en-GB"/>
        </w:rPr>
        <w:t>“InChI”</w:t>
      </w:r>
    </w:p>
    <w:p w14:paraId="52F5EE7E" w14:textId="44053DE4" w:rsidR="00067F24" w:rsidRDefault="00067F24" w:rsidP="00067F24">
      <w:pPr>
        <w:pStyle w:val="ListParagraph"/>
        <w:numPr>
          <w:ilvl w:val="0"/>
          <w:numId w:val="31"/>
        </w:numPr>
        <w:rPr>
          <w:lang w:val="en-GB" w:eastAsia="en-GB"/>
        </w:rPr>
      </w:pPr>
      <w:r>
        <w:rPr>
          <w:lang w:val="en-GB" w:eastAsia="en-GB"/>
        </w:rPr>
        <w:t>“SMILES”</w:t>
      </w:r>
    </w:p>
    <w:p w14:paraId="3C246B62" w14:textId="34462564" w:rsidR="00067F24" w:rsidRDefault="00067F24" w:rsidP="00067F24">
      <w:pPr>
        <w:rPr>
          <w:lang w:val="en-GB" w:eastAsia="en-GB"/>
        </w:rPr>
      </w:pPr>
      <w:r>
        <w:rPr>
          <w:lang w:val="en-GB" w:eastAsia="en-GB"/>
        </w:rPr>
        <w:t>Only those drugs that were classified as “</w:t>
      </w:r>
      <w:proofErr w:type="spellStart"/>
      <w:r>
        <w:rPr>
          <w:lang w:val="en-GB" w:eastAsia="en-GB"/>
        </w:rPr>
        <w:t>SmallMoleculeDrugs</w:t>
      </w:r>
      <w:proofErr w:type="spellEnd"/>
      <w:r>
        <w:rPr>
          <w:lang w:val="en-GB" w:eastAsia="en-GB"/>
        </w:rPr>
        <w:t xml:space="preserve">” were included in the final </w:t>
      </w:r>
      <w:proofErr w:type="spellStart"/>
      <w:r>
        <w:rPr>
          <w:lang w:val="en-GB" w:eastAsia="en-GB"/>
        </w:rPr>
        <w:t>df</w:t>
      </w:r>
      <w:proofErr w:type="spellEnd"/>
      <w:r>
        <w:rPr>
          <w:lang w:val="en-GB" w:eastAsia="en-GB"/>
        </w:rPr>
        <w:t xml:space="preserve">, excluding those with the tag </w:t>
      </w:r>
      <w:r w:rsidR="00FA1E97">
        <w:rPr>
          <w:lang w:val="en-GB" w:eastAsia="en-GB"/>
        </w:rPr>
        <w:t>“</w:t>
      </w:r>
      <w:proofErr w:type="spellStart"/>
      <w:r w:rsidR="00FA1E97">
        <w:rPr>
          <w:lang w:val="en-GB" w:eastAsia="en-GB"/>
        </w:rPr>
        <w:t>BiotechDrug</w:t>
      </w:r>
      <w:proofErr w:type="spellEnd"/>
      <w:r w:rsidR="00FA1E97">
        <w:rPr>
          <w:lang w:val="en-GB" w:eastAsia="en-GB"/>
        </w:rPr>
        <w:t>” which mostly include proteins and peptides, which are well known to be metabolized as normal proteins, not cytochromes. Any of these drugs tagged with any CYP450 was most likely due to inhibitory interactions not linked to metabolism.</w:t>
      </w:r>
    </w:p>
    <w:p w14:paraId="05524E8E" w14:textId="5EF74F57" w:rsidR="00FA1E97" w:rsidRPr="00FA1E97" w:rsidRDefault="00FA1E97" w:rsidP="00067F24">
      <w:pPr>
        <w:rPr>
          <w:color w:val="EE0000"/>
          <w:lang w:val="en-GB" w:eastAsia="en-GB"/>
        </w:rPr>
      </w:pPr>
      <w:r>
        <w:rPr>
          <w:lang w:val="en-GB" w:eastAsia="en-GB"/>
        </w:rPr>
        <w:lastRenderedPageBreak/>
        <w:t xml:space="preserve">For those drugs in the </w:t>
      </w:r>
      <w:proofErr w:type="spellStart"/>
      <w:r>
        <w:rPr>
          <w:lang w:val="en-GB" w:eastAsia="en-GB"/>
        </w:rPr>
        <w:t>df</w:t>
      </w:r>
      <w:proofErr w:type="spellEnd"/>
      <w:r>
        <w:rPr>
          <w:lang w:val="en-GB" w:eastAsia="en-GB"/>
        </w:rPr>
        <w:t xml:space="preserve"> without a SMILES, the API from “</w:t>
      </w:r>
      <w:proofErr w:type="spellStart"/>
      <w:r>
        <w:rPr>
          <w:lang w:val="en-GB" w:eastAsia="en-GB"/>
        </w:rPr>
        <w:t>ChemSpiPy</w:t>
      </w:r>
      <w:proofErr w:type="spellEnd"/>
      <w:r>
        <w:rPr>
          <w:lang w:val="en-GB" w:eastAsia="en-GB"/>
        </w:rPr>
        <w:t xml:space="preserve">” was used to search for results with the same name or a synonym name as the one in the </w:t>
      </w:r>
      <w:proofErr w:type="spellStart"/>
      <w:r>
        <w:rPr>
          <w:lang w:val="en-GB" w:eastAsia="en-GB"/>
        </w:rPr>
        <w:t>df</w:t>
      </w:r>
      <w:proofErr w:type="spellEnd"/>
      <w:r>
        <w:rPr>
          <w:lang w:val="en-GB" w:eastAsia="en-GB"/>
        </w:rPr>
        <w:t xml:space="preserve">. In some cases, the SMILES was easily found, while in other cases a group of results was obtained. This was due to the fact that the name given in the </w:t>
      </w:r>
      <w:proofErr w:type="spellStart"/>
      <w:r>
        <w:rPr>
          <w:lang w:val="en-GB" w:eastAsia="en-GB"/>
        </w:rPr>
        <w:t>df</w:t>
      </w:r>
      <w:proofErr w:type="spellEnd"/>
      <w:r>
        <w:rPr>
          <w:lang w:val="en-GB" w:eastAsia="en-GB"/>
        </w:rPr>
        <w:t xml:space="preserve"> was one that encapsulated several compounds like for example “</w:t>
      </w:r>
      <w:r w:rsidRPr="00FA1E97">
        <w:rPr>
          <w:lang w:val="en-GB" w:eastAsia="en-GB"/>
        </w:rPr>
        <w:t>Omega-3-carboxylic acids</w:t>
      </w:r>
      <w:r>
        <w:rPr>
          <w:lang w:val="en-GB" w:eastAsia="en-GB"/>
        </w:rPr>
        <w:t xml:space="preserve">”. In these cases a fake </w:t>
      </w:r>
      <w:r w:rsidR="00C833D3">
        <w:rPr>
          <w:lang w:val="en-GB" w:eastAsia="en-GB"/>
        </w:rPr>
        <w:t>“</w:t>
      </w:r>
      <w:proofErr w:type="spellStart"/>
      <w:r>
        <w:rPr>
          <w:lang w:val="en-GB" w:eastAsia="en-GB"/>
        </w:rPr>
        <w:t>DrugBank</w:t>
      </w:r>
      <w:proofErr w:type="spellEnd"/>
      <w:r>
        <w:rPr>
          <w:lang w:val="en-GB" w:eastAsia="en-GB"/>
        </w:rPr>
        <w:t xml:space="preserve"> ID</w:t>
      </w:r>
      <w:r w:rsidR="00C833D3">
        <w:rPr>
          <w:lang w:val="en-GB" w:eastAsia="en-GB"/>
        </w:rPr>
        <w:t>”</w:t>
      </w:r>
      <w:r>
        <w:rPr>
          <w:lang w:val="en-GB" w:eastAsia="en-GB"/>
        </w:rPr>
        <w:t xml:space="preserve"> was given, and the new lines with the SMILES of each concrete chemical compound was added </w:t>
      </w:r>
      <w:r w:rsidR="00C833D3">
        <w:rPr>
          <w:lang w:val="en-GB" w:eastAsia="en-GB"/>
        </w:rPr>
        <w:t>with the same CYPs as the parent compound.</w:t>
      </w:r>
    </w:p>
    <w:p w14:paraId="1E8627B9" w14:textId="3B3BF569" w:rsidR="00CE3883" w:rsidRDefault="00CE3883" w:rsidP="00CE3883">
      <w:pPr>
        <w:pStyle w:val="Heading2"/>
        <w:rPr>
          <w:lang w:val="en-GB" w:eastAsia="en-GB"/>
        </w:rPr>
      </w:pPr>
      <w:r>
        <w:rPr>
          <w:lang w:val="en-GB" w:eastAsia="en-GB"/>
        </w:rPr>
        <w:t>Data source description</w:t>
      </w:r>
    </w:p>
    <w:p w14:paraId="4AFCF508" w14:textId="4C2E4ACB" w:rsidR="00CE3883" w:rsidRPr="00CE3883" w:rsidRDefault="00CE3883" w:rsidP="00CE3883">
      <w:pPr>
        <w:pStyle w:val="ListParagraph"/>
        <w:numPr>
          <w:ilvl w:val="0"/>
          <w:numId w:val="30"/>
        </w:numPr>
        <w:rPr>
          <w:lang w:val="en-GB" w:eastAsia="en-GB"/>
        </w:rPr>
      </w:pPr>
      <w:proofErr w:type="spellStart"/>
      <w:r w:rsidRPr="00CE3883">
        <w:rPr>
          <w:b/>
          <w:bCs/>
          <w:lang w:val="en-GB" w:eastAsia="en-GB"/>
        </w:rPr>
        <w:t>DrugBank</w:t>
      </w:r>
      <w:proofErr w:type="spellEnd"/>
      <w:r w:rsidRPr="00CE3883">
        <w:rPr>
          <w:b/>
          <w:bCs/>
          <w:lang w:val="en-GB" w:eastAsia="en-GB"/>
        </w:rPr>
        <w:t>:</w:t>
      </w:r>
      <w:r w:rsidRPr="00CE3883">
        <w:rPr>
          <w:lang w:val="en-GB" w:eastAsia="en-GB"/>
        </w:rPr>
        <w:t xml:space="preserve"> </w:t>
      </w:r>
      <w:r>
        <w:rPr>
          <w:lang w:val="en-GB" w:eastAsia="en-GB"/>
        </w:rPr>
        <w:t>It</w:t>
      </w:r>
      <w:r w:rsidRPr="00CE3883">
        <w:rPr>
          <w:lang w:val="en-GB" w:eastAsia="en-GB"/>
        </w:rPr>
        <w:t xml:space="preserve"> is a freely accessible online database for academic use that provides comprehensive information on drugs and their molecular targets. It integrates bioinformatics and cheminformatics data, covering chemical, pharmacological, pharmaceutical properties as well as details on related proteins, sequences, structures, and biological pathways.</w:t>
      </w:r>
    </w:p>
    <w:p w14:paraId="414B6E61" w14:textId="673B538D" w:rsidR="00CE3883" w:rsidRDefault="00CE3883" w:rsidP="00CE3883">
      <w:pPr>
        <w:pStyle w:val="Heading2"/>
        <w:rPr>
          <w:lang w:val="en-GB" w:eastAsia="en-GB"/>
        </w:rPr>
      </w:pPr>
      <w:r>
        <w:rPr>
          <w:lang w:val="en-GB" w:eastAsia="en-GB"/>
        </w:rPr>
        <w:t>Exploratory data analysis (EDA)</w:t>
      </w:r>
    </w:p>
    <w:p w14:paraId="0BF1FDD0" w14:textId="77777777" w:rsidR="00455E03" w:rsidRDefault="00455E03" w:rsidP="00455E03">
      <w:pPr>
        <w:rPr>
          <w:lang w:val="en-GB" w:eastAsia="en-GB"/>
        </w:rPr>
      </w:pPr>
    </w:p>
    <w:p w14:paraId="4A91EB80" w14:textId="7715934B" w:rsidR="005D595C" w:rsidRPr="00455E03" w:rsidRDefault="005D595C" w:rsidP="00455E03">
      <w:pPr>
        <w:rPr>
          <w:lang w:val="en-GB" w:eastAsia="en-GB"/>
        </w:rPr>
      </w:pPr>
      <w:r>
        <w:rPr>
          <w:lang w:val="en-GB" w:eastAsia="en-GB"/>
        </w:rPr>
        <w:t xml:space="preserve">Benchmark predictor: </w:t>
      </w:r>
      <w:r w:rsidRPr="005D595C">
        <w:rPr>
          <w:lang w:val="en-GB" w:eastAsia="en-GB"/>
        </w:rPr>
        <w:t>https://insilico-cyp.charite.de/SuperCYPsPred/index.php?site=Statistics</w:t>
      </w:r>
    </w:p>
    <w:p w14:paraId="43C15A1A" w14:textId="03084EE4" w:rsidR="005F33DB" w:rsidRDefault="005F33DB" w:rsidP="005F33DB">
      <w:pPr>
        <w:pStyle w:val="Heading1"/>
        <w:rPr>
          <w:lang w:val="en-GB" w:eastAsia="en-GB"/>
        </w:rPr>
      </w:pPr>
      <w:r>
        <w:rPr>
          <w:lang w:val="en-GB" w:eastAsia="en-GB"/>
        </w:rPr>
        <w:t>REFERENCES</w:t>
      </w:r>
    </w:p>
    <w:p w14:paraId="70C7459C" w14:textId="59EF70DA" w:rsidR="005F33DB" w:rsidRDefault="005F33DB" w:rsidP="005F33DB">
      <w:pPr>
        <w:pStyle w:val="ListParagraph"/>
        <w:numPr>
          <w:ilvl w:val="0"/>
          <w:numId w:val="27"/>
        </w:numPr>
        <w:rPr>
          <w:lang w:val="en-GB" w:eastAsia="en-GB"/>
        </w:rPr>
      </w:pPr>
      <w:proofErr w:type="spellStart"/>
      <w:r w:rsidRPr="00C20205">
        <w:rPr>
          <w:rFonts w:ascii="Arial" w:hAnsi="Arial" w:cs="Arial"/>
          <w:color w:val="333333"/>
          <w:shd w:val="clear" w:color="auto" w:fill="FFFFFF"/>
          <w:lang w:val="en-GB"/>
        </w:rPr>
        <w:t>Öeren</w:t>
      </w:r>
      <w:proofErr w:type="spellEnd"/>
      <w:r w:rsidRPr="00C20205">
        <w:rPr>
          <w:rFonts w:ascii="Arial" w:hAnsi="Arial" w:cs="Arial"/>
          <w:color w:val="333333"/>
          <w:shd w:val="clear" w:color="auto" w:fill="FFFFFF"/>
          <w:lang w:val="en-GB"/>
        </w:rPr>
        <w:t xml:space="preserve">, M., Hunt, P. A., </w:t>
      </w:r>
      <w:proofErr w:type="spellStart"/>
      <w:r w:rsidRPr="00C20205">
        <w:rPr>
          <w:rFonts w:ascii="Arial" w:hAnsi="Arial" w:cs="Arial"/>
          <w:color w:val="333333"/>
          <w:shd w:val="clear" w:color="auto" w:fill="FFFFFF"/>
          <w:lang w:val="en-GB"/>
        </w:rPr>
        <w:t>Wharrick</w:t>
      </w:r>
      <w:proofErr w:type="spellEnd"/>
      <w:r w:rsidRPr="00C20205">
        <w:rPr>
          <w:rFonts w:ascii="Arial" w:hAnsi="Arial" w:cs="Arial"/>
          <w:color w:val="333333"/>
          <w:shd w:val="clear" w:color="auto" w:fill="FFFFFF"/>
          <w:lang w:val="en-GB"/>
        </w:rPr>
        <w:t>, C. E., Tabatabaei Ghomi, H., &amp; Segall, M. D. (2024). Predicting routes of phase I and II metabolism based on quantum mechanics and machine learning. </w:t>
      </w:r>
      <w:proofErr w:type="spellStart"/>
      <w:r>
        <w:rPr>
          <w:rFonts w:ascii="Arial" w:hAnsi="Arial" w:cs="Arial"/>
          <w:i/>
          <w:iCs/>
          <w:color w:val="333333"/>
          <w:shd w:val="clear" w:color="auto" w:fill="FFFFFF"/>
        </w:rPr>
        <w:t>Xenobiotica</w:t>
      </w:r>
      <w:proofErr w:type="spellEnd"/>
      <w:r>
        <w:rPr>
          <w:rFonts w:ascii="Arial" w:hAnsi="Arial" w:cs="Arial"/>
          <w:color w:val="333333"/>
          <w:shd w:val="clear" w:color="auto" w:fill="FFFFFF"/>
        </w:rPr>
        <w:t>, </w:t>
      </w:r>
      <w:r>
        <w:rPr>
          <w:rFonts w:ascii="Arial" w:hAnsi="Arial" w:cs="Arial"/>
          <w:i/>
          <w:iCs/>
          <w:color w:val="333333"/>
          <w:shd w:val="clear" w:color="auto" w:fill="FFFFFF"/>
        </w:rPr>
        <w:t>54</w:t>
      </w:r>
      <w:r>
        <w:rPr>
          <w:rFonts w:ascii="Arial" w:hAnsi="Arial" w:cs="Arial"/>
          <w:color w:val="333333"/>
          <w:shd w:val="clear" w:color="auto" w:fill="FFFFFF"/>
        </w:rPr>
        <w:t xml:space="preserve">(7), 379–393. </w:t>
      </w:r>
      <w:hyperlink r:id="rId13" w:history="1">
        <w:r w:rsidRPr="006E1739">
          <w:rPr>
            <w:rStyle w:val="Hyperlink"/>
            <w:rFonts w:ascii="Arial" w:hAnsi="Arial" w:cs="Arial"/>
            <w:shd w:val="clear" w:color="auto" w:fill="FFFFFF"/>
          </w:rPr>
          <w:t>https://doi.org/10.1080/00498254.2023.2284251</w:t>
        </w:r>
      </w:hyperlink>
      <w:r>
        <w:rPr>
          <w:rFonts w:ascii="Arial" w:hAnsi="Arial" w:cs="Arial"/>
          <w:color w:val="333333"/>
          <w:shd w:val="clear" w:color="auto" w:fill="FFFFFF"/>
        </w:rPr>
        <w:t xml:space="preserve"> (STARDSUT)</w:t>
      </w:r>
    </w:p>
    <w:p w14:paraId="2D31E96F" w14:textId="32497338" w:rsidR="005F33DB" w:rsidRPr="005F33DB" w:rsidRDefault="005F33DB" w:rsidP="005F33DB">
      <w:pPr>
        <w:pStyle w:val="ListParagraph"/>
        <w:numPr>
          <w:ilvl w:val="0"/>
          <w:numId w:val="27"/>
        </w:numPr>
        <w:rPr>
          <w:lang w:val="en-GB" w:eastAsia="en-GB"/>
        </w:rPr>
      </w:pPr>
      <w:hyperlink r:id="rId14" w:history="1">
        <w:r w:rsidRPr="006E1739">
          <w:rPr>
            <w:rStyle w:val="Hyperlink"/>
            <w:lang w:val="en-GB" w:eastAsia="en-GB"/>
          </w:rPr>
          <w:t>https://www.moldiscovery.com/software/metasite7/</w:t>
        </w:r>
      </w:hyperlink>
      <w:r>
        <w:rPr>
          <w:lang w:val="en-GB" w:eastAsia="en-GB"/>
        </w:rPr>
        <w:t xml:space="preserve"> (METASITE7)</w:t>
      </w:r>
    </w:p>
    <w:sectPr w:rsidR="005F33DB" w:rsidRPr="005F33DB" w:rsidSect="00CD779A">
      <w:pgSz w:w="11906" w:h="16838" w:code="9"/>
      <w:pgMar w:top="-1985" w:right="1276" w:bottom="993" w:left="1701" w:header="709" w:footer="4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D70D" w14:textId="77777777" w:rsidR="00D25CFA" w:rsidRDefault="00D25CFA" w:rsidP="005D2D4D">
      <w:r>
        <w:separator/>
      </w:r>
    </w:p>
  </w:endnote>
  <w:endnote w:type="continuationSeparator" w:id="0">
    <w:p w14:paraId="6C67B16D" w14:textId="77777777" w:rsidR="00D25CFA" w:rsidRDefault="00D25CFA"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Times New Roman"/>
    <w:charset w:val="00"/>
    <w:family w:val="auto"/>
    <w:pitch w:val="variable"/>
    <w:sig w:usb0="E0000AFF" w:usb1="5000217F" w:usb2="00000021" w:usb3="00000000" w:csb0="0000019F" w:csb1="00000000"/>
  </w:font>
  <w:font w:name="ヒラギノ角ゴ Pro W3">
    <w:altName w:val="Yu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520098"/>
      <w:docPartObj>
        <w:docPartGallery w:val="Page Numbers (Bottom of Page)"/>
        <w:docPartUnique/>
      </w:docPartObj>
    </w:sdtPr>
    <w:sdtContent>
      <w:p w14:paraId="3C6BD3A8" w14:textId="12D2A18C" w:rsidR="00C20205" w:rsidRDefault="00C20205">
        <w:pPr>
          <w:pStyle w:val="Footer"/>
          <w:jc w:val="right"/>
        </w:pPr>
        <w:r>
          <w:fldChar w:fldCharType="begin"/>
        </w:r>
        <w:r>
          <w:instrText>PAGE   \* MERGEFORMAT</w:instrText>
        </w:r>
        <w:r>
          <w:fldChar w:fldCharType="separate"/>
        </w:r>
        <w:r>
          <w:rPr>
            <w:lang w:val="en-GB"/>
          </w:rPr>
          <w:t>2</w:t>
        </w:r>
        <w:r>
          <w:fldChar w:fldCharType="end"/>
        </w:r>
      </w:p>
    </w:sdtContent>
  </w:sdt>
  <w:p w14:paraId="27C2E6BA" w14:textId="77777777" w:rsidR="00C20205" w:rsidRDefault="00C20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812372"/>
      <w:docPartObj>
        <w:docPartGallery w:val="Page Numbers (Bottom of Page)"/>
        <w:docPartUnique/>
      </w:docPartObj>
    </w:sdtPr>
    <w:sdtContent>
      <w:p w14:paraId="4AD6AB2A" w14:textId="25196821" w:rsidR="00CD779A" w:rsidRDefault="00CD779A">
        <w:pPr>
          <w:pStyle w:val="Footer"/>
          <w:jc w:val="right"/>
        </w:pPr>
        <w:r>
          <w:fldChar w:fldCharType="begin"/>
        </w:r>
        <w:r>
          <w:instrText>PAGE   \* MERGEFORMAT</w:instrText>
        </w:r>
        <w:r>
          <w:fldChar w:fldCharType="separate"/>
        </w:r>
        <w:r w:rsidR="000F0CFA" w:rsidRPr="000F0CFA">
          <w:rPr>
            <w:noProof/>
            <w:lang w:val="en-GB"/>
          </w:rPr>
          <w:t>3</w:t>
        </w:r>
        <w:r>
          <w:fldChar w:fldCharType="end"/>
        </w:r>
      </w:p>
    </w:sdtContent>
  </w:sdt>
  <w:p w14:paraId="71EDCCCC" w14:textId="77777777" w:rsidR="00CD779A" w:rsidRDefault="00CD7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DAC2" w14:textId="77777777" w:rsidR="00D25CFA" w:rsidRDefault="00D25CFA" w:rsidP="005D2D4D">
      <w:r>
        <w:separator/>
      </w:r>
    </w:p>
  </w:footnote>
  <w:footnote w:type="continuationSeparator" w:id="0">
    <w:p w14:paraId="2CC8068D" w14:textId="77777777" w:rsidR="00D25CFA" w:rsidRDefault="00D25CFA" w:rsidP="005D2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67pt;height:167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4B260C8"/>
    <w:multiLevelType w:val="hybridMultilevel"/>
    <w:tmpl w:val="2924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3" w15:restartNumberingAfterBreak="0">
    <w:nsid w:val="0A5215FD"/>
    <w:multiLevelType w:val="hybridMultilevel"/>
    <w:tmpl w:val="4CEC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725D63"/>
    <w:multiLevelType w:val="hybridMultilevel"/>
    <w:tmpl w:val="50B8F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6" w15:restartNumberingAfterBreak="0">
    <w:nsid w:val="11D70E2A"/>
    <w:multiLevelType w:val="hybridMultilevel"/>
    <w:tmpl w:val="0854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9" w15:restartNumberingAfterBreak="0">
    <w:nsid w:val="33FE62A4"/>
    <w:multiLevelType w:val="hybridMultilevel"/>
    <w:tmpl w:val="819CE3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3"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4"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5"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7"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8" w15:restartNumberingAfterBreak="0">
    <w:nsid w:val="69151B1F"/>
    <w:multiLevelType w:val="hybridMultilevel"/>
    <w:tmpl w:val="70028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20"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617102136">
    <w:abstractNumId w:val="11"/>
  </w:num>
  <w:num w:numId="2" w16cid:durableId="912158947">
    <w:abstractNumId w:val="8"/>
  </w:num>
  <w:num w:numId="3" w16cid:durableId="281889757">
    <w:abstractNumId w:val="12"/>
  </w:num>
  <w:num w:numId="4" w16cid:durableId="181207349">
    <w:abstractNumId w:val="0"/>
  </w:num>
  <w:num w:numId="5" w16cid:durableId="1060442504">
    <w:abstractNumId w:val="2"/>
  </w:num>
  <w:num w:numId="6" w16cid:durableId="1781874687">
    <w:abstractNumId w:val="20"/>
  </w:num>
  <w:num w:numId="7" w16cid:durableId="1930696681">
    <w:abstractNumId w:val="17"/>
  </w:num>
  <w:num w:numId="8" w16cid:durableId="288122373">
    <w:abstractNumId w:val="15"/>
  </w:num>
  <w:num w:numId="9" w16cid:durableId="1384670221">
    <w:abstractNumId w:val="5"/>
  </w:num>
  <w:num w:numId="10" w16cid:durableId="1919559332">
    <w:abstractNumId w:val="16"/>
  </w:num>
  <w:num w:numId="11" w16cid:durableId="913514872">
    <w:abstractNumId w:val="10"/>
  </w:num>
  <w:num w:numId="12" w16cid:durableId="2093774704">
    <w:abstractNumId w:val="19"/>
  </w:num>
  <w:num w:numId="13" w16cid:durableId="1656835221">
    <w:abstractNumId w:val="14"/>
  </w:num>
  <w:num w:numId="14" w16cid:durableId="2075085400">
    <w:abstractNumId w:val="13"/>
  </w:num>
  <w:num w:numId="15" w16cid:durableId="1376928120">
    <w:abstractNumId w:val="4"/>
  </w:num>
  <w:num w:numId="16" w16cid:durableId="402872824">
    <w:abstractNumId w:val="7"/>
  </w:num>
  <w:num w:numId="17" w16cid:durableId="1200584732">
    <w:abstractNumId w:val="7"/>
  </w:num>
  <w:num w:numId="18" w16cid:durableId="609974171">
    <w:abstractNumId w:val="7"/>
  </w:num>
  <w:num w:numId="19" w16cid:durableId="389766910">
    <w:abstractNumId w:val="7"/>
  </w:num>
  <w:num w:numId="20" w16cid:durableId="418916477">
    <w:abstractNumId w:val="7"/>
  </w:num>
  <w:num w:numId="21" w16cid:durableId="1370489010">
    <w:abstractNumId w:val="7"/>
  </w:num>
  <w:num w:numId="22" w16cid:durableId="1468939726">
    <w:abstractNumId w:val="7"/>
  </w:num>
  <w:num w:numId="23" w16cid:durableId="1474328577">
    <w:abstractNumId w:val="7"/>
  </w:num>
  <w:num w:numId="24" w16cid:durableId="1296644125">
    <w:abstractNumId w:val="7"/>
  </w:num>
  <w:num w:numId="25" w16cid:durableId="5595566">
    <w:abstractNumId w:val="7"/>
  </w:num>
  <w:num w:numId="26" w16cid:durableId="1878735314">
    <w:abstractNumId w:val="7"/>
  </w:num>
  <w:num w:numId="27" w16cid:durableId="1749688877">
    <w:abstractNumId w:val="9"/>
  </w:num>
  <w:num w:numId="28" w16cid:durableId="253558993">
    <w:abstractNumId w:val="3"/>
  </w:num>
  <w:num w:numId="29" w16cid:durableId="1650590971">
    <w:abstractNumId w:val="18"/>
  </w:num>
  <w:num w:numId="30" w16cid:durableId="1272929739">
    <w:abstractNumId w:val="6"/>
  </w:num>
  <w:num w:numId="31" w16cid:durableId="724716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D4D"/>
    <w:rsid w:val="000036A3"/>
    <w:rsid w:val="0001074B"/>
    <w:rsid w:val="00047FFE"/>
    <w:rsid w:val="00053684"/>
    <w:rsid w:val="0006702D"/>
    <w:rsid w:val="00067F24"/>
    <w:rsid w:val="00090FD5"/>
    <w:rsid w:val="00096FCC"/>
    <w:rsid w:val="000F0CFA"/>
    <w:rsid w:val="00114998"/>
    <w:rsid w:val="0017044E"/>
    <w:rsid w:val="0018737E"/>
    <w:rsid w:val="00191241"/>
    <w:rsid w:val="0019424B"/>
    <w:rsid w:val="001A38EA"/>
    <w:rsid w:val="001A4EB0"/>
    <w:rsid w:val="001D0014"/>
    <w:rsid w:val="001E5796"/>
    <w:rsid w:val="00205C60"/>
    <w:rsid w:val="00207F37"/>
    <w:rsid w:val="0022077C"/>
    <w:rsid w:val="00224B55"/>
    <w:rsid w:val="00233A6E"/>
    <w:rsid w:val="00242378"/>
    <w:rsid w:val="00251FDC"/>
    <w:rsid w:val="002638EA"/>
    <w:rsid w:val="002913E1"/>
    <w:rsid w:val="002927BC"/>
    <w:rsid w:val="002955D3"/>
    <w:rsid w:val="002B512A"/>
    <w:rsid w:val="002C0346"/>
    <w:rsid w:val="002C3E7C"/>
    <w:rsid w:val="00301118"/>
    <w:rsid w:val="00302E17"/>
    <w:rsid w:val="00310EDE"/>
    <w:rsid w:val="00320D31"/>
    <w:rsid w:val="003242BE"/>
    <w:rsid w:val="00346D66"/>
    <w:rsid w:val="0035442B"/>
    <w:rsid w:val="00355237"/>
    <w:rsid w:val="003873F2"/>
    <w:rsid w:val="003A1F15"/>
    <w:rsid w:val="003C55D0"/>
    <w:rsid w:val="003D470A"/>
    <w:rsid w:val="003E2756"/>
    <w:rsid w:val="003E4788"/>
    <w:rsid w:val="003F4712"/>
    <w:rsid w:val="0040423F"/>
    <w:rsid w:val="00451615"/>
    <w:rsid w:val="0045225B"/>
    <w:rsid w:val="00455E03"/>
    <w:rsid w:val="004579B3"/>
    <w:rsid w:val="0046344C"/>
    <w:rsid w:val="00475EC9"/>
    <w:rsid w:val="004829DE"/>
    <w:rsid w:val="00491B57"/>
    <w:rsid w:val="00492D77"/>
    <w:rsid w:val="004C4BC2"/>
    <w:rsid w:val="004D3257"/>
    <w:rsid w:val="004E379C"/>
    <w:rsid w:val="004E4188"/>
    <w:rsid w:val="00502807"/>
    <w:rsid w:val="00510F94"/>
    <w:rsid w:val="00520718"/>
    <w:rsid w:val="00547DFB"/>
    <w:rsid w:val="00550C6F"/>
    <w:rsid w:val="005564B5"/>
    <w:rsid w:val="00565D7C"/>
    <w:rsid w:val="00566539"/>
    <w:rsid w:val="00585443"/>
    <w:rsid w:val="005A24C7"/>
    <w:rsid w:val="005A2583"/>
    <w:rsid w:val="005A34ED"/>
    <w:rsid w:val="005D2D4D"/>
    <w:rsid w:val="005D595C"/>
    <w:rsid w:val="005F33DB"/>
    <w:rsid w:val="006016D0"/>
    <w:rsid w:val="00602C2F"/>
    <w:rsid w:val="006179E0"/>
    <w:rsid w:val="006319F9"/>
    <w:rsid w:val="006329D7"/>
    <w:rsid w:val="00642779"/>
    <w:rsid w:val="006521EE"/>
    <w:rsid w:val="006618AC"/>
    <w:rsid w:val="00677598"/>
    <w:rsid w:val="0068166C"/>
    <w:rsid w:val="006950CF"/>
    <w:rsid w:val="006A1FFD"/>
    <w:rsid w:val="006B07A3"/>
    <w:rsid w:val="00703FE0"/>
    <w:rsid w:val="00714ADF"/>
    <w:rsid w:val="0072720A"/>
    <w:rsid w:val="00757C4D"/>
    <w:rsid w:val="0076241E"/>
    <w:rsid w:val="007767C2"/>
    <w:rsid w:val="0078086A"/>
    <w:rsid w:val="007900F7"/>
    <w:rsid w:val="007A79B9"/>
    <w:rsid w:val="007D4602"/>
    <w:rsid w:val="007E2EC4"/>
    <w:rsid w:val="007E55F3"/>
    <w:rsid w:val="007F2CEE"/>
    <w:rsid w:val="008068A5"/>
    <w:rsid w:val="00807D12"/>
    <w:rsid w:val="00821259"/>
    <w:rsid w:val="008244EF"/>
    <w:rsid w:val="00830EDA"/>
    <w:rsid w:val="00876B07"/>
    <w:rsid w:val="00876DF6"/>
    <w:rsid w:val="008836F7"/>
    <w:rsid w:val="008840D5"/>
    <w:rsid w:val="0089727E"/>
    <w:rsid w:val="008A67F9"/>
    <w:rsid w:val="009026C6"/>
    <w:rsid w:val="00904029"/>
    <w:rsid w:val="00947BCC"/>
    <w:rsid w:val="00955AFF"/>
    <w:rsid w:val="009627CE"/>
    <w:rsid w:val="00964CF8"/>
    <w:rsid w:val="00973BE9"/>
    <w:rsid w:val="00980A45"/>
    <w:rsid w:val="00991662"/>
    <w:rsid w:val="00996651"/>
    <w:rsid w:val="009A6519"/>
    <w:rsid w:val="009C2EB8"/>
    <w:rsid w:val="009C35FE"/>
    <w:rsid w:val="009D5D01"/>
    <w:rsid w:val="009F4E24"/>
    <w:rsid w:val="009F5881"/>
    <w:rsid w:val="00A07D3D"/>
    <w:rsid w:val="00A418EC"/>
    <w:rsid w:val="00A711DB"/>
    <w:rsid w:val="00A83896"/>
    <w:rsid w:val="00AB3034"/>
    <w:rsid w:val="00AD3B1C"/>
    <w:rsid w:val="00AE06C4"/>
    <w:rsid w:val="00AE5BF9"/>
    <w:rsid w:val="00B05BF5"/>
    <w:rsid w:val="00B1287F"/>
    <w:rsid w:val="00B21B1D"/>
    <w:rsid w:val="00B34637"/>
    <w:rsid w:val="00B35406"/>
    <w:rsid w:val="00B549A4"/>
    <w:rsid w:val="00B73CFE"/>
    <w:rsid w:val="00B834C4"/>
    <w:rsid w:val="00B8550C"/>
    <w:rsid w:val="00B85A9B"/>
    <w:rsid w:val="00B87B42"/>
    <w:rsid w:val="00B92444"/>
    <w:rsid w:val="00BA3391"/>
    <w:rsid w:val="00BC4D44"/>
    <w:rsid w:val="00BD6094"/>
    <w:rsid w:val="00BF57CE"/>
    <w:rsid w:val="00C04BD7"/>
    <w:rsid w:val="00C12187"/>
    <w:rsid w:val="00C2018A"/>
    <w:rsid w:val="00C20205"/>
    <w:rsid w:val="00C21E22"/>
    <w:rsid w:val="00C221D5"/>
    <w:rsid w:val="00C51954"/>
    <w:rsid w:val="00C520E0"/>
    <w:rsid w:val="00C632A4"/>
    <w:rsid w:val="00C77D8B"/>
    <w:rsid w:val="00C833D3"/>
    <w:rsid w:val="00C918C2"/>
    <w:rsid w:val="00C9448C"/>
    <w:rsid w:val="00CD2C32"/>
    <w:rsid w:val="00CD779A"/>
    <w:rsid w:val="00CE3883"/>
    <w:rsid w:val="00CE38DE"/>
    <w:rsid w:val="00CF163A"/>
    <w:rsid w:val="00CF49D4"/>
    <w:rsid w:val="00D002E2"/>
    <w:rsid w:val="00D25CFA"/>
    <w:rsid w:val="00D31426"/>
    <w:rsid w:val="00D325EF"/>
    <w:rsid w:val="00D34117"/>
    <w:rsid w:val="00D47D90"/>
    <w:rsid w:val="00D51483"/>
    <w:rsid w:val="00D6673D"/>
    <w:rsid w:val="00D67D1D"/>
    <w:rsid w:val="00D7357A"/>
    <w:rsid w:val="00D74039"/>
    <w:rsid w:val="00D767EB"/>
    <w:rsid w:val="00D76D64"/>
    <w:rsid w:val="00D77CCF"/>
    <w:rsid w:val="00D77F94"/>
    <w:rsid w:val="00DB0738"/>
    <w:rsid w:val="00DB53E3"/>
    <w:rsid w:val="00DC74E7"/>
    <w:rsid w:val="00DD739D"/>
    <w:rsid w:val="00DE7FDA"/>
    <w:rsid w:val="00E02ED6"/>
    <w:rsid w:val="00E33C60"/>
    <w:rsid w:val="00E412AE"/>
    <w:rsid w:val="00E41CF9"/>
    <w:rsid w:val="00E43B0E"/>
    <w:rsid w:val="00E61BA1"/>
    <w:rsid w:val="00E77C21"/>
    <w:rsid w:val="00E81365"/>
    <w:rsid w:val="00E83B3F"/>
    <w:rsid w:val="00E9306E"/>
    <w:rsid w:val="00E935F5"/>
    <w:rsid w:val="00EA3419"/>
    <w:rsid w:val="00EA408F"/>
    <w:rsid w:val="00EA692B"/>
    <w:rsid w:val="00EB567E"/>
    <w:rsid w:val="00EB6587"/>
    <w:rsid w:val="00EB680B"/>
    <w:rsid w:val="00EE7D9A"/>
    <w:rsid w:val="00EF16AB"/>
    <w:rsid w:val="00EF2791"/>
    <w:rsid w:val="00F3214F"/>
    <w:rsid w:val="00F6568F"/>
    <w:rsid w:val="00F70030"/>
    <w:rsid w:val="00F8595F"/>
    <w:rsid w:val="00F87C73"/>
    <w:rsid w:val="00F9519F"/>
    <w:rsid w:val="00FA1E97"/>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15:docId w15:val="{EBFDE3EE-7712-4DA0-8354-55E06755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788"/>
  </w:style>
  <w:style w:type="paragraph" w:styleId="Heading1">
    <w:name w:val="heading 1"/>
    <w:basedOn w:val="Normal"/>
    <w:next w:val="Normal"/>
    <w:link w:val="Heading1Char"/>
    <w:uiPriority w:val="9"/>
    <w:qFormat/>
    <w:rsid w:val="003E4788"/>
    <w:pPr>
      <w:keepNext/>
      <w:keepLines/>
      <w:numPr>
        <w:numId w:val="2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E4788"/>
    <w:pPr>
      <w:keepNext/>
      <w:keepLines/>
      <w:numPr>
        <w:ilvl w:val="1"/>
        <w:numId w:val="2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3E4788"/>
    <w:pPr>
      <w:keepNext/>
      <w:keepLines/>
      <w:numPr>
        <w:ilvl w:val="2"/>
        <w:numId w:val="2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E4788"/>
    <w:pPr>
      <w:keepNext/>
      <w:keepLines/>
      <w:numPr>
        <w:ilvl w:val="3"/>
        <w:numId w:val="2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E4788"/>
    <w:pPr>
      <w:keepNext/>
      <w:keepLines/>
      <w:numPr>
        <w:ilvl w:val="4"/>
        <w:numId w:val="25"/>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3E4788"/>
    <w:pPr>
      <w:keepNext/>
      <w:keepLines/>
      <w:numPr>
        <w:ilvl w:val="5"/>
        <w:numId w:val="2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E4788"/>
    <w:pPr>
      <w:keepNext/>
      <w:keepLines/>
      <w:numPr>
        <w:ilvl w:val="6"/>
        <w:numId w:val="2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4788"/>
    <w:pPr>
      <w:keepNext/>
      <w:keepLines/>
      <w:numPr>
        <w:ilvl w:val="7"/>
        <w:numId w:val="2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E4788"/>
    <w:pPr>
      <w:keepNext/>
      <w:keepLines/>
      <w:numPr>
        <w:ilvl w:val="8"/>
        <w:numId w:val="2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D4D"/>
    <w:pPr>
      <w:tabs>
        <w:tab w:val="center" w:pos="4419"/>
        <w:tab w:val="right" w:pos="8838"/>
      </w:tabs>
    </w:pPr>
    <w:rPr>
      <w:rFonts w:eastAsiaTheme="minorHAnsi"/>
    </w:rPr>
  </w:style>
  <w:style w:type="character" w:customStyle="1" w:styleId="HeaderChar">
    <w:name w:val="Header Char"/>
    <w:basedOn w:val="DefaultParagraphFont"/>
    <w:link w:val="Header"/>
    <w:uiPriority w:val="99"/>
    <w:rsid w:val="005D2D4D"/>
  </w:style>
  <w:style w:type="paragraph" w:styleId="Footer">
    <w:name w:val="footer"/>
    <w:basedOn w:val="Normal"/>
    <w:link w:val="FooterChar"/>
    <w:uiPriority w:val="99"/>
    <w:unhideWhenUsed/>
    <w:rsid w:val="005D2D4D"/>
    <w:pPr>
      <w:tabs>
        <w:tab w:val="center" w:pos="4419"/>
        <w:tab w:val="right" w:pos="8838"/>
      </w:tabs>
    </w:pPr>
    <w:rPr>
      <w:rFonts w:eastAsiaTheme="minorHAnsi"/>
    </w:rPr>
  </w:style>
  <w:style w:type="character" w:customStyle="1" w:styleId="FooterChar">
    <w:name w:val="Footer Char"/>
    <w:basedOn w:val="DefaultParagraphFont"/>
    <w:link w:val="Footer"/>
    <w:uiPriority w:val="99"/>
    <w:rsid w:val="005D2D4D"/>
  </w:style>
  <w:style w:type="character" w:customStyle="1" w:styleId="Heading2Char">
    <w:name w:val="Heading 2 Char"/>
    <w:basedOn w:val="DefaultParagraphFont"/>
    <w:link w:val="Heading2"/>
    <w:uiPriority w:val="9"/>
    <w:rsid w:val="003E4788"/>
    <w:rPr>
      <w:rFonts w:asciiTheme="majorHAnsi" w:eastAsiaTheme="majorEastAsia" w:hAnsiTheme="majorHAnsi" w:cstheme="majorBidi"/>
      <w:b/>
      <w:bCs/>
      <w:smallCaps/>
      <w:color w:val="000000" w:themeColor="text1"/>
      <w:sz w:val="28"/>
      <w:szCs w:val="28"/>
    </w:rPr>
  </w:style>
  <w:style w:type="paragraph" w:styleId="Title">
    <w:name w:val="Title"/>
    <w:basedOn w:val="Normal"/>
    <w:next w:val="Normal"/>
    <w:link w:val="TitleChar"/>
    <w:uiPriority w:val="10"/>
    <w:qFormat/>
    <w:rsid w:val="003E478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E4788"/>
    <w:rPr>
      <w:rFonts w:asciiTheme="majorHAnsi" w:eastAsiaTheme="majorEastAsia" w:hAnsiTheme="majorHAnsi" w:cstheme="majorBidi"/>
      <w:color w:val="000000" w:themeColor="text1"/>
      <w:sz w:val="56"/>
      <w:szCs w:val="56"/>
    </w:rPr>
  </w:style>
  <w:style w:type="paragraph" w:styleId="BalloonText">
    <w:name w:val="Balloon Text"/>
    <w:basedOn w:val="Normal"/>
    <w:link w:val="BalloonTextChar"/>
    <w:uiPriority w:val="99"/>
    <w:semiHidden/>
    <w:unhideWhenUsed/>
    <w:rsid w:val="00EA69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92B"/>
    <w:rPr>
      <w:rFonts w:ascii="Segoe UI" w:eastAsia="Times New Roman" w:hAnsi="Segoe UI" w:cs="Segoe UI"/>
      <w:sz w:val="18"/>
      <w:szCs w:val="18"/>
      <w:lang w:eastAsia="es-ES"/>
    </w:rPr>
  </w:style>
  <w:style w:type="character" w:styleId="Hyperlink">
    <w:name w:val="Hyperlink"/>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ascii="Arial" w:eastAsia="SimSun" w:hAnsi="Arial" w:cs="Mangal"/>
      <w:color w:val="FF0000"/>
      <w:spacing w:val="-6"/>
      <w:kern w:val="1"/>
      <w:sz w:val="16"/>
      <w:szCs w:val="24"/>
      <w:lang w:val="en-GB" w:eastAsia="zh-CN" w:bidi="hi-IN"/>
    </w:rPr>
  </w:style>
  <w:style w:type="paragraph" w:styleId="ListParagraph">
    <w:name w:val="List Paragraph"/>
    <w:basedOn w:val="Normal"/>
    <w:uiPriority w:val="34"/>
    <w:qFormat/>
    <w:rsid w:val="009A6519"/>
    <w:pPr>
      <w:ind w:left="720"/>
      <w:contextualSpacing/>
    </w:pPr>
  </w:style>
  <w:style w:type="table" w:styleId="TableGrid">
    <w:name w:val="Table Grid"/>
    <w:basedOn w:val="Table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4788"/>
    <w:rPr>
      <w:rFonts w:asciiTheme="majorHAnsi" w:eastAsiaTheme="majorEastAsia" w:hAnsiTheme="majorHAnsi" w:cstheme="majorBidi"/>
      <w:b/>
      <w:bCs/>
      <w:smallCaps/>
      <w:color w:val="000000" w:themeColor="text1"/>
      <w:sz w:val="36"/>
      <w:szCs w:val="36"/>
    </w:rPr>
  </w:style>
  <w:style w:type="character" w:customStyle="1" w:styleId="Heading3Char">
    <w:name w:val="Heading 3 Char"/>
    <w:basedOn w:val="DefaultParagraphFont"/>
    <w:link w:val="Heading3"/>
    <w:uiPriority w:val="9"/>
    <w:semiHidden/>
    <w:rsid w:val="003E478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E478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E478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3E478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E478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478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E478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4788"/>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3E478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E4788"/>
    <w:rPr>
      <w:color w:val="5A5A5A" w:themeColor="text1" w:themeTint="A5"/>
      <w:spacing w:val="10"/>
    </w:rPr>
  </w:style>
  <w:style w:type="character" w:styleId="Strong">
    <w:name w:val="Strong"/>
    <w:basedOn w:val="DefaultParagraphFont"/>
    <w:uiPriority w:val="22"/>
    <w:qFormat/>
    <w:rsid w:val="003E4788"/>
    <w:rPr>
      <w:b/>
      <w:bCs/>
      <w:color w:val="000000" w:themeColor="text1"/>
    </w:rPr>
  </w:style>
  <w:style w:type="character" w:styleId="Emphasis">
    <w:name w:val="Emphasis"/>
    <w:basedOn w:val="DefaultParagraphFont"/>
    <w:uiPriority w:val="20"/>
    <w:qFormat/>
    <w:rsid w:val="003E4788"/>
    <w:rPr>
      <w:i/>
      <w:iCs/>
      <w:color w:val="auto"/>
    </w:rPr>
  </w:style>
  <w:style w:type="paragraph" w:styleId="NoSpacing">
    <w:name w:val="No Spacing"/>
    <w:uiPriority w:val="1"/>
    <w:qFormat/>
    <w:rsid w:val="003E4788"/>
    <w:pPr>
      <w:spacing w:after="0" w:line="240" w:lineRule="auto"/>
    </w:pPr>
  </w:style>
  <w:style w:type="paragraph" w:styleId="Quote">
    <w:name w:val="Quote"/>
    <w:basedOn w:val="Normal"/>
    <w:next w:val="Normal"/>
    <w:link w:val="QuoteChar"/>
    <w:uiPriority w:val="29"/>
    <w:qFormat/>
    <w:rsid w:val="003E4788"/>
    <w:pPr>
      <w:spacing w:before="160"/>
      <w:ind w:left="720" w:right="720"/>
    </w:pPr>
    <w:rPr>
      <w:i/>
      <w:iCs/>
      <w:color w:val="000000" w:themeColor="text1"/>
    </w:rPr>
  </w:style>
  <w:style w:type="character" w:customStyle="1" w:styleId="QuoteChar">
    <w:name w:val="Quote Char"/>
    <w:basedOn w:val="DefaultParagraphFont"/>
    <w:link w:val="Quote"/>
    <w:uiPriority w:val="29"/>
    <w:rsid w:val="003E4788"/>
    <w:rPr>
      <w:i/>
      <w:iCs/>
      <w:color w:val="000000" w:themeColor="text1"/>
    </w:rPr>
  </w:style>
  <w:style w:type="paragraph" w:styleId="IntenseQuote">
    <w:name w:val="Intense Quote"/>
    <w:basedOn w:val="Normal"/>
    <w:next w:val="Normal"/>
    <w:link w:val="IntenseQuoteChar"/>
    <w:uiPriority w:val="30"/>
    <w:qFormat/>
    <w:rsid w:val="003E478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E4788"/>
    <w:rPr>
      <w:color w:val="000000" w:themeColor="text1"/>
      <w:shd w:val="clear" w:color="auto" w:fill="F2F2F2" w:themeFill="background1" w:themeFillShade="F2"/>
    </w:rPr>
  </w:style>
  <w:style w:type="character" w:styleId="SubtleEmphasis">
    <w:name w:val="Subtle Emphasis"/>
    <w:basedOn w:val="DefaultParagraphFont"/>
    <w:uiPriority w:val="19"/>
    <w:qFormat/>
    <w:rsid w:val="003E4788"/>
    <w:rPr>
      <w:i/>
      <w:iCs/>
      <w:color w:val="404040" w:themeColor="text1" w:themeTint="BF"/>
    </w:rPr>
  </w:style>
  <w:style w:type="character" w:styleId="IntenseEmphasis">
    <w:name w:val="Intense Emphasis"/>
    <w:basedOn w:val="DefaultParagraphFont"/>
    <w:uiPriority w:val="21"/>
    <w:qFormat/>
    <w:rsid w:val="003E4788"/>
    <w:rPr>
      <w:b/>
      <w:bCs/>
      <w:i/>
      <w:iCs/>
      <w:caps/>
    </w:rPr>
  </w:style>
  <w:style w:type="character" w:styleId="SubtleReference">
    <w:name w:val="Subtle Reference"/>
    <w:basedOn w:val="DefaultParagraphFont"/>
    <w:uiPriority w:val="31"/>
    <w:qFormat/>
    <w:rsid w:val="003E478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E4788"/>
    <w:rPr>
      <w:b/>
      <w:bCs/>
      <w:smallCaps/>
      <w:u w:val="single"/>
    </w:rPr>
  </w:style>
  <w:style w:type="character" w:styleId="BookTitle">
    <w:name w:val="Book Title"/>
    <w:basedOn w:val="DefaultParagraphFont"/>
    <w:uiPriority w:val="33"/>
    <w:qFormat/>
    <w:rsid w:val="003E4788"/>
    <w:rPr>
      <w:b w:val="0"/>
      <w:bCs w:val="0"/>
      <w:smallCaps/>
      <w:spacing w:val="5"/>
    </w:rPr>
  </w:style>
  <w:style w:type="paragraph" w:styleId="TOCHeading">
    <w:name w:val="TOC Heading"/>
    <w:basedOn w:val="Heading1"/>
    <w:next w:val="Normal"/>
    <w:uiPriority w:val="39"/>
    <w:semiHidden/>
    <w:unhideWhenUsed/>
    <w:qFormat/>
    <w:rsid w:val="003E4788"/>
    <w:pPr>
      <w:outlineLvl w:val="9"/>
    </w:pPr>
  </w:style>
  <w:style w:type="paragraph" w:styleId="NormalWeb">
    <w:name w:val="Normal (Web)"/>
    <w:basedOn w:val="Normal"/>
    <w:uiPriority w:val="99"/>
    <w:semiHidden/>
    <w:unhideWhenUsed/>
    <w:rsid w:val="00BA339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17099542">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15074367">
      <w:bodyDiv w:val="1"/>
      <w:marLeft w:val="0"/>
      <w:marRight w:val="0"/>
      <w:marTop w:val="0"/>
      <w:marBottom w:val="0"/>
      <w:divBdr>
        <w:top w:val="none" w:sz="0" w:space="0" w:color="auto"/>
        <w:left w:val="none" w:sz="0" w:space="0" w:color="auto"/>
        <w:bottom w:val="none" w:sz="0" w:space="0" w:color="auto"/>
        <w:right w:val="none" w:sz="0" w:space="0" w:color="auto"/>
      </w:divBdr>
      <w:divsChild>
        <w:div w:id="1638217630">
          <w:marLeft w:val="0"/>
          <w:marRight w:val="0"/>
          <w:marTop w:val="0"/>
          <w:marBottom w:val="0"/>
          <w:divBdr>
            <w:top w:val="none" w:sz="0" w:space="0" w:color="auto"/>
            <w:left w:val="none" w:sz="0" w:space="0" w:color="auto"/>
            <w:bottom w:val="none" w:sz="0" w:space="0" w:color="auto"/>
            <w:right w:val="none" w:sz="0" w:space="0" w:color="auto"/>
          </w:divBdr>
        </w:div>
      </w:divsChild>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278833908">
      <w:bodyDiv w:val="1"/>
      <w:marLeft w:val="0"/>
      <w:marRight w:val="0"/>
      <w:marTop w:val="0"/>
      <w:marBottom w:val="0"/>
      <w:divBdr>
        <w:top w:val="none" w:sz="0" w:space="0" w:color="auto"/>
        <w:left w:val="none" w:sz="0" w:space="0" w:color="auto"/>
        <w:bottom w:val="none" w:sz="0" w:space="0" w:color="auto"/>
        <w:right w:val="none" w:sz="0" w:space="0" w:color="auto"/>
      </w:divBdr>
      <w:divsChild>
        <w:div w:id="1381397418">
          <w:marLeft w:val="0"/>
          <w:marRight w:val="0"/>
          <w:marTop w:val="300"/>
          <w:marBottom w:val="100"/>
          <w:divBdr>
            <w:top w:val="none" w:sz="0" w:space="0" w:color="auto"/>
            <w:left w:val="none" w:sz="0" w:space="0" w:color="auto"/>
            <w:bottom w:val="none" w:sz="0" w:space="0" w:color="auto"/>
            <w:right w:val="none" w:sz="0" w:space="0" w:color="auto"/>
          </w:divBdr>
          <w:divsChild>
            <w:div w:id="1679309353">
              <w:marLeft w:val="0"/>
              <w:marRight w:val="0"/>
              <w:marTop w:val="0"/>
              <w:marBottom w:val="0"/>
              <w:divBdr>
                <w:top w:val="single" w:sz="6" w:space="0" w:color="CCCCCC"/>
                <w:left w:val="single" w:sz="6" w:space="0" w:color="CCCCCC"/>
                <w:bottom w:val="single" w:sz="6" w:space="0" w:color="CCCCCC"/>
                <w:right w:val="single" w:sz="6" w:space="0" w:color="CCCCCC"/>
              </w:divBdr>
              <w:divsChild>
                <w:div w:id="19434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2157">
          <w:marLeft w:val="0"/>
          <w:marRight w:val="0"/>
          <w:marTop w:val="300"/>
          <w:marBottom w:val="100"/>
          <w:divBdr>
            <w:top w:val="none" w:sz="0" w:space="0" w:color="auto"/>
            <w:left w:val="none" w:sz="0" w:space="0" w:color="auto"/>
            <w:bottom w:val="none" w:sz="0" w:space="0" w:color="auto"/>
            <w:right w:val="none" w:sz="0" w:space="0" w:color="auto"/>
          </w:divBdr>
          <w:divsChild>
            <w:div w:id="49765641">
              <w:marLeft w:val="0"/>
              <w:marRight w:val="0"/>
              <w:marTop w:val="0"/>
              <w:marBottom w:val="0"/>
              <w:divBdr>
                <w:top w:val="single" w:sz="6" w:space="0" w:color="CCCCCC"/>
                <w:left w:val="single" w:sz="6" w:space="0" w:color="CCCCCC"/>
                <w:bottom w:val="single" w:sz="6" w:space="0" w:color="CCCCCC"/>
                <w:right w:val="single" w:sz="6" w:space="0" w:color="CCCCCC"/>
              </w:divBdr>
              <w:divsChild>
                <w:div w:id="1580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11633312">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1917858404">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80/00498254.2023.228425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oldiscovery.com/software/metasite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6" ma:contentTypeDescription="Crear nuevo documento." ma:contentTypeScope="" ma:versionID="ad25a40a439e4eb6a750a8b6ae1789f7">
  <xsd:schema xmlns:xsd="http://www.w3.org/2001/XMLSchema" xmlns:xs="http://www.w3.org/2001/XMLSchema" xmlns:p="http://schemas.microsoft.com/office/2006/metadata/properties" xmlns:ns2="9d7b9a5c-6b4f-4ca1-bb03-c38cacb734bc" xmlns:ns3="7d80c08f-e909-465c-8aa4-0e649fbe85d0" xmlns:ns4="7302fe9c-5e91-4977-8271-167378b25bd2" targetNamespace="http://schemas.microsoft.com/office/2006/metadata/properties" ma:root="true" ma:fieldsID="113d448336e841d5d8efd4b9e74490d6" ns2:_="" ns3:_="" ns4:_="">
    <xsd:import namespace="9d7b9a5c-6b4f-4ca1-bb03-c38cacb734bc"/>
    <xsd:import namespace="7d80c08f-e909-465c-8aa4-0e649fbe85d0"/>
    <xsd:import namespace="7302fe9c-5e91-4977-8271-167378b25b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43c18ae-6c1f-4f51-bf12-02402a25dd4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02fe9c-5e91-4977-8271-167378b25bd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9894f91-728a-444d-963a-1421db80d19c}" ma:internalName="TaxCatchAll" ma:showField="CatchAllData" ma:web="7302fe9c-5e91-4977-8271-167378b25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7b9a5c-6b4f-4ca1-bb03-c38cacb734bc">
      <Terms xmlns="http://schemas.microsoft.com/office/infopath/2007/PartnerControls"/>
    </lcf76f155ced4ddcb4097134ff3c332f>
    <TaxCatchAll xmlns="7302fe9c-5e91-4977-8271-167378b25bd2" xsi:nil="true"/>
  </documentManagement>
</p:properties>
</file>

<file path=customXml/itemProps1.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2.xml><?xml version="1.0" encoding="utf-8"?>
<ds:datastoreItem xmlns:ds="http://schemas.openxmlformats.org/officeDocument/2006/customXml" ds:itemID="{BC4311AC-D0D5-4AE9-8386-76BDCE1C8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7302fe9c-5e91-4977-8271-167378b25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 ds:uri="9d7b9a5c-6b4f-4ca1-bb03-c38cacb734bc"/>
    <ds:schemaRef ds:uri="7302fe9c-5e91-4977-8271-167378b25bd2"/>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7</Pages>
  <Words>2339</Words>
  <Characters>13334</Characters>
  <Application>Microsoft Office Word</Application>
  <DocSecurity>0</DocSecurity>
  <Lines>111</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Robles Criado</dc:creator>
  <cp:keywords/>
  <dc:description/>
  <cp:lastModifiedBy>Gonzalo Robles Criado</cp:lastModifiedBy>
  <cp:revision>22</cp:revision>
  <dcterms:created xsi:type="dcterms:W3CDTF">2025-07-21T16:39:00Z</dcterms:created>
  <dcterms:modified xsi:type="dcterms:W3CDTF">2025-09-06T19:13:00Z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