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0"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3DA84A9D"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 xml:space="preserve">Predicting Novel Drug Metabolism with </w:t>
      </w:r>
      <w:r w:rsidR="007C4BB0">
        <w:rPr>
          <w:rFonts w:ascii="Roboto" w:eastAsia="ヒラギノ角ゴ Pro W3" w:hAnsi="Roboto"/>
          <w:color w:val="BA0C2F"/>
          <w:sz w:val="56"/>
          <w:lang w:val="en-GB"/>
        </w:rPr>
        <w:t>Neural Networks</w:t>
      </w:r>
      <w:r w:rsidRPr="003E4788">
        <w:rPr>
          <w:rFonts w:ascii="Roboto" w:eastAsia="ヒラギノ角ゴ Pro W3" w:hAnsi="Roboto"/>
          <w:color w:val="BA0C2F"/>
          <w:sz w:val="56"/>
          <w:lang w:val="en-GB"/>
        </w:rPr>
        <w:t>: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proofErr w:type="spellStart"/>
      <w:r w:rsidRPr="003E4788">
        <w:rPr>
          <w:rFonts w:ascii="Roboto Light" w:eastAsia="ヒラギノ角ゴ Pro W3" w:hAnsi="Roboto Light"/>
          <w:color w:val="404040" w:themeColor="text1" w:themeTint="BF"/>
          <w:sz w:val="32"/>
          <w:lang w:val="es-ES_tradnl"/>
        </w:rPr>
        <w:t>Thesis</w:t>
      </w:r>
      <w:proofErr w:type="spellEnd"/>
      <w:r w:rsidRPr="003E4788">
        <w:rPr>
          <w:rFonts w:ascii="Roboto Light" w:eastAsia="ヒラギノ角ゴ Pro W3" w:hAnsi="Roboto Light"/>
          <w:color w:val="404040" w:themeColor="text1" w:themeTint="BF"/>
          <w:sz w:val="32"/>
          <w:lang w:val="es-ES_tradnl"/>
        </w:rPr>
        <w:t xml:space="preserve">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Pr="00C20205" w:rsidRDefault="0045225B" w:rsidP="003E4788">
      <w:pPr>
        <w:rPr>
          <w:rFonts w:cstheme="minorHAnsi"/>
          <w:color w:val="262626"/>
          <w:lang w:eastAsia="en-GB"/>
        </w:rPr>
      </w:pPr>
    </w:p>
    <w:p w14:paraId="408A4199" w14:textId="77777777" w:rsidR="0045225B" w:rsidRPr="00C20205" w:rsidRDefault="0045225B" w:rsidP="003E4788">
      <w:pPr>
        <w:ind w:left="360"/>
        <w:rPr>
          <w:rFonts w:cstheme="minorHAnsi"/>
          <w:color w:val="262626"/>
          <w:lang w:eastAsia="en-GB"/>
        </w:rPr>
      </w:pPr>
    </w:p>
    <w:p w14:paraId="43580CDF" w14:textId="7B07B156" w:rsidR="0045225B" w:rsidRPr="00C20205" w:rsidRDefault="0045225B" w:rsidP="003E4788">
      <w:pPr>
        <w:ind w:left="360"/>
        <w:rPr>
          <w:rFonts w:cstheme="minorHAnsi"/>
          <w:color w:val="262626"/>
          <w:lang w:eastAsia="en-GB"/>
        </w:rPr>
      </w:pPr>
      <w:r w:rsidRPr="00C20205">
        <w:rPr>
          <w:rFonts w:cstheme="minorHAnsi"/>
          <w:color w:val="262626"/>
          <w:lang w:eastAsia="en-GB"/>
        </w:rPr>
        <w:t xml:space="preserve">Resumen o </w:t>
      </w:r>
      <w:proofErr w:type="spellStart"/>
      <w:r w:rsidRPr="00C20205">
        <w:rPr>
          <w:rFonts w:cstheme="minorHAnsi"/>
          <w:color w:val="262626"/>
          <w:lang w:eastAsia="en-GB"/>
        </w:rPr>
        <w:t>abstract</w:t>
      </w:r>
      <w:proofErr w:type="spellEnd"/>
      <w:r w:rsidRPr="00C20205">
        <w:rPr>
          <w:rFonts w:cstheme="minorHAnsi"/>
          <w:color w:val="262626"/>
          <w:lang w:eastAsia="en-GB"/>
        </w:rPr>
        <w:t>.</w:t>
      </w:r>
      <w:r w:rsidRPr="00C20205">
        <w:rPr>
          <w:rFonts w:cstheme="minorHAnsi"/>
          <w:color w:val="262626"/>
          <w:lang w:eastAsia="en-GB"/>
        </w:rPr>
        <w:br/>
        <w:t>Introducción y antecedentes.</w:t>
      </w:r>
      <w:r w:rsidRPr="00C20205">
        <w:rPr>
          <w:rFonts w:cstheme="minorHAnsi"/>
          <w:color w:val="262626"/>
          <w:lang w:eastAsia="en-GB"/>
        </w:rPr>
        <w:br/>
        <w:t>Objetivos del proyecto: se recomienda la fijación de un solo objetivo general, cuya exposición</w:t>
      </w:r>
      <w:r w:rsidRPr="00C20205">
        <w:rPr>
          <w:rFonts w:cstheme="minorHAnsi"/>
          <w:color w:val="262626"/>
          <w:lang w:eastAsia="en-GB"/>
        </w:rPr>
        <w:br/>
        <w:t>debe comenzar con un verbo de acción, infinitivo, que dará respuesta a la pregunta: “¿Qué se</w:t>
      </w:r>
      <w:r w:rsidRPr="00C20205">
        <w:rPr>
          <w:rFonts w:cstheme="minorHAnsi"/>
          <w:color w:val="262626"/>
          <w:lang w:eastAsia="en-GB"/>
        </w:rPr>
        <w:br/>
        <w:t>pretende conseguir con este proyecto?” (Por ejemplo: “Desarroll</w:t>
      </w:r>
      <w:r w:rsidR="008244EF" w:rsidRPr="00C20205">
        <w:rPr>
          <w:rFonts w:cstheme="minorHAnsi"/>
          <w:color w:val="262626"/>
          <w:lang w:eastAsia="en-GB"/>
        </w:rPr>
        <w:t xml:space="preserve">ar una arquitectura </w:t>
      </w:r>
      <w:proofErr w:type="spellStart"/>
      <w:r w:rsidR="008244EF" w:rsidRPr="00C20205">
        <w:rPr>
          <w:rFonts w:cstheme="minorHAnsi"/>
          <w:color w:val="262626"/>
          <w:lang w:eastAsia="en-GB"/>
        </w:rPr>
        <w:t>big</w:t>
      </w:r>
      <w:proofErr w:type="spellEnd"/>
      <w:r w:rsidR="008244EF" w:rsidRPr="00C20205">
        <w:rPr>
          <w:rFonts w:cstheme="minorHAnsi"/>
          <w:color w:val="262626"/>
          <w:lang w:eastAsia="en-GB"/>
        </w:rPr>
        <w:t xml:space="preserve"> data en </w:t>
      </w:r>
      <w:r w:rsidRPr="00C20205">
        <w:rPr>
          <w:rFonts w:cstheme="minorHAnsi"/>
          <w:color w:val="262626"/>
          <w:lang w:eastAsia="en-GB"/>
        </w:rPr>
        <w:t>tiempo real (NRT) para procesar y predecir precios de una acción bursátil”. Una vez establecido</w:t>
      </w:r>
      <w:r w:rsidR="008244EF" w:rsidRPr="00C20205">
        <w:rPr>
          <w:rFonts w:cstheme="minorHAnsi"/>
          <w:color w:val="262626"/>
          <w:lang w:eastAsia="en-GB"/>
        </w:rPr>
        <w:t xml:space="preserve"> </w:t>
      </w:r>
      <w:r w:rsidRPr="00C20205">
        <w:rPr>
          <w:rFonts w:cstheme="minorHAnsi"/>
          <w:color w:val="262626"/>
          <w:lang w:eastAsia="en-GB"/>
        </w:rPr>
        <w:t>el objetivo general, se detallarán los objetivos específicos; estos se derivan del objetivo</w:t>
      </w:r>
      <w:r w:rsidR="008244EF" w:rsidRPr="00C20205">
        <w:rPr>
          <w:rFonts w:cstheme="minorHAnsi"/>
          <w:color w:val="262626"/>
          <w:lang w:eastAsia="en-GB"/>
        </w:rPr>
        <w:t xml:space="preserve"> </w:t>
      </w:r>
      <w:r w:rsidRPr="00C20205">
        <w:rPr>
          <w:rFonts w:cstheme="minorHAnsi"/>
          <w:color w:val="262626"/>
          <w:lang w:eastAsia="en-GB"/>
        </w:rPr>
        <w:t>general, y desarrollan, desglosan y concretan cada una de sus partes principales.</w:t>
      </w:r>
      <w:r w:rsidRPr="00C20205">
        <w:rPr>
          <w:rFonts w:cstheme="minorHAnsi"/>
          <w:color w:val="262626"/>
          <w:lang w:eastAsia="en-GB"/>
        </w:rPr>
        <w:br/>
        <w:t>Material y métodos: si va a emplearse alguna base de datos relacional o no relacional; si se</w:t>
      </w:r>
      <w:r w:rsidRPr="00C20205">
        <w:rPr>
          <w:rFonts w:cstheme="minorHAnsi"/>
          <w:color w:val="262626"/>
          <w:lang w:eastAsia="en-GB"/>
        </w:rPr>
        <w:br/>
        <w:t>utilizará alguna máquina virtual o si el estudiante dispone de alguna cuenta en cualesquiera de</w:t>
      </w:r>
      <w:r w:rsidRPr="00C20205">
        <w:rPr>
          <w:rFonts w:cstheme="minorHAnsi"/>
          <w:color w:val="262626"/>
          <w:lang w:eastAsia="en-GB"/>
        </w:rPr>
        <w:br/>
        <w:t xml:space="preserve">los principales proveedores </w:t>
      </w:r>
      <w:proofErr w:type="spellStart"/>
      <w:r w:rsidRPr="00C20205">
        <w:rPr>
          <w:rFonts w:cstheme="minorHAnsi"/>
          <w:color w:val="262626"/>
          <w:lang w:eastAsia="en-GB"/>
        </w:rPr>
        <w:t>cloud</w:t>
      </w:r>
      <w:proofErr w:type="spellEnd"/>
      <w:r w:rsidRPr="00C20205">
        <w:rPr>
          <w:rFonts w:cstheme="minorHAnsi"/>
          <w:color w:val="262626"/>
          <w:lang w:eastAsia="en-GB"/>
        </w:rPr>
        <w:t xml:space="preserve"> para elaborar y desplegar el proyecto; si se utilizará un</w:t>
      </w:r>
      <w:r w:rsidRPr="00C20205">
        <w:rPr>
          <w:rFonts w:cstheme="minorHAnsi"/>
          <w:color w:val="262626"/>
          <w:lang w:eastAsia="en-GB"/>
        </w:rPr>
        <w:br/>
        <w:t>repositorio para subir y mantener el código fuente del proyecto, o si, por el contrario, todo el</w:t>
      </w:r>
      <w:r w:rsidRPr="00C20205">
        <w:rPr>
          <w:rFonts w:cstheme="minorHAnsi"/>
          <w:color w:val="262626"/>
          <w:lang w:eastAsia="en-GB"/>
        </w:rPr>
        <w:br/>
        <w:t>proyecto se desarrollará en un entorno local en el propio equipo del alumno, etc.</w:t>
      </w:r>
      <w:r w:rsidRPr="00C20205">
        <w:rPr>
          <w:rFonts w:cstheme="minorHAnsi"/>
          <w:color w:val="262626"/>
          <w:lang w:eastAsia="en-GB"/>
        </w:rPr>
        <w:br/>
        <w:t>Resultados: argumentación y desarrollo de todo el trabajo realizado en el TFM; es decir, desde</w:t>
      </w:r>
      <w:r w:rsidRPr="00C20205">
        <w:rPr>
          <w:rFonts w:cstheme="minorHAnsi"/>
          <w:color w:val="262626"/>
          <w:lang w:eastAsia="en-GB"/>
        </w:rPr>
        <w:br/>
        <w:t>la adquisición de fuentes de datos en origen hasta la obtención de resultados.</w:t>
      </w:r>
      <w:r w:rsidRPr="00C20205">
        <w:rPr>
          <w:rFonts w:cstheme="minorHAnsi"/>
          <w:color w:val="262626"/>
          <w:lang w:eastAsia="en-GB"/>
        </w:rPr>
        <w:br/>
        <w:t>Conclusiones.</w:t>
      </w:r>
      <w:r w:rsidRPr="00C20205">
        <w:rPr>
          <w:rFonts w:cstheme="minorHAnsi"/>
          <w:color w:val="262626"/>
          <w:lang w:eastAsia="en-GB"/>
        </w:rPr>
        <w:br/>
        <w:t>Referencias bibliográficas: se redactarán de acuerdo con las normas APA para las referencias</w:t>
      </w:r>
      <w:r w:rsidRPr="00C20205">
        <w:rPr>
          <w:rFonts w:cstheme="minorHAnsi"/>
          <w:color w:val="262626"/>
          <w:lang w:eastAsia="en-GB"/>
        </w:rPr>
        <w:br/>
        <w:t>bibliográficas. Ver las normas APA en el siguiente enlace:</w:t>
      </w:r>
    </w:p>
    <w:p w14:paraId="616D5719" w14:textId="23F28C9F" w:rsidR="0045225B" w:rsidRPr="00C20205" w:rsidRDefault="0045225B" w:rsidP="003E4788">
      <w:pPr>
        <w:ind w:left="360"/>
        <w:rPr>
          <w:rFonts w:cstheme="minorHAnsi"/>
          <w:color w:val="262626"/>
          <w:lang w:eastAsia="en-GB"/>
        </w:rPr>
      </w:pPr>
      <w:r w:rsidRPr="00C20205">
        <w:rPr>
          <w:rFonts w:cstheme="minorHAnsi"/>
          <w:color w:val="262626"/>
          <w:lang w:eastAsia="en-GB"/>
        </w:rPr>
        <w:t>Anexos.</w:t>
      </w:r>
    </w:p>
    <w:p w14:paraId="26781B90" w14:textId="77777777" w:rsidR="0045225B" w:rsidRPr="00C20205" w:rsidRDefault="0045225B" w:rsidP="003E4788">
      <w:pPr>
        <w:ind w:left="360"/>
        <w:rPr>
          <w:rFonts w:cstheme="minorHAnsi"/>
          <w:color w:val="262626"/>
          <w:lang w:eastAsia="en-GB"/>
        </w:rPr>
      </w:pPr>
    </w:p>
    <w:p w14:paraId="6B84754A" w14:textId="77777777" w:rsidR="00CD779A" w:rsidRPr="00067F24" w:rsidRDefault="0045225B" w:rsidP="00964CF8">
      <w:pPr>
        <w:ind w:left="360"/>
        <w:rPr>
          <w:rFonts w:cstheme="minorHAnsi"/>
          <w:color w:val="262626"/>
          <w:lang w:eastAsia="en-GB"/>
        </w:rPr>
        <w:sectPr w:rsidR="00CD779A" w:rsidRPr="00067F24" w:rsidSect="00CD779A">
          <w:footerReference w:type="default" r:id="rId11"/>
          <w:footerReference w:type="first" r:id="rId12"/>
          <w:pgSz w:w="11906" w:h="16838" w:code="9"/>
          <w:pgMar w:top="-1985" w:right="1276" w:bottom="993" w:left="1701" w:header="709" w:footer="439" w:gutter="0"/>
          <w:cols w:space="708"/>
          <w:docGrid w:linePitch="360"/>
        </w:sectPr>
      </w:pPr>
      <w:r w:rsidRPr="00C20205">
        <w:rPr>
          <w:rFonts w:cstheme="minorHAnsi"/>
          <w:color w:val="262626"/>
          <w:lang w:eastAsia="en-GB"/>
        </w:rPr>
        <w:t>Portada.</w:t>
      </w:r>
      <w:r w:rsidRPr="00C20205">
        <w:rPr>
          <w:rFonts w:cstheme="minorHAnsi"/>
          <w:color w:val="262626"/>
          <w:lang w:eastAsia="en-GB"/>
        </w:rPr>
        <w:br/>
        <w:t xml:space="preserve">2. Resumen, </w:t>
      </w:r>
      <w:proofErr w:type="spellStart"/>
      <w:r w:rsidRPr="00C20205">
        <w:rPr>
          <w:rFonts w:cstheme="minorHAnsi"/>
          <w:color w:val="262626"/>
          <w:lang w:eastAsia="en-GB"/>
        </w:rPr>
        <w:t>abstract</w:t>
      </w:r>
      <w:proofErr w:type="spellEnd"/>
      <w:r w:rsidRPr="00C20205">
        <w:rPr>
          <w:rFonts w:cstheme="minorHAnsi"/>
          <w:color w:val="262626"/>
          <w:lang w:eastAsia="en-GB"/>
        </w:rPr>
        <w:t>.</w:t>
      </w:r>
      <w:r w:rsidRPr="00C20205">
        <w:rPr>
          <w:rFonts w:cstheme="minorHAnsi"/>
          <w:color w:val="262626"/>
          <w:lang w:eastAsia="en-GB"/>
        </w:rPr>
        <w:br/>
        <w:t>3. Introducción y antecedentes.</w:t>
      </w:r>
      <w:r w:rsidRPr="00C20205">
        <w:rPr>
          <w:rFonts w:cstheme="minorHAnsi"/>
          <w:color w:val="262626"/>
          <w:lang w:eastAsia="en-GB"/>
        </w:rPr>
        <w:br/>
        <w:t>4. Objetivos del proyecto.</w:t>
      </w:r>
      <w:r w:rsidRPr="00C20205">
        <w:rPr>
          <w:rFonts w:cstheme="minorHAnsi"/>
          <w:color w:val="262626"/>
          <w:lang w:eastAsia="en-GB"/>
        </w:rPr>
        <w:br/>
        <w:t>5. Material y métodos.</w:t>
      </w:r>
      <w:r w:rsidRPr="00C20205">
        <w:rPr>
          <w:rFonts w:cstheme="minorHAnsi"/>
          <w:color w:val="262626"/>
          <w:lang w:eastAsia="en-GB"/>
        </w:rPr>
        <w:br/>
        <w:t>6. Resultados:</w:t>
      </w:r>
      <w:r w:rsidRPr="00C20205">
        <w:rPr>
          <w:rFonts w:cstheme="minorHAnsi"/>
          <w:color w:val="262626"/>
          <w:lang w:eastAsia="en-GB"/>
        </w:rPr>
        <w:br/>
        <w:t xml:space="preserve">a. Adquisición de fuentes de datos (por ejemplo, múltiples ficheros de una competición </w:t>
      </w:r>
      <w:proofErr w:type="spellStart"/>
      <w:r w:rsidRPr="00C20205">
        <w:rPr>
          <w:rFonts w:cstheme="minorHAnsi"/>
          <w:color w:val="262626"/>
          <w:lang w:eastAsia="en-GB"/>
        </w:rPr>
        <w:t>Kaggle</w:t>
      </w:r>
      <w:proofErr w:type="spellEnd"/>
      <w:r w:rsidRPr="00C20205">
        <w:rPr>
          <w:rFonts w:cstheme="minorHAnsi"/>
          <w:color w:val="262626"/>
          <w:lang w:eastAsia="en-GB"/>
        </w:rPr>
        <w:t>).</w:t>
      </w:r>
      <w:r w:rsidRPr="00C20205">
        <w:rPr>
          <w:rFonts w:cstheme="minorHAnsi"/>
          <w:color w:val="262626"/>
          <w:lang w:eastAsia="en-GB"/>
        </w:rPr>
        <w:br/>
        <w:t>b. Descripción de fuentes de datos.</w:t>
      </w:r>
      <w:r w:rsidRPr="00C20205">
        <w:rPr>
          <w:rFonts w:cstheme="minorHAnsi"/>
          <w:color w:val="262626"/>
          <w:lang w:eastAsia="en-GB"/>
        </w:rPr>
        <w:br/>
        <w:t>c. Análisis exploratorio de datos, EDA (muy recomendable al finalizar este epígrafe incluir</w:t>
      </w:r>
      <w:r w:rsidRPr="00C20205">
        <w:rPr>
          <w:rFonts w:cstheme="minorHAnsi"/>
          <w:color w:val="262626"/>
          <w:lang w:eastAsia="en-GB"/>
        </w:rPr>
        <w:br/>
        <w:t>conclusiones más relevantes sobre el EDA).</w:t>
      </w:r>
      <w:r w:rsidRPr="00C20205">
        <w:rPr>
          <w:rFonts w:cstheme="minorHAnsi"/>
          <w:color w:val="262626"/>
          <w:lang w:eastAsia="en-GB"/>
        </w:rPr>
        <w:br/>
        <w:t>d. Preprocesado de datos (transformación, estandarización de variables, aplicación de pruebas</w:t>
      </w:r>
      <w:r w:rsidRPr="00C20205">
        <w:rPr>
          <w:rFonts w:cstheme="minorHAnsi"/>
          <w:color w:val="262626"/>
          <w:lang w:eastAsia="en-GB"/>
        </w:rPr>
        <w:br/>
        <w:t>de hipótesis estadísticas, etc.).</w:t>
      </w:r>
      <w:r w:rsidRPr="00C20205">
        <w:rPr>
          <w:rFonts w:cstheme="minorHAnsi"/>
          <w:color w:val="262626"/>
          <w:lang w:eastAsia="en-GB"/>
        </w:rPr>
        <w:br/>
        <w:t>e. Selección de variables.</w:t>
      </w:r>
      <w:r w:rsidRPr="00C20205">
        <w:rPr>
          <w:rFonts w:cstheme="minorHAnsi"/>
          <w:color w:val="262626"/>
          <w:lang w:eastAsia="en-GB"/>
        </w:rPr>
        <w:br/>
        <w:t xml:space="preserve">f. Partición de los datos en conjuntos </w:t>
      </w:r>
      <w:proofErr w:type="spellStart"/>
      <w:r w:rsidRPr="00C20205">
        <w:rPr>
          <w:rFonts w:cstheme="minorHAnsi"/>
          <w:color w:val="262626"/>
          <w:lang w:eastAsia="en-GB"/>
        </w:rPr>
        <w:t>train</w:t>
      </w:r>
      <w:proofErr w:type="spellEnd"/>
      <w:r w:rsidRPr="00C20205">
        <w:rPr>
          <w:rFonts w:cstheme="minorHAnsi"/>
          <w:color w:val="262626"/>
          <w:lang w:eastAsia="en-GB"/>
        </w:rPr>
        <w:t>/test.</w:t>
      </w:r>
      <w:r w:rsidRPr="00C20205">
        <w:rPr>
          <w:rFonts w:cstheme="minorHAnsi"/>
          <w:color w:val="262626"/>
          <w:lang w:eastAsia="en-GB"/>
        </w:rPr>
        <w:br/>
        <w:t>g. Aplicación de modelos de aprendizaje automático.</w:t>
      </w:r>
      <w:r w:rsidRPr="00C20205">
        <w:rPr>
          <w:rFonts w:cstheme="minorHAnsi"/>
          <w:color w:val="262626"/>
          <w:lang w:eastAsia="en-GB"/>
        </w:rPr>
        <w:br/>
        <w:t>h. Evaluación y validación de modelos de aprendizaje automático.</w:t>
      </w:r>
      <w:r w:rsidRPr="00C20205">
        <w:rPr>
          <w:rFonts w:cstheme="minorHAnsi"/>
          <w:color w:val="262626"/>
          <w:lang w:eastAsia="en-GB"/>
        </w:rPr>
        <w:br/>
        <w:t>i. Comparativa de resultados.</w:t>
      </w:r>
      <w:r w:rsidRPr="00C20205">
        <w:rPr>
          <w:rFonts w:cstheme="minorHAnsi"/>
          <w:color w:val="262626"/>
          <w:lang w:eastAsia="en-GB"/>
        </w:rPr>
        <w:br/>
      </w:r>
      <w:r w:rsidRPr="00067F24">
        <w:rPr>
          <w:rFonts w:cstheme="minorHAnsi"/>
          <w:color w:val="262626"/>
          <w:lang w:eastAsia="en-GB"/>
        </w:rPr>
        <w:t>7. Conclusiones.</w:t>
      </w:r>
      <w:r w:rsidRPr="00067F24">
        <w:rPr>
          <w:rFonts w:cstheme="minorHAnsi"/>
          <w:color w:val="262626"/>
          <w:lang w:eastAsia="en-GB"/>
        </w:rPr>
        <w:br/>
        <w:t>8. Referencias bibliográficas.</w:t>
      </w:r>
      <w:r w:rsidRPr="00067F24">
        <w:rPr>
          <w:rFonts w:cstheme="minorHAnsi"/>
          <w:color w:val="262626"/>
          <w:lang w:eastAsia="en-GB"/>
        </w:rPr>
        <w:br/>
        <w:t>9. Anexos.</w:t>
      </w:r>
    </w:p>
    <w:p w14:paraId="274C3BF9" w14:textId="2DF31054" w:rsidR="003E4788" w:rsidRDefault="003E4788" w:rsidP="00D767EB">
      <w:pPr>
        <w:pStyle w:val="Heading1"/>
        <w:jc w:val="both"/>
        <w:rPr>
          <w:lang w:val="en-GB" w:eastAsia="en-GB"/>
        </w:rPr>
      </w:pPr>
      <w:r>
        <w:rPr>
          <w:lang w:val="en-GB" w:eastAsia="en-GB"/>
        </w:rPr>
        <w:lastRenderedPageBreak/>
        <w:t>Abstract</w:t>
      </w:r>
    </w:p>
    <w:p w14:paraId="4E241BC9" w14:textId="0ADF121F" w:rsidR="003E4788" w:rsidRDefault="003E4788" w:rsidP="00D767EB">
      <w:pPr>
        <w:jc w:val="both"/>
        <w:rPr>
          <w:lang w:val="en-GB" w:eastAsia="en-GB"/>
        </w:rPr>
      </w:pPr>
      <w:proofErr w:type="spellStart"/>
      <w:r>
        <w:rPr>
          <w:lang w:val="en-GB" w:eastAsia="en-GB"/>
        </w:rPr>
        <w:t>Xxx</w:t>
      </w:r>
      <w:proofErr w:type="spellEnd"/>
    </w:p>
    <w:p w14:paraId="711B0857" w14:textId="24766542" w:rsidR="003E4788" w:rsidRPr="003E4788" w:rsidRDefault="005F33DB" w:rsidP="00D767EB">
      <w:pPr>
        <w:pStyle w:val="Heading1"/>
        <w:jc w:val="both"/>
        <w:rPr>
          <w:lang w:val="en-GB" w:eastAsia="en-GB"/>
        </w:rPr>
      </w:pPr>
      <w:proofErr w:type="spellStart"/>
      <w:r>
        <w:rPr>
          <w:lang w:val="en-GB" w:eastAsia="en-GB"/>
        </w:rPr>
        <w:t>Resu</w:t>
      </w:r>
      <w:r w:rsidR="003E4788">
        <w:rPr>
          <w:lang w:val="en-GB" w:eastAsia="en-GB"/>
        </w:rPr>
        <w:t>men</w:t>
      </w:r>
      <w:proofErr w:type="spellEnd"/>
    </w:p>
    <w:p w14:paraId="514F3EEA" w14:textId="401FE700" w:rsidR="003E4788" w:rsidRDefault="003E4788" w:rsidP="00D767EB">
      <w:pPr>
        <w:jc w:val="both"/>
        <w:rPr>
          <w:lang w:val="en-GB" w:eastAsia="en-GB"/>
        </w:rPr>
      </w:pPr>
      <w:proofErr w:type="spellStart"/>
      <w:r w:rsidRPr="0076241E">
        <w:rPr>
          <w:lang w:val="en-GB" w:eastAsia="en-GB"/>
        </w:rPr>
        <w:t>Xxx</w:t>
      </w:r>
      <w:proofErr w:type="spellEnd"/>
      <w:r w:rsidRPr="0076241E">
        <w:rPr>
          <w:lang w:val="en-GB" w:eastAsia="en-GB"/>
        </w:rPr>
        <w:t xml:space="preserve"> </w:t>
      </w:r>
      <w:proofErr w:type="spellStart"/>
      <w:r w:rsidRPr="0076241E">
        <w:rPr>
          <w:lang w:val="en-GB" w:eastAsia="en-GB"/>
        </w:rPr>
        <w:t>español</w:t>
      </w:r>
      <w:proofErr w:type="spellEnd"/>
    </w:p>
    <w:p w14:paraId="0CA30B99" w14:textId="7ACDA2EE" w:rsidR="005F33DB" w:rsidRDefault="005F33DB" w:rsidP="005F33DB">
      <w:pPr>
        <w:pStyle w:val="Heading1"/>
        <w:rPr>
          <w:lang w:val="en-GB" w:eastAsia="en-GB"/>
        </w:rPr>
      </w:pPr>
      <w:r>
        <w:rPr>
          <w:lang w:val="en-GB" w:eastAsia="en-GB"/>
        </w:rPr>
        <w:t>Table of contents</w:t>
      </w:r>
    </w:p>
    <w:p w14:paraId="3DF08B55" w14:textId="1DEB6C3C" w:rsidR="005F33DB" w:rsidRDefault="00067F24" w:rsidP="005F33DB">
      <w:pPr>
        <w:rPr>
          <w:lang w:val="en-GB" w:eastAsia="en-GB"/>
        </w:rPr>
      </w:pPr>
      <w:r>
        <w:rPr>
          <w:lang w:val="en-GB" w:eastAsia="en-GB"/>
        </w:rPr>
        <w:t>I</w:t>
      </w:r>
      <w:r w:rsidR="005F33DB">
        <w:rPr>
          <w:lang w:val="en-GB" w:eastAsia="en-GB"/>
        </w:rPr>
        <w:t>ndex</w:t>
      </w:r>
    </w:p>
    <w:p w14:paraId="06C940B8" w14:textId="2017CBEB" w:rsidR="00067F24" w:rsidRDefault="00067F24" w:rsidP="005F33DB">
      <w:pPr>
        <w:rPr>
          <w:lang w:val="en-GB" w:eastAsia="en-GB"/>
        </w:rPr>
      </w:pPr>
      <w:r>
        <w:rPr>
          <w:lang w:val="en-GB" w:eastAsia="en-GB"/>
        </w:rPr>
        <w:t>¿¿abbreviations?</w:t>
      </w:r>
    </w:p>
    <w:p w14:paraId="55230A5C" w14:textId="67F73FCE" w:rsidR="00067F24" w:rsidRDefault="00067F24" w:rsidP="005F33DB">
      <w:pPr>
        <w:rPr>
          <w:lang w:val="en-GB" w:eastAsia="en-GB"/>
        </w:rPr>
      </w:pPr>
      <w:proofErr w:type="spellStart"/>
      <w:r>
        <w:rPr>
          <w:lang w:val="en-GB" w:eastAsia="en-GB"/>
        </w:rPr>
        <w:t>Dataframe</w:t>
      </w:r>
      <w:proofErr w:type="spellEnd"/>
      <w:r>
        <w:rPr>
          <w:lang w:val="en-GB" w:eastAsia="en-GB"/>
        </w:rPr>
        <w:t xml:space="preserve">: </w:t>
      </w:r>
      <w:proofErr w:type="spellStart"/>
      <w:r>
        <w:rPr>
          <w:lang w:val="en-GB" w:eastAsia="en-GB"/>
        </w:rPr>
        <w:t>df</w:t>
      </w:r>
      <w:proofErr w:type="spellEnd"/>
    </w:p>
    <w:p w14:paraId="28A4CC57" w14:textId="3F3CFEEF" w:rsidR="00067F24" w:rsidRPr="005F33DB" w:rsidRDefault="00067F24" w:rsidP="005F33DB">
      <w:pPr>
        <w:rPr>
          <w:lang w:val="en-GB" w:eastAsia="en-GB"/>
        </w:rPr>
      </w:pPr>
      <w:r>
        <w:rPr>
          <w:lang w:val="en-GB" w:eastAsia="en-GB"/>
        </w:rPr>
        <w:t>Cytochrome p450: CYP450</w:t>
      </w:r>
    </w:p>
    <w:p w14:paraId="2657B225" w14:textId="2DC228C6" w:rsidR="003E4788" w:rsidRPr="003E4788" w:rsidRDefault="003E4788" w:rsidP="00D767EB">
      <w:pPr>
        <w:pStyle w:val="Heading1"/>
        <w:jc w:val="both"/>
        <w:rPr>
          <w:lang w:val="en-GB" w:eastAsia="en-GB"/>
        </w:rPr>
      </w:pPr>
      <w:r>
        <w:rPr>
          <w:lang w:val="en-GB" w:eastAsia="en-GB"/>
        </w:rPr>
        <w:t xml:space="preserve">Introduction </w:t>
      </w:r>
    </w:p>
    <w:p w14:paraId="3DD810E4" w14:textId="77777777" w:rsidR="00BA3391" w:rsidRPr="00BA3391" w:rsidRDefault="00BA3391" w:rsidP="00D767EB">
      <w:pPr>
        <w:jc w:val="both"/>
        <w:rPr>
          <w:lang w:val="en-GB" w:eastAsia="en-GB"/>
        </w:rPr>
      </w:pPr>
      <w:r w:rsidRPr="00BA3391">
        <w:rPr>
          <w:lang w:val="en-GB" w:eastAsia="en-GB"/>
        </w:rPr>
        <w:t>The development of new drugs is a long, complex, and costly process, where safety and efficacy must be carefully evaluated before clinical use. Drug metabolism plays a central role in this evaluation, influencing both the appropriate dosage (how much of a drug should be administered and how often) and potential adverse effects. How quickly and efficiently a compound is broken down and eliminated from the body directly affects its therapeutic effect, risk of toxicity, and interactions with other drugs.</w:t>
      </w:r>
    </w:p>
    <w:p w14:paraId="250CC130" w14:textId="1B309442" w:rsidR="00BA3391" w:rsidRPr="00BA3391" w:rsidRDefault="00BA3391" w:rsidP="00D767EB">
      <w:pPr>
        <w:jc w:val="both"/>
        <w:rPr>
          <w:lang w:val="en-GB" w:eastAsia="en-GB"/>
        </w:rPr>
      </w:pPr>
      <w:r w:rsidRPr="00BA3391">
        <w:rPr>
          <w:lang w:val="en-GB" w:eastAsia="en-GB"/>
        </w:rPr>
        <w:t xml:space="preserve">A key family of enzymes responsible for drug metabolism is the cytochrome P450 (CYP450) superfamily, which processes </w:t>
      </w:r>
      <w:proofErr w:type="gramStart"/>
      <w:r w:rsidRPr="00BA3391">
        <w:rPr>
          <w:lang w:val="en-GB" w:eastAsia="en-GB"/>
        </w:rPr>
        <w:t>the majority of</w:t>
      </w:r>
      <w:proofErr w:type="gramEnd"/>
      <w:r w:rsidRPr="00BA3391">
        <w:rPr>
          <w:lang w:val="en-GB" w:eastAsia="en-GB"/>
        </w:rPr>
        <w:t xml:space="preserve">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However, this characterization is typically performed only in late preclinical or even clinical stages, when laboratory assays and in vivo studies become feasible. At these advanced stages, uncovering metabolism-related issues can lead to costly setbacks or even termination of a drug candidate, as redesigning its structure is often no longer practical. In early discovery, where many compounds are screened, routine experimental testing of CYP450 metabolism is rarely performed due to high costs, leaving potential issues undetected until very late in development.</w:t>
      </w:r>
    </w:p>
    <w:p w14:paraId="755C176A" w14:textId="0F9D780A" w:rsidR="00BA3391" w:rsidRPr="00BA3391" w:rsidRDefault="00BA3391" w:rsidP="00D767EB">
      <w:pPr>
        <w:jc w:val="both"/>
        <w:rPr>
          <w:lang w:val="en-GB" w:eastAsia="en-GB"/>
        </w:rPr>
      </w:pPr>
      <w:r w:rsidRPr="00BA3391">
        <w:rPr>
          <w:lang w:val="en-GB" w:eastAsia="en-GB"/>
        </w:rPr>
        <w:t>Experimental systems such as liver microsomes and primary hepatocytes are widely used to study drug metabolism, yet each has significant trade-offs. Microsomes enable relatively inexpensive, high-throughput testing, but offer only partial insights into a molecule’s metabolic profile. In contrast, primary hepatocytes provide a more complete and physiologically relevant picture, but they are far more expensive, challenging to handle, and unsuitable for testing large libraries of early candidates. As a result, detailed metabolic studies are often delayed. This challenge highlights the need for computational tools capable of predicting key metabolic behaviours early, complementing traditional experiments while reducing risk and cost.</w:t>
      </w:r>
    </w:p>
    <w:p w14:paraId="68FB3A90" w14:textId="4C896526" w:rsidR="00BA3391" w:rsidRPr="00BA3391" w:rsidRDefault="00BA3391" w:rsidP="00D767EB">
      <w:pPr>
        <w:jc w:val="both"/>
        <w:rPr>
          <w:lang w:val="en-GB" w:eastAsia="en-GB"/>
        </w:rPr>
      </w:pPr>
      <w:r w:rsidRPr="00BA3391">
        <w:rPr>
          <w:lang w:val="en-GB" w:eastAsia="en-GB"/>
        </w:rPr>
        <w:lastRenderedPageBreak/>
        <w:t xml:space="preserve">The growing availability of high-quality biochemical databases, such as </w:t>
      </w:r>
      <w:proofErr w:type="spellStart"/>
      <w:r w:rsidRPr="00BA3391">
        <w:rPr>
          <w:lang w:val="en-GB" w:eastAsia="en-GB"/>
        </w:rPr>
        <w:t>ChEMBL</w:t>
      </w:r>
      <w:proofErr w:type="spellEnd"/>
      <w:r w:rsidRPr="00BA3391">
        <w:rPr>
          <w:lang w:val="en-GB" w:eastAsia="en-GB"/>
        </w:rPr>
        <w:t xml:space="preserve"> and </w:t>
      </w:r>
      <w:proofErr w:type="spellStart"/>
      <w:r w:rsidRPr="00BA3391">
        <w:rPr>
          <w:lang w:val="en-GB" w:eastAsia="en-GB"/>
        </w:rPr>
        <w:t>DrugBank</w:t>
      </w:r>
      <w:proofErr w:type="spellEnd"/>
      <w:r w:rsidRPr="00BA3391">
        <w:rPr>
          <w:lang w:val="en-GB" w:eastAsia="en-GB"/>
        </w:rPr>
        <w:t>, is helping to bridge this gap. These resources compile extensive information on molecular structures and their known metabolic properties, providing a valuable foundation for predictive modelling. By leveraging this data, machine-learning algorithms can anticipate metabolic behaviour much earlier in the discovery process, offering insights that would otherwise require time-intensive and costly experiments.</w:t>
      </w:r>
    </w:p>
    <w:p w14:paraId="6A39535B" w14:textId="28D9F6C5" w:rsidR="00BA3391" w:rsidRDefault="00BA3391" w:rsidP="00D767EB">
      <w:pPr>
        <w:jc w:val="both"/>
        <w:rPr>
          <w:lang w:val="en-GB" w:eastAsia="en-GB"/>
        </w:rPr>
      </w:pPr>
      <w:r w:rsidRPr="00BA3391">
        <w:rPr>
          <w:lang w:val="en-GB" w:eastAsia="en-GB"/>
        </w:rPr>
        <w:t>This project aims to apply data science and machine learning techniques to predict the metabolism of new drug-like molecules, with a focus on classifying them according to the CYP450 isoenzymes most likely to metabolize them. By training models on curated molecular structure data and publicly available annotations, this work seeks to provide pharmaceutical chemists with a computational tool for evaluating molecular variations and identifying 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r>
        <w:rPr>
          <w:lang w:val="en-GB" w:eastAsia="en-GB"/>
        </w:rPr>
        <w:t>STATE OF THE ART</w:t>
      </w:r>
    </w:p>
    <w:p w14:paraId="73011ABA" w14:textId="7CB111AF"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he most physiologically relevant system available for studying human drug metabolism is the use of primary hepatocytes—liver cells that retain the full complement of metabolic enzymes and cofactors found in vivo. These cells allow researchers to observe both major classes of metabolic reactions: 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w:t>
      </w:r>
      <w:proofErr w:type="spellStart"/>
      <w:r w:rsidR="007D4602" w:rsidRPr="00585443">
        <w:rPr>
          <w:lang w:val="en-GB" w:eastAsia="en-GB"/>
        </w:rPr>
        <w:t>biotransformations</w:t>
      </w:r>
      <w:proofErr w:type="spellEnd"/>
      <w:r w:rsidR="007D4602" w:rsidRPr="00585443">
        <w:rPr>
          <w:lang w:val="en-GB" w:eastAsia="en-GB"/>
        </w:rPr>
        <w:t xml:space="preserve"> a compound undergoes, and hepatocytes are capable of capturing both, providing an overall view of the metabolic fate of a drug candidate.</w:t>
      </w:r>
    </w:p>
    <w:p w14:paraId="14729C51" w14:textId="05D87B83" w:rsidR="00242378" w:rsidRDefault="00242378" w:rsidP="00D767EB">
      <w:pPr>
        <w:jc w:val="both"/>
        <w:rPr>
          <w:b/>
        </w:rPr>
      </w:pPr>
      <w:r>
        <w:rPr>
          <w:b/>
        </w:rPr>
        <w:t>AÑADIR DIAGRAMA EJEMPLIFICANDO FASE I Y II DENTRO DEL HEPATOCITO</w:t>
      </w:r>
    </w:p>
    <w:p w14:paraId="725C1808" w14:textId="77777777" w:rsidR="00242378" w:rsidRPr="00242378" w:rsidRDefault="00242378" w:rsidP="00D767EB">
      <w:pPr>
        <w:jc w:val="both"/>
        <w:rPr>
          <w:lang w:val="en-GB" w:eastAsia="en-GB"/>
        </w:rPr>
      </w:pPr>
      <w:r w:rsidRPr="00242378">
        <w:rPr>
          <w:lang w:val="en-GB" w:eastAsia="en-GB"/>
        </w:rPr>
        <w:t>Because they reflect the full enzymatic and physiological context of the liver, primary hepatocytes are considered the gold standard for studying drug metabolism. They provide a near-complete 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lastRenderedPageBreak/>
        <w:t>One important consideration in early drug metabolism studies is that Phase I reactions, which are largely mediated by CYP450 enzymes, tend to be more unpredictable and clinically significant than 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typically involve conjugation with endogenous 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w:t>
      </w:r>
      <w:proofErr w:type="spellStart"/>
      <w:r w:rsidRPr="00320D31">
        <w:rPr>
          <w:lang w:val="en-GB" w:eastAsia="en-GB"/>
        </w:rPr>
        <w:t>MetaSite</w:t>
      </w:r>
      <w:proofErr w:type="spellEnd"/>
      <w:r w:rsidRPr="00320D31">
        <w:rPr>
          <w:lang w:val="en-GB" w:eastAsia="en-GB"/>
        </w:rPr>
        <w:t xml:space="preserve"> and </w:t>
      </w:r>
      <w:proofErr w:type="spellStart"/>
      <w:r w:rsidRPr="00320D31">
        <w:rPr>
          <w:lang w:val="en-GB" w:eastAsia="en-GB"/>
        </w:rPr>
        <w:t>StarDrop</w:t>
      </w:r>
      <w:proofErr w:type="spellEnd"/>
      <w:r w:rsidRPr="00320D31">
        <w:rPr>
          <w:lang w:val="en-GB" w:eastAsia="en-GB"/>
        </w:rPr>
        <w:t xml:space="preserve">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w:t>
      </w:r>
      <w:proofErr w:type="spellStart"/>
      <w:r w:rsidRPr="00320D31">
        <w:rPr>
          <w:lang w:val="en-GB" w:eastAsia="en-GB"/>
        </w:rPr>
        <w:t>MetaSite</w:t>
      </w:r>
      <w:proofErr w:type="spellEnd"/>
      <w:r w:rsidRPr="00320D31">
        <w:rPr>
          <w:lang w:val="en-GB" w:eastAsia="en-GB"/>
        </w:rPr>
        <w:t xml:space="preserve"> to annual subscriptions exceeding tens of </w:t>
      </w:r>
      <w:r>
        <w:rPr>
          <w:lang w:val="en-GB" w:eastAsia="en-GB"/>
        </w:rPr>
        <w:t xml:space="preserve">thousands of euros for </w:t>
      </w:r>
      <w:proofErr w:type="spellStart"/>
      <w:r>
        <w:rPr>
          <w:lang w:val="en-GB" w:eastAsia="en-GB"/>
        </w:rPr>
        <w:t>StarDrop</w:t>
      </w:r>
      <w:proofErr w:type="spellEnd"/>
      <w:r>
        <w:rPr>
          <w:lang w:val="en-GB" w:eastAsia="en-GB"/>
        </w:rPr>
        <w:t xml:space="preserve">, </w:t>
      </w:r>
      <w:r w:rsidRPr="00320D31">
        <w:rPr>
          <w:lang w:val="en-GB" w:eastAsia="en-GB"/>
        </w:rPr>
        <w:t>can make them less accessible, particularly for early-stage research teams or academic groups.</w:t>
      </w:r>
    </w:p>
    <w:p w14:paraId="4CE5C075" w14:textId="331027A4" w:rsidR="00242378" w:rsidRDefault="00CF49D4" w:rsidP="00D767EB">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ma</w:t>
      </w:r>
      <w:r>
        <w:rPr>
          <w:lang w:val="en-GB" w:eastAsia="en-GB"/>
        </w:rPr>
        <w:t>chine learning to simulate drug-</w:t>
      </w:r>
      <w:r w:rsidRPr="00CF49D4">
        <w:rPr>
          <w:lang w:val="en-GB" w:eastAsia="en-GB"/>
        </w:rPr>
        <w:t xml:space="preserve">enzyme interactions. </w:t>
      </w:r>
      <w:proofErr w:type="spellStart"/>
      <w:r w:rsidRPr="00CF49D4">
        <w:rPr>
          <w:lang w:val="en-GB" w:eastAsia="en-GB"/>
        </w:rPr>
        <w:t>StarDrop’s</w:t>
      </w:r>
      <w:proofErr w:type="spellEnd"/>
      <w:r w:rsidRPr="00CF49D4">
        <w:rPr>
          <w:lang w:val="en-GB" w:eastAsia="en-GB"/>
        </w:rPr>
        <w:t xml:space="preserve"> </w:t>
      </w:r>
      <w:proofErr w:type="spellStart"/>
      <w:r w:rsidRPr="00CF49D4">
        <w:rPr>
          <w:lang w:val="en-GB" w:eastAsia="en-GB"/>
        </w:rPr>
        <w:t>Semeta</w:t>
      </w:r>
      <w:proofErr w:type="spellEnd"/>
      <w:r w:rsidRPr="00CF49D4">
        <w:rPr>
          <w:lang w:val="en-GB" w:eastAsia="en-GB"/>
        </w:rPr>
        <w:t xml:space="preserve">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r w:rsidR="005F33DB">
        <w:rPr>
          <w:color w:val="FF0000"/>
          <w:lang w:val="en-GB" w:eastAsia="en-GB"/>
        </w:rPr>
        <w:t>[1</w:t>
      </w:r>
      <w:r w:rsidR="00D767EB" w:rsidRPr="00CF49D4">
        <w:rPr>
          <w:color w:val="FF0000"/>
          <w:lang w:val="en-GB" w:eastAsia="en-GB"/>
        </w:rPr>
        <w:t>]</w:t>
      </w:r>
      <w:r w:rsidRPr="00CF49D4">
        <w:rPr>
          <w:lang w:val="en-GB" w:eastAsia="en-GB"/>
        </w:rPr>
        <w:t xml:space="preserve">. </w:t>
      </w:r>
      <w:proofErr w:type="spellStart"/>
      <w:r w:rsidRPr="00CF49D4">
        <w:rPr>
          <w:lang w:val="en-GB" w:eastAsia="en-GB"/>
        </w:rPr>
        <w:t>MetaSite</w:t>
      </w:r>
      <w:proofErr w:type="spellEnd"/>
      <w:r w:rsidR="00D767EB">
        <w:rPr>
          <w:lang w:val="en-GB" w:eastAsia="en-GB"/>
        </w:rPr>
        <w:t>,</w:t>
      </w:r>
      <w:r w:rsidRPr="00CF49D4">
        <w:rPr>
          <w:color w:val="FF0000"/>
          <w:lang w:val="en-GB" w:eastAsia="en-GB"/>
        </w:rPr>
        <w:t xml:space="preserve"> </w:t>
      </w:r>
      <w:r w:rsidRPr="00CF49D4">
        <w:rPr>
          <w:lang w:val="en-GB" w:eastAsia="en-GB"/>
        </w:rPr>
        <w:t xml:space="preserve">on the other hand, leverages structure-based docking, flexible interaction fields, and structure–activity relationships (SARs) to model how xenobiotic compounds interact with enzyme active sites, ranking predicted poses through energy-based scoring </w:t>
      </w:r>
      <w:proofErr w:type="gramStart"/>
      <w:r w:rsidRPr="00CF49D4">
        <w:rPr>
          <w:lang w:val="en-GB" w:eastAsia="en-GB"/>
        </w:rPr>
        <w:t>functions</w:t>
      </w:r>
      <w:r w:rsidR="005F33DB">
        <w:rPr>
          <w:color w:val="FF0000"/>
          <w:lang w:val="en-GB" w:eastAsia="en-GB"/>
        </w:rPr>
        <w:t>[</w:t>
      </w:r>
      <w:proofErr w:type="gramEnd"/>
      <w:r w:rsidR="005F33DB">
        <w:rPr>
          <w:color w:val="FF0000"/>
          <w:lang w:val="en-GB" w:eastAsia="en-GB"/>
        </w:rPr>
        <w:t>2]</w:t>
      </w:r>
      <w:r w:rsidRPr="00CF49D4">
        <w:rPr>
          <w:lang w:val="en-GB" w:eastAsia="en-GB"/>
        </w:rPr>
        <w:t>. While these approaches have proven accuracy and the advantage of incorporating detailed enzyme knowledge, they can also be computationally intensive, particularly when simulating multiple enzyme systems or large libraries of molecules</w:t>
      </w:r>
      <w:r w:rsidR="00D767EB">
        <w:rPr>
          <w:lang w:val="en-GB" w:eastAsia="en-GB"/>
        </w:rPr>
        <w:t>.</w:t>
      </w:r>
    </w:p>
    <w:p w14:paraId="6ED7D12B" w14:textId="1D3F8ADB" w:rsidR="00D767EB" w:rsidRDefault="005F33DB" w:rsidP="00D767EB">
      <w:pPr>
        <w:jc w:val="both"/>
        <w:rPr>
          <w:lang w:val="en-GB" w:eastAsia="en-GB"/>
        </w:rPr>
      </w:pPr>
      <w:r w:rsidRPr="005F33DB">
        <w:rPr>
          <w:lang w:val="en-GB" w:eastAsia="en-GB"/>
        </w:rPr>
        <w:t xml:space="preserve">Despite the proprietary nature of these platforms, </w:t>
      </w:r>
      <w:proofErr w:type="gramStart"/>
      <w:r w:rsidRPr="005F33DB">
        <w:rPr>
          <w:lang w:val="en-GB" w:eastAsia="en-GB"/>
        </w:rPr>
        <w:t>it is clear</w:t>
      </w:r>
      <w:r>
        <w:rPr>
          <w:lang w:val="en-GB" w:eastAsia="en-GB"/>
        </w:rPr>
        <w:t xml:space="preserve"> that </w:t>
      </w:r>
      <w:r w:rsidRPr="005F33DB">
        <w:rPr>
          <w:lang w:val="en-GB" w:eastAsia="en-GB"/>
        </w:rPr>
        <w:t>the</w:t>
      </w:r>
      <w:proofErr w:type="gramEnd"/>
      <w:r w:rsidRPr="005F33DB">
        <w:rPr>
          <w:lang w:val="en-GB" w:eastAsia="en-GB"/>
        </w:rPr>
        <w:t xml:space="preserv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produce a more accurate and reliable outcome than any single model could achieve on its own. In the case of </w:t>
      </w:r>
      <w:proofErr w:type="spellStart"/>
      <w:r w:rsidRPr="005F33DB">
        <w:rPr>
          <w:lang w:val="en-GB" w:eastAsia="en-GB"/>
        </w:rPr>
        <w:t>Semeta</w:t>
      </w:r>
      <w:proofErr w:type="spellEnd"/>
      <w:r w:rsidRPr="005F33DB">
        <w:rPr>
          <w:lang w:val="en-GB" w:eastAsia="en-GB"/>
        </w:rPr>
        <w:t xml:space="preserve">, for example, separate models such as WhichP450 and </w:t>
      </w:r>
      <w:proofErr w:type="spellStart"/>
      <w:r w:rsidRPr="005F33DB">
        <w:rPr>
          <w:lang w:val="en-GB" w:eastAsia="en-GB"/>
        </w:rPr>
        <w:t>WhichEnzyme</w:t>
      </w:r>
      <w:proofErr w:type="spellEnd"/>
      <w:r w:rsidRPr="005F33DB">
        <w:rPr>
          <w:lang w:val="en-GB" w:eastAsia="en-GB"/>
        </w:rPr>
        <w:t xml:space="preserv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47BA6845" w14:textId="63131AB9" w:rsidR="002C3E7C" w:rsidRDefault="002C3E7C" w:rsidP="00D767EB">
      <w:pPr>
        <w:jc w:val="both"/>
        <w:rPr>
          <w:lang w:val="en-GB" w:eastAsia="en-GB"/>
        </w:rPr>
      </w:pPr>
      <w:r>
        <w:rPr>
          <w:lang w:val="en-GB" w:eastAsia="en-GB"/>
        </w:rPr>
        <w:t xml:space="preserve">Add about other models?? Like </w:t>
      </w:r>
      <w:proofErr w:type="spellStart"/>
      <w:r>
        <w:rPr>
          <w:lang w:val="en-GB" w:eastAsia="en-GB"/>
        </w:rPr>
        <w:t>CYPReact</w:t>
      </w:r>
      <w:proofErr w:type="spellEnd"/>
      <w:r>
        <w:rPr>
          <w:lang w:val="en-GB" w:eastAsia="en-GB"/>
        </w:rPr>
        <w:t xml:space="preserve">, </w:t>
      </w:r>
      <w:proofErr w:type="spellStart"/>
      <w:r>
        <w:rPr>
          <w:lang w:val="en-GB" w:eastAsia="en-GB"/>
        </w:rPr>
        <w:t>CypST</w:t>
      </w:r>
      <w:proofErr w:type="spellEnd"/>
      <w:r>
        <w:rPr>
          <w:lang w:val="en-GB" w:eastAsia="en-GB"/>
        </w:rPr>
        <w:t xml:space="preserve">, DeepP450, admetlab3.0. They use trees and SMILES </w:t>
      </w:r>
      <w:proofErr w:type="gramStart"/>
      <w:r>
        <w:rPr>
          <w:lang w:val="en-GB" w:eastAsia="en-GB"/>
        </w:rPr>
        <w:t>mainly?</w:t>
      </w:r>
      <w:proofErr w:type="gramEnd"/>
    </w:p>
    <w:p w14:paraId="482FCB26" w14:textId="27CEE427" w:rsidR="006165CD" w:rsidRDefault="006165CD" w:rsidP="00D767EB">
      <w:pPr>
        <w:jc w:val="both"/>
        <w:rPr>
          <w:lang w:val="en-GB" w:eastAsia="en-GB"/>
        </w:rPr>
      </w:pPr>
      <w:r>
        <w:rPr>
          <w:lang w:val="en-GB" w:eastAsia="en-GB"/>
        </w:rPr>
        <w:t xml:space="preserve">State of the art of chemical representation in </w:t>
      </w:r>
      <w:proofErr w:type="spellStart"/>
      <w:r>
        <w:rPr>
          <w:lang w:val="en-GB" w:eastAsia="en-GB"/>
        </w:rPr>
        <w:t>compchem</w:t>
      </w:r>
      <w:proofErr w:type="spellEnd"/>
      <w:r>
        <w:rPr>
          <w:lang w:val="en-GB" w:eastAsia="en-GB"/>
        </w:rPr>
        <w:t>. SMILES as main way of storing chemical data due to its cheap computational cost and availability. Issues since its not canonical and can become tricky in protonated cases of chemicals with transition metals.</w:t>
      </w:r>
    </w:p>
    <w:p w14:paraId="50CCC622" w14:textId="11CE2713" w:rsidR="006165CD" w:rsidRDefault="006165CD" w:rsidP="00D767EB">
      <w:pPr>
        <w:jc w:val="both"/>
        <w:rPr>
          <w:lang w:val="en-GB" w:eastAsia="en-GB"/>
        </w:rPr>
      </w:pPr>
      <w:r>
        <w:rPr>
          <w:lang w:val="en-GB" w:eastAsia="en-GB"/>
        </w:rPr>
        <w:lastRenderedPageBreak/>
        <w:t>Use of fingerprints instead of embedding due to the simplicity and low amount of data available (in the thousands). Use of Mor</w:t>
      </w:r>
      <w:r w:rsidR="00226A4C">
        <w:rPr>
          <w:lang w:val="en-GB" w:eastAsia="en-GB"/>
        </w:rPr>
        <w:t>gan</w:t>
      </w:r>
      <w:r>
        <w:rPr>
          <w:lang w:val="en-GB" w:eastAsia="en-GB"/>
        </w:rPr>
        <w:t xml:space="preserve"> Fingerprints or </w:t>
      </w:r>
      <w:r w:rsidR="00503595">
        <w:rPr>
          <w:lang w:val="en-GB" w:eastAsia="en-GB"/>
        </w:rPr>
        <w:t>MACCS</w:t>
      </w:r>
      <w:r>
        <w:rPr>
          <w:lang w:val="en-GB" w:eastAsia="en-GB"/>
        </w:rPr>
        <w:t xml:space="preserve"> with 166. But </w:t>
      </w:r>
      <w:r w:rsidR="007C4BB0">
        <w:rPr>
          <w:lang w:val="en-GB" w:eastAsia="en-GB"/>
        </w:rPr>
        <w:t>this vector length</w:t>
      </w:r>
      <w:r>
        <w:rPr>
          <w:lang w:val="en-GB" w:eastAsia="en-GB"/>
        </w:rPr>
        <w:t xml:space="preserve"> can be too short to encode the chemical variability?</w:t>
      </w:r>
      <w:r w:rsidR="00503595">
        <w:rPr>
          <w:lang w:val="en-GB" w:eastAsia="en-GB"/>
        </w:rPr>
        <w:t xml:space="preserve"> </w:t>
      </w:r>
    </w:p>
    <w:p w14:paraId="29BEA696" w14:textId="14A48203" w:rsidR="00090FD5" w:rsidRDefault="0068166C" w:rsidP="0068166C">
      <w:pPr>
        <w:pStyle w:val="Heading1"/>
        <w:rPr>
          <w:lang w:val="en-GB" w:eastAsia="en-GB"/>
        </w:rPr>
      </w:pPr>
      <w:r>
        <w:rPr>
          <w:lang w:val="en-GB" w:eastAsia="en-GB"/>
        </w:rPr>
        <w:t>OBJECTIVES</w:t>
      </w:r>
    </w:p>
    <w:p w14:paraId="05A5F441" w14:textId="23824E5B" w:rsidR="0068166C" w:rsidRPr="00566539" w:rsidRDefault="0068166C" w:rsidP="0068166C">
      <w:pPr>
        <w:rPr>
          <w:b/>
          <w:lang w:val="en-GB" w:eastAsia="en-GB"/>
        </w:rPr>
      </w:pPr>
      <w:r w:rsidRPr="00566539">
        <w:rPr>
          <w:b/>
          <w:lang w:val="en-GB" w:eastAsia="en-GB"/>
        </w:rPr>
        <w:t>Main objective:</w:t>
      </w:r>
    </w:p>
    <w:p w14:paraId="061C64C4" w14:textId="5904ADE2" w:rsidR="0068166C" w:rsidRPr="0089727E" w:rsidRDefault="0068166C" w:rsidP="0089727E">
      <w:pPr>
        <w:pStyle w:val="ListParagraph"/>
        <w:numPr>
          <w:ilvl w:val="0"/>
          <w:numId w:val="29"/>
        </w:numPr>
        <w:jc w:val="both"/>
        <w:rPr>
          <w:lang w:val="en-GB" w:eastAsia="en-GB"/>
        </w:rPr>
      </w:pPr>
      <w:r w:rsidRPr="0089727E">
        <w:rPr>
          <w:lang w:val="en-GB" w:eastAsia="en-GB"/>
        </w:rPr>
        <w:t>To develop and evaluate machine learning models capable of predicting the metabolism of novel drug-like molecules by classifying them according to the CYP450 isoenzymes most likely to metabolize them, using publicly available molecular data and annotations.</w:t>
      </w:r>
    </w:p>
    <w:p w14:paraId="238F931E" w14:textId="051D746C" w:rsidR="0068166C" w:rsidRPr="00566539" w:rsidRDefault="0068166C" w:rsidP="0068166C">
      <w:pPr>
        <w:rPr>
          <w:b/>
          <w:lang w:val="en-GB" w:eastAsia="en-GB"/>
        </w:rPr>
      </w:pPr>
      <w:r w:rsidRPr="00566539">
        <w:rPr>
          <w:b/>
          <w:lang w:val="en-GB" w:eastAsia="en-GB"/>
        </w:rPr>
        <w:t>Secondary objectives:</w:t>
      </w:r>
    </w:p>
    <w:p w14:paraId="4949D9C1" w14:textId="0383FE01" w:rsidR="00566539" w:rsidRDefault="00566539" w:rsidP="00566539">
      <w:pPr>
        <w:pStyle w:val="ListParagraph"/>
        <w:numPr>
          <w:ilvl w:val="0"/>
          <w:numId w:val="29"/>
        </w:numPr>
        <w:jc w:val="both"/>
        <w:rPr>
          <w:color w:val="FF0000"/>
          <w:lang w:val="en-GB" w:eastAsia="en-GB"/>
        </w:rPr>
      </w:pPr>
      <w:r w:rsidRPr="00566539">
        <w:rPr>
          <w:lang w:val="en-GB" w:eastAsia="en-GB"/>
        </w:rPr>
        <w:t xml:space="preserve">Apply ETL (Extract, Transform, Load) techniques to collect, clean, and preprocess molecular structure datasets and metabolic annotations from public </w:t>
      </w:r>
      <w:r w:rsidRPr="00566539">
        <w:rPr>
          <w:color w:val="FF0000"/>
          <w:lang w:val="en-GB" w:eastAsia="en-GB"/>
        </w:rPr>
        <w:t xml:space="preserve">sources such as </w:t>
      </w:r>
      <w:proofErr w:type="spellStart"/>
      <w:r w:rsidRPr="00566539">
        <w:rPr>
          <w:color w:val="FF0000"/>
          <w:lang w:val="en-GB" w:eastAsia="en-GB"/>
        </w:rPr>
        <w:t>ChEMBL</w:t>
      </w:r>
      <w:proofErr w:type="spellEnd"/>
      <w:r w:rsidRPr="00566539">
        <w:rPr>
          <w:color w:val="FF0000"/>
          <w:lang w:val="en-GB" w:eastAsia="en-GB"/>
        </w:rPr>
        <w:t xml:space="preserve"> and </w:t>
      </w:r>
      <w:proofErr w:type="spellStart"/>
      <w:r w:rsidRPr="00566539">
        <w:rPr>
          <w:color w:val="FF0000"/>
          <w:lang w:val="en-GB" w:eastAsia="en-GB"/>
        </w:rPr>
        <w:t>DrugBank</w:t>
      </w:r>
      <w:proofErr w:type="spellEnd"/>
      <w:r w:rsidRPr="00566539">
        <w:rPr>
          <w:color w:val="FF0000"/>
          <w:lang w:val="en-GB" w:eastAsia="en-GB"/>
        </w:rPr>
        <w:t>.</w:t>
      </w:r>
    </w:p>
    <w:p w14:paraId="79B41AAA" w14:textId="04F7B992" w:rsidR="00566539" w:rsidRPr="00566539" w:rsidRDefault="00566539" w:rsidP="00566539">
      <w:pPr>
        <w:pStyle w:val="ListParagraph"/>
        <w:numPr>
          <w:ilvl w:val="0"/>
          <w:numId w:val="29"/>
        </w:numPr>
        <w:jc w:val="both"/>
        <w:rPr>
          <w:color w:val="000000" w:themeColor="text1"/>
          <w:lang w:val="en-GB" w:eastAsia="en-GB"/>
        </w:rPr>
      </w:pPr>
      <w:r w:rsidRPr="00566539">
        <w:rPr>
          <w:color w:val="000000" w:themeColor="text1"/>
          <w:lang w:val="en-GB" w:eastAsia="en-GB"/>
        </w:rPr>
        <w:t>Conduct exploratory data analysis (EDA) to identify trends, correlations, and potential biases within the data, ensuring high-quality input for the predictive models.</w:t>
      </w:r>
    </w:p>
    <w:p w14:paraId="55E5D180" w14:textId="1BCF3F12" w:rsidR="00566539" w:rsidRDefault="00566539" w:rsidP="00566539">
      <w:pPr>
        <w:pStyle w:val="ListParagraph"/>
        <w:numPr>
          <w:ilvl w:val="0"/>
          <w:numId w:val="29"/>
        </w:numPr>
        <w:jc w:val="both"/>
        <w:rPr>
          <w:lang w:val="en-GB" w:eastAsia="en-GB"/>
        </w:rPr>
      </w:pPr>
      <w:r>
        <w:rPr>
          <w:lang w:val="en-GB" w:eastAsia="en-GB"/>
        </w:rPr>
        <w:t>To a</w:t>
      </w:r>
      <w:r w:rsidRPr="00566539">
        <w:rPr>
          <w:lang w:val="en-GB" w:eastAsia="en-GB"/>
        </w:rPr>
        <w:t xml:space="preserve">ssess model performance with appropriate metrics, validate predictions against known experimental data, and explore how the approach </w:t>
      </w:r>
      <w:r w:rsidR="007C4BB0">
        <w:rPr>
          <w:lang w:val="en-GB" w:eastAsia="en-GB"/>
        </w:rPr>
        <w:t xml:space="preserve">may </w:t>
      </w:r>
      <w:r w:rsidRPr="00566539">
        <w:rPr>
          <w:lang w:val="en-GB" w:eastAsia="en-GB"/>
        </w:rPr>
        <w:t>support early drug discovery.</w:t>
      </w:r>
    </w:p>
    <w:p w14:paraId="0C2A441A" w14:textId="65E5B566" w:rsidR="000F0CFA" w:rsidRDefault="000F0CFA" w:rsidP="000F0CFA">
      <w:pPr>
        <w:pStyle w:val="Heading1"/>
        <w:rPr>
          <w:lang w:val="en-GB" w:eastAsia="en-GB"/>
        </w:rPr>
      </w:pPr>
      <w:r>
        <w:rPr>
          <w:lang w:val="en-GB" w:eastAsia="en-GB"/>
        </w:rPr>
        <w:t>METHODOLOGY</w:t>
      </w:r>
    </w:p>
    <w:p w14:paraId="63E547CD" w14:textId="6E3F6BA6" w:rsidR="005A34ED" w:rsidRDefault="00565D7C" w:rsidP="000F0CFA">
      <w:pPr>
        <w:rPr>
          <w:lang w:val="en-GB"/>
        </w:rPr>
      </w:pPr>
      <w:r w:rsidRPr="00565D7C">
        <w:rPr>
          <w:lang w:val="en-GB"/>
        </w:rPr>
        <w:t>The source code and coursework developed for this project will be uploaded and maintained in a GitHub repository, ensuring proper version control and accessibility.</w:t>
      </w:r>
    </w:p>
    <w:p w14:paraId="5B2C4112" w14:textId="77B55901" w:rsidR="00565D7C" w:rsidRDefault="00565D7C" w:rsidP="000F0CFA">
      <w:pPr>
        <w:rPr>
          <w:lang w:val="en-GB"/>
        </w:rPr>
      </w:pPr>
      <w:r w:rsidRPr="00565D7C">
        <w:rPr>
          <w:lang w:val="en-GB"/>
        </w:rPr>
        <w:t xml:space="preserve">For data management, relational tables will be created and handled using the Python library </w:t>
      </w:r>
      <w:r w:rsidRPr="00565D7C">
        <w:rPr>
          <w:b/>
          <w:bCs/>
          <w:lang w:val="en-GB"/>
        </w:rPr>
        <w:t>pandas</w:t>
      </w:r>
      <w:r w:rsidRPr="00565D7C">
        <w:rPr>
          <w:lang w:val="en-GB"/>
        </w:rPr>
        <w:t xml:space="preserve">, as the datasets involved are relatively </w:t>
      </w:r>
      <w:proofErr w:type="gramStart"/>
      <w:r w:rsidRPr="00565D7C">
        <w:rPr>
          <w:lang w:val="en-GB"/>
        </w:rPr>
        <w:t>small in size</w:t>
      </w:r>
      <w:proofErr w:type="gramEnd"/>
      <w:r w:rsidRPr="00565D7C">
        <w:rPr>
          <w:lang w:val="en-GB"/>
        </w:rPr>
        <w:t>. This is particularly the case for drug-related data, where the number of compounds, especially those tested for metabolism, is limited and does not require large-scale or distributed database solutions.</w:t>
      </w:r>
    </w:p>
    <w:p w14:paraId="763D549D" w14:textId="29E403E5" w:rsidR="009677B2" w:rsidRDefault="009677B2" w:rsidP="000F0CFA">
      <w:pPr>
        <w:rPr>
          <w:lang w:val="en-GB"/>
        </w:rPr>
      </w:pPr>
      <w:proofErr w:type="gramStart"/>
      <w:r w:rsidRPr="009677B2">
        <w:rPr>
          <w:lang w:val="en-GB"/>
        </w:rPr>
        <w:t>In order to</w:t>
      </w:r>
      <w:proofErr w:type="gramEnd"/>
      <w:r w:rsidRPr="009677B2">
        <w:rPr>
          <w:lang w:val="en-GB"/>
        </w:rPr>
        <w:t xml:space="preserve"> improve the clarity and maintainability of the code, large language models such as ChatGPT and Perplexity were employed as supportive tools for refining docstrings and enhancing code readability</w:t>
      </w:r>
      <w:r>
        <w:rPr>
          <w:lang w:val="en-GB"/>
        </w:rPr>
        <w:t xml:space="preserve">. </w:t>
      </w:r>
      <w:r w:rsidRPr="009677B2">
        <w:rPr>
          <w:lang w:val="en-GB"/>
        </w:rPr>
        <w:t>This approach ensured that the source code remained both accessible and transparent for future review and development.</w:t>
      </w:r>
    </w:p>
    <w:p w14:paraId="797C5824" w14:textId="6769B51D" w:rsidR="009677B2" w:rsidRPr="009677B2" w:rsidRDefault="009677B2" w:rsidP="000F0CFA">
      <w:pPr>
        <w:rPr>
          <w:lang w:val="en-GB"/>
        </w:rPr>
      </w:pPr>
      <w:r w:rsidRPr="009677B2">
        <w:rPr>
          <w:lang w:val="en-GB"/>
        </w:rPr>
        <w:t xml:space="preserve">For the cheminformatics component, the </w:t>
      </w:r>
      <w:proofErr w:type="spellStart"/>
      <w:r w:rsidRPr="009677B2">
        <w:rPr>
          <w:lang w:val="en-GB"/>
        </w:rPr>
        <w:t>RDKit</w:t>
      </w:r>
      <w:proofErr w:type="spellEnd"/>
      <w:r w:rsidRPr="009677B2">
        <w:rPr>
          <w:lang w:val="en-GB"/>
        </w:rPr>
        <w:t xml:space="preserve"> library was adopted to generate molecular representations in the form of Morgan fingerprints. </w:t>
      </w:r>
      <w:proofErr w:type="spellStart"/>
      <w:r w:rsidRPr="009677B2">
        <w:rPr>
          <w:lang w:val="en-GB"/>
        </w:rPr>
        <w:t>RDKit’s</w:t>
      </w:r>
      <w:proofErr w:type="spellEnd"/>
      <w:r w:rsidRPr="009677B2">
        <w:rPr>
          <w:lang w:val="en-GB"/>
        </w:rPr>
        <w:t xml:space="preserve"> </w:t>
      </w:r>
      <w:r>
        <w:rPr>
          <w:lang w:val="en-GB"/>
        </w:rPr>
        <w:t>“</w:t>
      </w:r>
      <w:proofErr w:type="spellStart"/>
      <w:r w:rsidRPr="009677B2">
        <w:rPr>
          <w:lang w:val="en-GB"/>
        </w:rPr>
        <w:t>FingerprintGenerator</w:t>
      </w:r>
      <w:proofErr w:type="spellEnd"/>
      <w:r>
        <w:rPr>
          <w:lang w:val="en-GB"/>
        </w:rPr>
        <w:t>”</w:t>
      </w:r>
      <w:r w:rsidRPr="009677B2">
        <w:rPr>
          <w:lang w:val="en-GB"/>
        </w:rPr>
        <w:t xml:space="preserve"> API was applied to transform molecular structures, expressed in SMILES notation, into fixed-length numerical vectors suitable for machine learning input.</w:t>
      </w:r>
    </w:p>
    <w:p w14:paraId="5429C6EC" w14:textId="2018DFA7" w:rsidR="000336D3" w:rsidRDefault="000336D3" w:rsidP="000F0CFA">
      <w:pPr>
        <w:rPr>
          <w:lang w:val="en-GB"/>
        </w:rPr>
      </w:pPr>
      <w:r>
        <w:rPr>
          <w:lang w:val="en-GB"/>
        </w:rPr>
        <w:t>…</w:t>
      </w:r>
    </w:p>
    <w:p w14:paraId="42699343" w14:textId="77777777" w:rsidR="000336D3" w:rsidRDefault="000336D3" w:rsidP="000336D3">
      <w:pPr>
        <w:rPr>
          <w:lang w:val="en-GB"/>
        </w:rPr>
      </w:pPr>
      <w:r>
        <w:rPr>
          <w:lang w:val="en-GB"/>
        </w:rPr>
        <w:t xml:space="preserve">Comparability SMILES vs InChI: </w:t>
      </w:r>
    </w:p>
    <w:p w14:paraId="07FA0627" w14:textId="662C0931" w:rsidR="000336D3" w:rsidRPr="00831D38" w:rsidRDefault="000336D3" w:rsidP="000336D3">
      <w:pPr>
        <w:rPr>
          <w:lang w:val="en-GB" w:eastAsia="en-GB"/>
        </w:rPr>
      </w:pPr>
      <w:r w:rsidRPr="00831D38">
        <w:rPr>
          <w:b/>
          <w:bCs/>
          <w:lang w:val="en-GB"/>
        </w:rPr>
        <w:t>Ambiguity in SMILES</w:t>
      </w:r>
      <w:r w:rsidRPr="00831D38">
        <w:rPr>
          <w:lang w:val="en-GB"/>
        </w:rPr>
        <w:t>: Different SMILES strings can represent the same molecule, requiring canonicalization or data augmentation.</w:t>
      </w:r>
    </w:p>
    <w:p w14:paraId="05B1E1E8" w14:textId="1DCABFCA" w:rsidR="000336D3" w:rsidRDefault="000336D3" w:rsidP="000F0CFA">
      <w:pPr>
        <w:rPr>
          <w:lang w:val="en-GB"/>
        </w:rPr>
      </w:pPr>
    </w:p>
    <w:p w14:paraId="349E0324" w14:textId="45DD4195" w:rsidR="00565D7C" w:rsidRDefault="00565D7C" w:rsidP="000F0CFA">
      <w:pPr>
        <w:rPr>
          <w:lang w:val="en-GB"/>
        </w:rPr>
      </w:pPr>
      <w:r>
        <w:rPr>
          <w:lang w:val="en-GB"/>
        </w:rPr>
        <w:t>…</w:t>
      </w:r>
    </w:p>
    <w:p w14:paraId="726F3DC6" w14:textId="65B18745" w:rsidR="00831D38" w:rsidRDefault="00831D38" w:rsidP="000F0CFA">
      <w:pPr>
        <w:rPr>
          <w:lang w:val="en-GB"/>
        </w:rPr>
      </w:pPr>
      <w:r>
        <w:rPr>
          <w:lang w:val="en-GB"/>
        </w:rPr>
        <w:t xml:space="preserve">Embedding: Morgan </w:t>
      </w:r>
      <w:proofErr w:type="spellStart"/>
      <w:r>
        <w:rPr>
          <w:lang w:val="en-GB"/>
        </w:rPr>
        <w:t>figerprints</w:t>
      </w:r>
      <w:proofErr w:type="spellEnd"/>
      <w:r>
        <w:rPr>
          <w:lang w:val="en-GB"/>
        </w:rPr>
        <w:t xml:space="preserve"> vs embedding discussion. Risks of overfitting in embedding due to small sample size, therefore use of synthetic datasets</w:t>
      </w:r>
    </w:p>
    <w:p w14:paraId="07AEF2B7" w14:textId="1B84DAA5" w:rsidR="00ED77AB" w:rsidRPr="00ED77AB" w:rsidRDefault="00ED77AB" w:rsidP="000F0CFA">
      <w:pPr>
        <w:rPr>
          <w:lang w:val="en-GB"/>
        </w:rPr>
      </w:pPr>
      <w:r>
        <w:rPr>
          <w:lang w:val="en-GB"/>
        </w:rPr>
        <w:t>Discussing the code: “</w:t>
      </w:r>
      <w:r w:rsidRPr="00ED77AB">
        <w:rPr>
          <w:lang w:val="en-GB"/>
        </w:rPr>
        <w:t>Since the creation of the fingerprint generator involves a one-time setup of hashing and feature extraction rules, we instantiate it once at module load time and reuse it for efficiency. Each function call only performs the molecule-specific hashing, which scales linearly with molecule size</w:t>
      </w:r>
      <w:r>
        <w:rPr>
          <w:lang w:val="en-GB"/>
        </w:rPr>
        <w:t>”</w:t>
      </w:r>
    </w:p>
    <w:p w14:paraId="20DB0E13" w14:textId="7D1A8263" w:rsidR="00831D38" w:rsidRPr="00D766C1" w:rsidRDefault="00831D38" w:rsidP="00D766C1">
      <w:pPr>
        <w:rPr>
          <w:lang w:val="en-GB"/>
        </w:rPr>
      </w:pPr>
      <w:r w:rsidRPr="00831D38">
        <w:rPr>
          <w:lang w:val="en-GB"/>
        </w:rPr>
        <w:t>Mathematically, fingerprints map a molecule</w:t>
      </w:r>
      <w:r w:rsidR="00D766C1">
        <w:rPr>
          <w:lang w:val="en-GB"/>
        </w:rPr>
        <w:t xml:space="preserve"> </w:t>
      </w:r>
      <w:r w:rsidR="00D766C1" w:rsidRPr="00D766C1">
        <w:rPr>
          <w:rFonts w:ascii="Cambria Math" w:hAnsi="Cambria Math"/>
          <w:lang w:val="en-GB"/>
        </w:rPr>
        <w:t>M</w:t>
      </w:r>
      <w:r w:rsidR="00D766C1" w:rsidRPr="00D766C1">
        <w:rPr>
          <w:lang w:val="en-GB"/>
        </w:rPr>
        <w:t xml:space="preserve"> </w:t>
      </w:r>
      <w:r w:rsidRPr="00831D38">
        <w:rPr>
          <w:lang w:val="en-GB"/>
        </w:rPr>
        <w:t>to a fixed binary vector:</w:t>
      </w:r>
    </w:p>
    <w:p w14:paraId="43D604AD" w14:textId="5D394B84" w:rsidR="00D766C1" w:rsidRPr="00D766C1" w:rsidRDefault="00D766C1" w:rsidP="00D766C1">
      <w:pPr>
        <w:rPr>
          <w:lang w:val="en-GB"/>
        </w:rPr>
      </w:pPr>
      <m:oMathPara>
        <m:oMath>
          <m:r>
            <w:rPr>
              <w:rFonts w:ascii="Cambria Math" w:hAnsi="Cambria Math"/>
              <w:lang w:val="en-GB"/>
            </w:rPr>
            <m:t>φ</m:t>
          </m:r>
          <m:r>
            <m:rPr>
              <m:sty m:val="p"/>
            </m:rPr>
            <w:rPr>
              <w:rFonts w:ascii="Cambria Math" w:hAnsi="Cambria Math"/>
              <w:lang w:val="en-GB"/>
            </w:rPr>
            <m:t>:</m:t>
          </m:r>
          <m:r>
            <w:rPr>
              <w:rFonts w:ascii="Cambria Math" w:hAnsi="Cambria Math"/>
              <w:lang w:val="en-GB"/>
            </w:rPr>
            <m:t>M</m:t>
          </m:r>
          <m:r>
            <m:rPr>
              <m:sty m:val="p"/>
            </m:rPr>
            <w:rPr>
              <w:rFonts w:ascii="Cambria Math" w:hAnsi="Cambria Math"/>
              <w:lang w:val="en-GB"/>
            </w:rPr>
            <m:t>⟼</m:t>
          </m:r>
          <m:sSup>
            <m:sSupPr>
              <m:ctrlPr>
                <w:rPr>
                  <w:rFonts w:ascii="Cambria Math" w:hAnsi="Cambria Math"/>
                  <w:lang w:val="en-GB"/>
                </w:rPr>
              </m:ctrlPr>
            </m:sSupPr>
            <m:e>
              <m:d>
                <m:dPr>
                  <m:begChr m:val="{"/>
                  <m:endChr m:val="}"/>
                  <m:ctrlPr>
                    <w:rPr>
                      <w:rFonts w:ascii="Cambria Math" w:hAnsi="Cambria Math"/>
                      <w:lang w:val="en-GB"/>
                    </w:rPr>
                  </m:ctrlPr>
                </m:dPr>
                <m:e>
                  <m:r>
                    <m:rPr>
                      <m:sty m:val="p"/>
                    </m:rPr>
                    <w:rPr>
                      <w:rFonts w:ascii="Cambria Math" w:hAnsi="Cambria Math"/>
                      <w:lang w:val="en-GB"/>
                    </w:rPr>
                    <m:t>0,1</m:t>
                  </m:r>
                </m:e>
              </m:d>
            </m:e>
            <m:sup>
              <m:r>
                <w:rPr>
                  <w:rFonts w:ascii="Cambria Math" w:hAnsi="Cambria Math"/>
                  <w:lang w:val="en-GB"/>
                </w:rPr>
                <m:t>d</m:t>
              </m:r>
            </m:sup>
          </m:sSup>
          <m:r>
            <m:rPr>
              <m:sty m:val="p"/>
            </m:rPr>
            <w:rPr>
              <w:rFonts w:ascii="Cambria Math" w:hAnsi="Cambria Math"/>
              <w:lang w:val="en-GB"/>
            </w:rPr>
            <m:t xml:space="preserve">  </m:t>
          </m:r>
        </m:oMath>
      </m:oMathPara>
    </w:p>
    <w:p w14:paraId="0EB7A501" w14:textId="5C9EF752" w:rsidR="00831D38" w:rsidRDefault="00831D38" w:rsidP="00D766C1">
      <w:pPr>
        <w:rPr>
          <w:lang w:val="en-GB"/>
        </w:rPr>
      </w:pPr>
      <w:r w:rsidRPr="00831D38">
        <w:rPr>
          <w:lang w:val="en-GB"/>
        </w:rPr>
        <w:t xml:space="preserve">where each coordinate encodes the presence of a hashed subgraph of radius </w:t>
      </w:r>
      <w:r w:rsidRPr="00831D38">
        <w:rPr>
          <w:rFonts w:ascii="Cambria Math" w:hAnsi="Cambria Math"/>
          <w:lang w:val="en-GB"/>
        </w:rPr>
        <w:t>r</w:t>
      </w:r>
      <w:r w:rsidRPr="00831D38">
        <w:rPr>
          <w:lang w:val="en-GB"/>
        </w:rPr>
        <w:t>. Distances between molecules are then typically measured with Tanimoto similarity:</w:t>
      </w:r>
    </w:p>
    <w:p w14:paraId="10F4C02A" w14:textId="27276324" w:rsidR="006F304B" w:rsidRDefault="006F304B" w:rsidP="00D766C1">
      <w:pPr>
        <w:rPr>
          <w:lang w:val="en-GB"/>
        </w:rPr>
      </w:pPr>
      <w:r w:rsidRPr="006F304B">
        <w:rPr>
          <w:noProof/>
          <w:lang w:val="en-GB"/>
        </w:rPr>
        <w:drawing>
          <wp:inline distT="0" distB="0" distL="0" distR="0" wp14:anchorId="2D131C71" wp14:editId="7E0A07AD">
            <wp:extent cx="5669915" cy="716280"/>
            <wp:effectExtent l="0" t="0" r="6985" b="7620"/>
            <wp:docPr id="180162949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29497" name="Picture 1" descr="A black background with white text&#10;&#10;AI-generated content may be incorrect."/>
                    <pic:cNvPicPr/>
                  </pic:nvPicPr>
                  <pic:blipFill>
                    <a:blip r:embed="rId13"/>
                    <a:stretch>
                      <a:fillRect/>
                    </a:stretch>
                  </pic:blipFill>
                  <pic:spPr>
                    <a:xfrm>
                      <a:off x="0" y="0"/>
                      <a:ext cx="5669915" cy="716280"/>
                    </a:xfrm>
                    <a:prstGeom prst="rect">
                      <a:avLst/>
                    </a:prstGeom>
                  </pic:spPr>
                </pic:pic>
              </a:graphicData>
            </a:graphic>
          </wp:inline>
        </w:drawing>
      </w:r>
    </w:p>
    <w:p w14:paraId="4EABED35" w14:textId="3DD9477C" w:rsidR="00DF689F" w:rsidRPr="00831D38" w:rsidRDefault="00DF689F" w:rsidP="00D766C1">
      <w:pPr>
        <w:rPr>
          <w:lang w:val="en-GB"/>
        </w:rPr>
      </w:pPr>
      <w:r w:rsidRPr="00DF689F">
        <w:rPr>
          <w:noProof/>
          <w:lang w:val="en-GB"/>
        </w:rPr>
        <w:drawing>
          <wp:inline distT="0" distB="0" distL="0" distR="0" wp14:anchorId="539838E9" wp14:editId="60E03686">
            <wp:extent cx="2629267" cy="647790"/>
            <wp:effectExtent l="0" t="0" r="0" b="0"/>
            <wp:docPr id="1649409166" name="Picture 1" descr="A purpl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09166" name="Picture 1" descr="A purple text on a white background&#10;&#10;AI-generated content may be incorrect."/>
                    <pic:cNvPicPr/>
                  </pic:nvPicPr>
                  <pic:blipFill>
                    <a:blip r:embed="rId14"/>
                    <a:stretch>
                      <a:fillRect/>
                    </a:stretch>
                  </pic:blipFill>
                  <pic:spPr>
                    <a:xfrm>
                      <a:off x="0" y="0"/>
                      <a:ext cx="2629267" cy="647790"/>
                    </a:xfrm>
                    <a:prstGeom prst="rect">
                      <a:avLst/>
                    </a:prstGeom>
                  </pic:spPr>
                </pic:pic>
              </a:graphicData>
            </a:graphic>
          </wp:inline>
        </w:drawing>
      </w:r>
    </w:p>
    <w:p w14:paraId="41268977" w14:textId="3CA7576F" w:rsidR="00831D38" w:rsidRDefault="006F304B" w:rsidP="00831D38">
      <w:pPr>
        <w:rPr>
          <w:lang w:val="en-GB"/>
        </w:rPr>
      </w:pPr>
      <w:r w:rsidRPr="006F304B">
        <w:rPr>
          <w:lang w:val="en-GB"/>
        </w:rPr>
        <w:t>In contrast, token embeddings define:</w:t>
      </w:r>
    </w:p>
    <w:p w14:paraId="1E3FAF11" w14:textId="55B3A8CC" w:rsidR="006F304B" w:rsidRDefault="00075D23" w:rsidP="00831D38">
      <w:pPr>
        <w:rPr>
          <w:lang w:val="en-GB"/>
        </w:rPr>
      </w:pPr>
      <m:oMathPara>
        <m:oMath>
          <m:r>
            <w:rPr>
              <w:rFonts w:ascii="Cambria Math" w:hAnsi="Cambria Math"/>
              <w:lang w:val="en-GB"/>
            </w:rPr>
            <m:t>M ⟼</m:t>
          </m:r>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 ϵ</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n×d</m:t>
              </m:r>
            </m:sup>
          </m:sSup>
        </m:oMath>
      </m:oMathPara>
    </w:p>
    <w:p w14:paraId="31CF54E7" w14:textId="59AE1CA5" w:rsidR="006F304B" w:rsidRDefault="006F304B" w:rsidP="00831D38">
      <w:pPr>
        <w:rPr>
          <w:lang w:val="en-GB"/>
        </w:rPr>
      </w:pPr>
      <w:r w:rsidRPr="006F304B">
        <w:rPr>
          <w:lang w:val="en-GB"/>
        </w:rPr>
        <w:t xml:space="preserve">where </w:t>
      </w:r>
      <w:proofErr w:type="spellStart"/>
      <w:r>
        <w:rPr>
          <w:rStyle w:val="katex-mathml"/>
          <w:lang w:val="en-GB"/>
        </w:rPr>
        <w:t>t</w:t>
      </w:r>
      <w:r>
        <w:rPr>
          <w:rStyle w:val="katex-mathml"/>
          <w:vertAlign w:val="subscript"/>
          <w:lang w:val="en-GB"/>
        </w:rPr>
        <w:t>i</w:t>
      </w:r>
      <w:proofErr w:type="spellEnd"/>
      <w:r>
        <w:rPr>
          <w:rStyle w:val="katex-mathml"/>
          <w:lang w:val="en-GB"/>
        </w:rPr>
        <w:t xml:space="preserve"> </w:t>
      </w:r>
      <w:r w:rsidRPr="006F304B">
        <w:rPr>
          <w:lang w:val="en-GB"/>
        </w:rPr>
        <w:t xml:space="preserve">are tokens in the SMILES and </w:t>
      </w:r>
      <w:proofErr w:type="gramStart"/>
      <w:r w:rsidRPr="006F304B">
        <w:rPr>
          <w:rStyle w:val="katex-mathml"/>
          <w:lang w:val="en-GB"/>
        </w:rPr>
        <w:t>e(</w:t>
      </w:r>
      <w:proofErr w:type="gramEnd"/>
      <w:r w:rsidRPr="006F304B">
        <w:rPr>
          <w:rStyle w:val="katex-mathml"/>
          <w:rFonts w:ascii="Cambria Math" w:hAnsi="Cambria Math" w:cs="Cambria Math"/>
          <w:lang w:val="en-GB"/>
        </w:rPr>
        <w:t>⋅</w:t>
      </w:r>
      <w:r w:rsidRPr="006F304B">
        <w:rPr>
          <w:rStyle w:val="katex-mathml"/>
          <w:lang w:val="en-GB"/>
        </w:rPr>
        <w:t>)</w:t>
      </w:r>
      <w:r w:rsidRPr="006F304B">
        <w:rPr>
          <w:lang w:val="en-GB"/>
        </w:rPr>
        <w:t xml:space="preserve"> is a learned embedding function. A downstream sequence model </w:t>
      </w:r>
      <w:r w:rsidRPr="006F304B">
        <w:rPr>
          <w:rStyle w:val="katex-mathml"/>
          <w:lang w:val="en-GB"/>
        </w:rPr>
        <w:t>f</w:t>
      </w:r>
      <w:r w:rsidRPr="006F304B">
        <w:rPr>
          <w:rStyle w:val="katex-mathml"/>
          <w:vertAlign w:val="subscript"/>
        </w:rPr>
        <w:t>θ</w:t>
      </w:r>
      <w:r w:rsidRPr="006F304B">
        <w:rPr>
          <w:rStyle w:val="vlist-s"/>
          <w:lang w:val="en-GB"/>
        </w:rPr>
        <w:t>​</w:t>
      </w:r>
      <w:r w:rsidRPr="006F304B">
        <w:rPr>
          <w:lang w:val="en-GB"/>
        </w:rPr>
        <w:t xml:space="preserve"> compresses this into a molecular representation:</w:t>
      </w:r>
    </w:p>
    <w:p w14:paraId="2608168D" w14:textId="073AC797" w:rsidR="006F304B" w:rsidRPr="000336D3" w:rsidRDefault="006F304B" w:rsidP="00831D38">
      <w:pPr>
        <w:rPr>
          <w:lang w:val="en-GB"/>
        </w:rPr>
      </w:pPr>
      <m:oMathPara>
        <m:oMath>
          <m:r>
            <w:rPr>
              <w:rFonts w:ascii="Cambria Math" w:hAnsi="Cambria Math"/>
              <w:lang w:val="en-GB"/>
            </w:rPr>
            <m:t xml:space="preserve">z= </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θ</m:t>
              </m:r>
            </m:sub>
          </m:sSub>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ϵ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k</m:t>
              </m:r>
            </m:sup>
          </m:sSup>
          <m:r>
            <w:rPr>
              <w:rFonts w:ascii="Cambria Math" w:hAnsi="Cambria Math"/>
              <w:lang w:val="en-GB"/>
            </w:rPr>
            <m:t xml:space="preserve"> </m:t>
          </m:r>
        </m:oMath>
      </m:oMathPara>
    </w:p>
    <w:p w14:paraId="675BC6C9" w14:textId="3903122E" w:rsidR="006F304B" w:rsidRDefault="000336D3" w:rsidP="00831D38">
      <w:pPr>
        <w:rPr>
          <w:lang w:val="en-GB"/>
        </w:rPr>
      </w:pPr>
      <w:r w:rsidRPr="000336D3">
        <w:rPr>
          <w:lang w:val="en-GB"/>
        </w:rPr>
        <w:t xml:space="preserve">Thus, fingerprints are a </w:t>
      </w:r>
      <w:r w:rsidRPr="000336D3">
        <w:rPr>
          <w:b/>
          <w:bCs/>
          <w:lang w:val="en-GB"/>
        </w:rPr>
        <w:t>hand-crafted projection into a discrete feature space</w:t>
      </w:r>
      <w:r w:rsidRPr="000336D3">
        <w:rPr>
          <w:lang w:val="en-GB"/>
        </w:rPr>
        <w:t xml:space="preserve">, whereas embeddings are a </w:t>
      </w:r>
      <w:r w:rsidRPr="000336D3">
        <w:rPr>
          <w:b/>
          <w:bCs/>
          <w:lang w:val="en-GB"/>
        </w:rPr>
        <w:t>learned mapping into a continuous latent space</w:t>
      </w:r>
      <w:r w:rsidRPr="000336D3">
        <w:rPr>
          <w:lang w:val="en-GB"/>
        </w:rPr>
        <w:t>. In high-data regimes, the continuous space should approximate chemical similarity more flexibly, whereas in low-data regimes, the discrete handcrafted features often outperform.</w:t>
      </w:r>
    </w:p>
    <w:p w14:paraId="1CA7C9E0" w14:textId="2767F88A" w:rsidR="000336D3" w:rsidRDefault="000336D3" w:rsidP="00831D38">
      <w:pPr>
        <w:rPr>
          <w:lang w:val="en-GB"/>
        </w:rPr>
      </w:pPr>
      <w:r w:rsidRPr="000336D3">
        <w:rPr>
          <w:lang w:val="en-GB"/>
        </w:rPr>
        <w:t>binary fingerprints can reduce chemical space to a checklist of substructures, which risks oversimplifying phenomena such as subtle steric or electronic effects relevant to cytochrome metabolism. A learned embedding function, particularly one based on tokenized SMILES with a sequence model, theoretically offers greater expressiveness by mapping molecules into a dense continuous vector space where chemically similar structures need not share explicit substructure overlap but can still lie close in embedding space. However, this benefit only manifests if sufficient training data are available to learn such embeddings</w:t>
      </w:r>
    </w:p>
    <w:p w14:paraId="698FADEE" w14:textId="05B15030" w:rsidR="006B0401" w:rsidRPr="000336D3" w:rsidRDefault="006B0401" w:rsidP="00831D38">
      <w:pPr>
        <w:rPr>
          <w:lang w:val="en-GB"/>
        </w:rPr>
      </w:pPr>
      <w:r>
        <w:rPr>
          <w:lang w:val="en-GB"/>
        </w:rPr>
        <w:t>other fingerprints: Avalon, atom-pairs, topological torsions</w:t>
      </w:r>
    </w:p>
    <w:p w14:paraId="6AA109F7" w14:textId="52863813" w:rsidR="00CE3883" w:rsidRDefault="00CE3883" w:rsidP="00CE3883">
      <w:pPr>
        <w:pStyle w:val="Heading1"/>
        <w:rPr>
          <w:lang w:val="en-GB" w:eastAsia="en-GB"/>
        </w:rPr>
      </w:pPr>
      <w:r>
        <w:rPr>
          <w:lang w:val="en-GB" w:eastAsia="en-GB"/>
        </w:rPr>
        <w:lastRenderedPageBreak/>
        <w:t>RESULTS</w:t>
      </w:r>
    </w:p>
    <w:p w14:paraId="1F245F6C" w14:textId="0B03B075" w:rsidR="00CE3883" w:rsidRDefault="00CE3883" w:rsidP="00CE3883">
      <w:pPr>
        <w:pStyle w:val="Heading2"/>
        <w:rPr>
          <w:lang w:val="en-GB" w:eastAsia="en-GB"/>
        </w:rPr>
      </w:pPr>
      <w:r>
        <w:rPr>
          <w:lang w:val="en-GB" w:eastAsia="en-GB"/>
        </w:rPr>
        <w:t>Data Source acquisition</w:t>
      </w:r>
    </w:p>
    <w:p w14:paraId="4BA9D93B" w14:textId="6276F202" w:rsidR="00455E03" w:rsidRDefault="00455E03" w:rsidP="00455E03">
      <w:pPr>
        <w:rPr>
          <w:lang w:val="en-GB" w:eastAsia="en-GB"/>
        </w:rPr>
      </w:pPr>
      <w:r>
        <w:rPr>
          <w:lang w:val="en-GB" w:eastAsia="en-GB"/>
        </w:rPr>
        <w:t xml:space="preserve">To obtain high quality data in a structured database an application was made to </w:t>
      </w:r>
      <w:proofErr w:type="spellStart"/>
      <w:r>
        <w:rPr>
          <w:lang w:val="en-GB" w:eastAsia="en-GB"/>
        </w:rPr>
        <w:t>DrugBank</w:t>
      </w:r>
      <w:proofErr w:type="spellEnd"/>
      <w:r>
        <w:rPr>
          <w:lang w:val="en-GB" w:eastAsia="en-GB"/>
        </w:rPr>
        <w:t>, an online repository of pharmacological data. After approval for academic use, all their databases were readily available, containing structural and pharmacological data of over 1300 small molecule drugs which will serve as backbone for the final data set.</w:t>
      </w:r>
    </w:p>
    <w:p w14:paraId="2B9D06F8" w14:textId="6A72BD96" w:rsidR="00067F24" w:rsidRDefault="00067F24" w:rsidP="00455E03">
      <w:pPr>
        <w:rPr>
          <w:lang w:val="en-GB" w:eastAsia="en-GB"/>
        </w:rPr>
      </w:pPr>
      <w:r>
        <w:rPr>
          <w:lang w:val="en-GB" w:eastAsia="en-GB"/>
        </w:rPr>
        <w:t xml:space="preserve">The data obtained from several relational tables was combined to produce a pandas </w:t>
      </w:r>
      <w:proofErr w:type="spellStart"/>
      <w:r>
        <w:rPr>
          <w:lang w:val="en-GB" w:eastAsia="en-GB"/>
        </w:rPr>
        <w:t>dataframe</w:t>
      </w:r>
      <w:proofErr w:type="spellEnd"/>
      <w:r>
        <w:rPr>
          <w:lang w:val="en-GB" w:eastAsia="en-GB"/>
        </w:rPr>
        <w:t xml:space="preserve"> (</w:t>
      </w:r>
      <w:proofErr w:type="spellStart"/>
      <w:r>
        <w:rPr>
          <w:lang w:val="en-GB" w:eastAsia="en-GB"/>
        </w:rPr>
        <w:t>df</w:t>
      </w:r>
      <w:proofErr w:type="spellEnd"/>
      <w:r>
        <w:rPr>
          <w:lang w:val="en-GB" w:eastAsia="en-GB"/>
        </w:rPr>
        <w:t>) containing a primary key that will be the “</w:t>
      </w:r>
      <w:proofErr w:type="spellStart"/>
      <w:r>
        <w:rPr>
          <w:lang w:val="en-GB" w:eastAsia="en-GB"/>
        </w:rPr>
        <w:t>DrugBank</w:t>
      </w:r>
      <w:proofErr w:type="spellEnd"/>
      <w:r>
        <w:rPr>
          <w:lang w:val="en-GB" w:eastAsia="en-GB"/>
        </w:rPr>
        <w:t xml:space="preserve"> ID”, which is a unique identifier for each chemical compound. This </w:t>
      </w:r>
      <w:proofErr w:type="spellStart"/>
      <w:r>
        <w:rPr>
          <w:lang w:val="en-GB" w:eastAsia="en-GB"/>
        </w:rPr>
        <w:t>dataframe</w:t>
      </w:r>
      <w:proofErr w:type="spellEnd"/>
      <w:r>
        <w:rPr>
          <w:lang w:val="en-GB" w:eastAsia="en-GB"/>
        </w:rPr>
        <w:t xml:space="preserve"> also contained the following data:</w:t>
      </w:r>
    </w:p>
    <w:p w14:paraId="30779B99" w14:textId="378C4DBC" w:rsidR="00067F24" w:rsidRDefault="00067F24" w:rsidP="00067F24">
      <w:pPr>
        <w:pStyle w:val="ListParagraph"/>
        <w:numPr>
          <w:ilvl w:val="0"/>
          <w:numId w:val="31"/>
        </w:numPr>
        <w:rPr>
          <w:lang w:val="en-GB" w:eastAsia="en-GB"/>
        </w:rPr>
      </w:pPr>
      <w:r>
        <w:rPr>
          <w:lang w:val="en-GB" w:eastAsia="en-GB"/>
        </w:rPr>
        <w:t>“CYPs”: List of all the cytochromes that metabolize it.</w:t>
      </w:r>
    </w:p>
    <w:p w14:paraId="3615256C" w14:textId="7EC2D8F2" w:rsidR="00067F24" w:rsidRDefault="00067F24" w:rsidP="00067F24">
      <w:pPr>
        <w:pStyle w:val="ListParagraph"/>
        <w:numPr>
          <w:ilvl w:val="0"/>
          <w:numId w:val="31"/>
        </w:numPr>
        <w:rPr>
          <w:lang w:val="en-GB" w:eastAsia="en-GB"/>
        </w:rPr>
      </w:pPr>
      <w:r>
        <w:rPr>
          <w:lang w:val="en-GB" w:eastAsia="en-GB"/>
        </w:rPr>
        <w:t>“InChI”</w:t>
      </w:r>
    </w:p>
    <w:p w14:paraId="52F5EE7E" w14:textId="44053DE4" w:rsidR="00067F24" w:rsidRDefault="00067F24" w:rsidP="00067F24">
      <w:pPr>
        <w:pStyle w:val="ListParagraph"/>
        <w:numPr>
          <w:ilvl w:val="0"/>
          <w:numId w:val="31"/>
        </w:numPr>
        <w:rPr>
          <w:lang w:val="en-GB" w:eastAsia="en-GB"/>
        </w:rPr>
      </w:pPr>
      <w:r>
        <w:rPr>
          <w:lang w:val="en-GB" w:eastAsia="en-GB"/>
        </w:rPr>
        <w:t>“SMILES”</w:t>
      </w:r>
    </w:p>
    <w:p w14:paraId="3C246B62" w14:textId="34462564" w:rsidR="00067F24" w:rsidRDefault="00067F24" w:rsidP="00067F24">
      <w:pPr>
        <w:rPr>
          <w:lang w:val="en-GB" w:eastAsia="en-GB"/>
        </w:rPr>
      </w:pPr>
      <w:r>
        <w:rPr>
          <w:lang w:val="en-GB" w:eastAsia="en-GB"/>
        </w:rPr>
        <w:t>Only those drugs that were classified as “</w:t>
      </w:r>
      <w:proofErr w:type="spellStart"/>
      <w:r>
        <w:rPr>
          <w:lang w:val="en-GB" w:eastAsia="en-GB"/>
        </w:rPr>
        <w:t>SmallMoleculeDrugs</w:t>
      </w:r>
      <w:proofErr w:type="spellEnd"/>
      <w:r>
        <w:rPr>
          <w:lang w:val="en-GB" w:eastAsia="en-GB"/>
        </w:rPr>
        <w:t xml:space="preserve">” were included in the final </w:t>
      </w:r>
      <w:proofErr w:type="spellStart"/>
      <w:r>
        <w:rPr>
          <w:lang w:val="en-GB" w:eastAsia="en-GB"/>
        </w:rPr>
        <w:t>df</w:t>
      </w:r>
      <w:proofErr w:type="spellEnd"/>
      <w:r>
        <w:rPr>
          <w:lang w:val="en-GB" w:eastAsia="en-GB"/>
        </w:rPr>
        <w:t xml:space="preserve">, excluding those with the tag </w:t>
      </w:r>
      <w:r w:rsidR="00FA1E97">
        <w:rPr>
          <w:lang w:val="en-GB" w:eastAsia="en-GB"/>
        </w:rPr>
        <w:t>“</w:t>
      </w:r>
      <w:proofErr w:type="spellStart"/>
      <w:r w:rsidR="00FA1E97">
        <w:rPr>
          <w:lang w:val="en-GB" w:eastAsia="en-GB"/>
        </w:rPr>
        <w:t>BiotechDrug</w:t>
      </w:r>
      <w:proofErr w:type="spellEnd"/>
      <w:r w:rsidR="00FA1E97">
        <w:rPr>
          <w:lang w:val="en-GB" w:eastAsia="en-GB"/>
        </w:rPr>
        <w:t>” which mostly include proteins and peptides, which are well known to be metabolized as normal proteins, not cytochromes. Any of these drugs tagged with any CYP450 was most likely due to inhibitory interactions not linked to metabolism.</w:t>
      </w:r>
    </w:p>
    <w:p w14:paraId="05524E8E" w14:textId="5EF74F57" w:rsidR="00FA1E97" w:rsidRPr="00FA1E97" w:rsidRDefault="00FA1E97" w:rsidP="00067F24">
      <w:pPr>
        <w:rPr>
          <w:color w:val="EE0000"/>
          <w:lang w:val="en-GB" w:eastAsia="en-GB"/>
        </w:rPr>
      </w:pPr>
      <w:r>
        <w:rPr>
          <w:lang w:val="en-GB" w:eastAsia="en-GB"/>
        </w:rPr>
        <w:t xml:space="preserve">For those drugs in the </w:t>
      </w:r>
      <w:proofErr w:type="spellStart"/>
      <w:r>
        <w:rPr>
          <w:lang w:val="en-GB" w:eastAsia="en-GB"/>
        </w:rPr>
        <w:t>df</w:t>
      </w:r>
      <w:proofErr w:type="spellEnd"/>
      <w:r>
        <w:rPr>
          <w:lang w:val="en-GB" w:eastAsia="en-GB"/>
        </w:rPr>
        <w:t xml:space="preserve"> without a SMILES, the API from “</w:t>
      </w:r>
      <w:proofErr w:type="spellStart"/>
      <w:r>
        <w:rPr>
          <w:lang w:val="en-GB" w:eastAsia="en-GB"/>
        </w:rPr>
        <w:t>ChemSpiPy</w:t>
      </w:r>
      <w:proofErr w:type="spellEnd"/>
      <w:r>
        <w:rPr>
          <w:lang w:val="en-GB" w:eastAsia="en-GB"/>
        </w:rPr>
        <w:t xml:space="preserve">” was used to search for results with the same name or a synonym name as the one in the </w:t>
      </w:r>
      <w:proofErr w:type="spellStart"/>
      <w:r>
        <w:rPr>
          <w:lang w:val="en-GB" w:eastAsia="en-GB"/>
        </w:rPr>
        <w:t>df</w:t>
      </w:r>
      <w:proofErr w:type="spellEnd"/>
      <w:r>
        <w:rPr>
          <w:lang w:val="en-GB" w:eastAsia="en-GB"/>
        </w:rPr>
        <w:t xml:space="preserve">. In some cases, the SMILES was easily found, while in other cases a group of results was obtained. This was </w:t>
      </w:r>
      <w:proofErr w:type="gramStart"/>
      <w:r>
        <w:rPr>
          <w:lang w:val="en-GB" w:eastAsia="en-GB"/>
        </w:rPr>
        <w:t>due to the fact that</w:t>
      </w:r>
      <w:proofErr w:type="gramEnd"/>
      <w:r>
        <w:rPr>
          <w:lang w:val="en-GB" w:eastAsia="en-GB"/>
        </w:rPr>
        <w:t xml:space="preserve"> the name given in the </w:t>
      </w:r>
      <w:proofErr w:type="spellStart"/>
      <w:r>
        <w:rPr>
          <w:lang w:val="en-GB" w:eastAsia="en-GB"/>
        </w:rPr>
        <w:t>df</w:t>
      </w:r>
      <w:proofErr w:type="spellEnd"/>
      <w:r>
        <w:rPr>
          <w:lang w:val="en-GB" w:eastAsia="en-GB"/>
        </w:rPr>
        <w:t xml:space="preserve"> was one that encapsulated several compounds like for example “</w:t>
      </w:r>
      <w:r w:rsidRPr="00FA1E97">
        <w:rPr>
          <w:lang w:val="en-GB" w:eastAsia="en-GB"/>
        </w:rPr>
        <w:t>Omega-3-carboxylic acids</w:t>
      </w:r>
      <w:r>
        <w:rPr>
          <w:lang w:val="en-GB" w:eastAsia="en-GB"/>
        </w:rPr>
        <w:t xml:space="preserve">”. In these </w:t>
      </w:r>
      <w:proofErr w:type="gramStart"/>
      <w:r>
        <w:rPr>
          <w:lang w:val="en-GB" w:eastAsia="en-GB"/>
        </w:rPr>
        <w:t>cases</w:t>
      </w:r>
      <w:proofErr w:type="gramEnd"/>
      <w:r>
        <w:rPr>
          <w:lang w:val="en-GB" w:eastAsia="en-GB"/>
        </w:rPr>
        <w:t xml:space="preserve"> a fake </w:t>
      </w:r>
      <w:r w:rsidR="00C833D3">
        <w:rPr>
          <w:lang w:val="en-GB" w:eastAsia="en-GB"/>
        </w:rPr>
        <w:t>“</w:t>
      </w:r>
      <w:proofErr w:type="spellStart"/>
      <w:r>
        <w:rPr>
          <w:lang w:val="en-GB" w:eastAsia="en-GB"/>
        </w:rPr>
        <w:t>DrugBank</w:t>
      </w:r>
      <w:proofErr w:type="spellEnd"/>
      <w:r>
        <w:rPr>
          <w:lang w:val="en-GB" w:eastAsia="en-GB"/>
        </w:rPr>
        <w:t xml:space="preserve"> ID</w:t>
      </w:r>
      <w:r w:rsidR="00C833D3">
        <w:rPr>
          <w:lang w:val="en-GB" w:eastAsia="en-GB"/>
        </w:rPr>
        <w:t>”</w:t>
      </w:r>
      <w:r>
        <w:rPr>
          <w:lang w:val="en-GB" w:eastAsia="en-GB"/>
        </w:rPr>
        <w:t xml:space="preserve"> was given, and the new lines with the SMILES of each concrete chemical compound was added </w:t>
      </w:r>
      <w:r w:rsidR="00C833D3">
        <w:rPr>
          <w:lang w:val="en-GB" w:eastAsia="en-GB"/>
        </w:rPr>
        <w:t>with the same CYPs as the parent compound.</w:t>
      </w:r>
    </w:p>
    <w:p w14:paraId="1E8627B9" w14:textId="3B3BF569" w:rsidR="00CE3883" w:rsidRDefault="00CE3883" w:rsidP="00CE3883">
      <w:pPr>
        <w:pStyle w:val="Heading2"/>
        <w:rPr>
          <w:lang w:val="en-GB" w:eastAsia="en-GB"/>
        </w:rPr>
      </w:pPr>
      <w:r>
        <w:rPr>
          <w:lang w:val="en-GB" w:eastAsia="en-GB"/>
        </w:rPr>
        <w:t>Data source description</w:t>
      </w:r>
    </w:p>
    <w:p w14:paraId="4AFCF508" w14:textId="4C2E4ACB" w:rsidR="00CE3883" w:rsidRPr="00CE3883" w:rsidRDefault="00CE3883" w:rsidP="00CE3883">
      <w:pPr>
        <w:pStyle w:val="ListParagraph"/>
        <w:numPr>
          <w:ilvl w:val="0"/>
          <w:numId w:val="30"/>
        </w:numPr>
        <w:rPr>
          <w:lang w:val="en-GB" w:eastAsia="en-GB"/>
        </w:rPr>
      </w:pPr>
      <w:proofErr w:type="spellStart"/>
      <w:r w:rsidRPr="00CE3883">
        <w:rPr>
          <w:b/>
          <w:bCs/>
          <w:lang w:val="en-GB" w:eastAsia="en-GB"/>
        </w:rPr>
        <w:t>DrugBank</w:t>
      </w:r>
      <w:proofErr w:type="spellEnd"/>
      <w:r w:rsidRPr="00CE3883">
        <w:rPr>
          <w:b/>
          <w:bCs/>
          <w:lang w:val="en-GB" w:eastAsia="en-GB"/>
        </w:rPr>
        <w:t>:</w:t>
      </w:r>
      <w:r w:rsidRPr="00CE3883">
        <w:rPr>
          <w:lang w:val="en-GB" w:eastAsia="en-GB"/>
        </w:rPr>
        <w:t xml:space="preserve"> </w:t>
      </w:r>
      <w:r>
        <w:rPr>
          <w:lang w:val="en-GB" w:eastAsia="en-GB"/>
        </w:rPr>
        <w:t>It</w:t>
      </w:r>
      <w:r w:rsidRPr="00CE3883">
        <w:rPr>
          <w:lang w:val="en-GB" w:eastAsia="en-GB"/>
        </w:rPr>
        <w:t xml:space="preserve"> is a freely accessible online database for academic use that provides comprehensive information on drugs and their molecular targets. It integrates bioinformatics and cheminformatics data, covering chemical, pharmacological, pharmaceutical properties as well as details on related proteins, sequences, structures, and biological pathways.</w:t>
      </w:r>
    </w:p>
    <w:p w14:paraId="414B6E61" w14:textId="673B538D" w:rsidR="00CE3883" w:rsidRDefault="00CE3883" w:rsidP="00CE3883">
      <w:pPr>
        <w:pStyle w:val="Heading2"/>
        <w:rPr>
          <w:lang w:val="en-GB" w:eastAsia="en-GB"/>
        </w:rPr>
      </w:pPr>
      <w:r>
        <w:rPr>
          <w:lang w:val="en-GB" w:eastAsia="en-GB"/>
        </w:rPr>
        <w:t>Exploratory data analysis (EDA)</w:t>
      </w:r>
    </w:p>
    <w:p w14:paraId="0BF1FDD0" w14:textId="77777777" w:rsidR="00455E03" w:rsidRDefault="00455E03" w:rsidP="00455E03">
      <w:pPr>
        <w:rPr>
          <w:lang w:val="en-GB" w:eastAsia="en-GB"/>
        </w:rPr>
      </w:pPr>
    </w:p>
    <w:p w14:paraId="4A91EB80" w14:textId="7715934B" w:rsidR="005D595C" w:rsidRPr="00455E03" w:rsidRDefault="005D595C" w:rsidP="00455E03">
      <w:pPr>
        <w:rPr>
          <w:lang w:val="en-GB" w:eastAsia="en-GB"/>
        </w:rPr>
      </w:pPr>
      <w:r>
        <w:rPr>
          <w:lang w:val="en-GB" w:eastAsia="en-GB"/>
        </w:rPr>
        <w:t xml:space="preserve">Benchmark predictor: </w:t>
      </w:r>
      <w:r w:rsidRPr="005D595C">
        <w:rPr>
          <w:lang w:val="en-GB" w:eastAsia="en-GB"/>
        </w:rPr>
        <w:t>https://insilico-cyp.charite.de/SuperCYPsPred/index.php?site=Statistics</w:t>
      </w:r>
    </w:p>
    <w:p w14:paraId="43C15A1A" w14:textId="03084EE4" w:rsidR="005F33DB" w:rsidRDefault="005F33DB" w:rsidP="005F33DB">
      <w:pPr>
        <w:pStyle w:val="Heading1"/>
        <w:rPr>
          <w:lang w:val="en-GB" w:eastAsia="en-GB"/>
        </w:rPr>
      </w:pPr>
      <w:r>
        <w:rPr>
          <w:lang w:val="en-GB" w:eastAsia="en-GB"/>
        </w:rPr>
        <w:t>REFERENCES</w:t>
      </w:r>
    </w:p>
    <w:p w14:paraId="70C7459C" w14:textId="59EF70DA" w:rsidR="005F33DB" w:rsidRDefault="005F33DB" w:rsidP="005F33DB">
      <w:pPr>
        <w:pStyle w:val="ListParagraph"/>
        <w:numPr>
          <w:ilvl w:val="0"/>
          <w:numId w:val="27"/>
        </w:numPr>
        <w:rPr>
          <w:lang w:val="en-GB" w:eastAsia="en-GB"/>
        </w:rPr>
      </w:pPr>
      <w:proofErr w:type="spellStart"/>
      <w:r w:rsidRPr="00C20205">
        <w:rPr>
          <w:rFonts w:ascii="Arial" w:hAnsi="Arial" w:cs="Arial"/>
          <w:color w:val="333333"/>
          <w:shd w:val="clear" w:color="auto" w:fill="FFFFFF"/>
          <w:lang w:val="en-GB"/>
        </w:rPr>
        <w:t>Öeren</w:t>
      </w:r>
      <w:proofErr w:type="spellEnd"/>
      <w:r w:rsidRPr="00C20205">
        <w:rPr>
          <w:rFonts w:ascii="Arial" w:hAnsi="Arial" w:cs="Arial"/>
          <w:color w:val="333333"/>
          <w:shd w:val="clear" w:color="auto" w:fill="FFFFFF"/>
          <w:lang w:val="en-GB"/>
        </w:rPr>
        <w:t xml:space="preserve">, M., Hunt, P. A., </w:t>
      </w:r>
      <w:proofErr w:type="spellStart"/>
      <w:r w:rsidRPr="00C20205">
        <w:rPr>
          <w:rFonts w:ascii="Arial" w:hAnsi="Arial" w:cs="Arial"/>
          <w:color w:val="333333"/>
          <w:shd w:val="clear" w:color="auto" w:fill="FFFFFF"/>
          <w:lang w:val="en-GB"/>
        </w:rPr>
        <w:t>Wharrick</w:t>
      </w:r>
      <w:proofErr w:type="spellEnd"/>
      <w:r w:rsidRPr="00C20205">
        <w:rPr>
          <w:rFonts w:ascii="Arial" w:hAnsi="Arial" w:cs="Arial"/>
          <w:color w:val="333333"/>
          <w:shd w:val="clear" w:color="auto" w:fill="FFFFFF"/>
          <w:lang w:val="en-GB"/>
        </w:rPr>
        <w:t>, C. E., Tabatabaei Ghomi, H., &amp; Segall, M. D. (2024). Predicting routes of phase I and II metabolism based on quantum mechanics and machine learning. </w:t>
      </w:r>
      <w:proofErr w:type="spellStart"/>
      <w:r>
        <w:rPr>
          <w:rFonts w:ascii="Arial" w:hAnsi="Arial" w:cs="Arial"/>
          <w:i/>
          <w:iCs/>
          <w:color w:val="333333"/>
          <w:shd w:val="clear" w:color="auto" w:fill="FFFFFF"/>
        </w:rPr>
        <w:t>Xenobiotica</w:t>
      </w:r>
      <w:proofErr w:type="spellEnd"/>
      <w:r>
        <w:rPr>
          <w:rFonts w:ascii="Arial" w:hAnsi="Arial" w:cs="Arial"/>
          <w:color w:val="333333"/>
          <w:shd w:val="clear" w:color="auto" w:fill="FFFFFF"/>
        </w:rPr>
        <w:t>, </w:t>
      </w:r>
      <w:r>
        <w:rPr>
          <w:rFonts w:ascii="Arial" w:hAnsi="Arial" w:cs="Arial"/>
          <w:i/>
          <w:iCs/>
          <w:color w:val="333333"/>
          <w:shd w:val="clear" w:color="auto" w:fill="FFFFFF"/>
        </w:rPr>
        <w:t>54</w:t>
      </w:r>
      <w:r>
        <w:rPr>
          <w:rFonts w:ascii="Arial" w:hAnsi="Arial" w:cs="Arial"/>
          <w:color w:val="333333"/>
          <w:shd w:val="clear" w:color="auto" w:fill="FFFFFF"/>
        </w:rPr>
        <w:t xml:space="preserve">(7), 379–393. </w:t>
      </w:r>
      <w:hyperlink r:id="rId15" w:history="1">
        <w:r w:rsidRPr="006E1739">
          <w:rPr>
            <w:rStyle w:val="Hyperlink"/>
            <w:rFonts w:ascii="Arial" w:hAnsi="Arial" w:cs="Arial"/>
            <w:shd w:val="clear" w:color="auto" w:fill="FFFFFF"/>
          </w:rPr>
          <w:t>https://doi.org/10.1080/00498254.2023.2284251</w:t>
        </w:r>
      </w:hyperlink>
      <w:r>
        <w:rPr>
          <w:rFonts w:ascii="Arial" w:hAnsi="Arial" w:cs="Arial"/>
          <w:color w:val="333333"/>
          <w:shd w:val="clear" w:color="auto" w:fill="FFFFFF"/>
        </w:rPr>
        <w:t xml:space="preserve"> (STARDSUT)</w:t>
      </w:r>
    </w:p>
    <w:p w14:paraId="2D31E96F" w14:textId="32497338" w:rsidR="005F33DB" w:rsidRPr="005F33DB" w:rsidRDefault="005F33DB" w:rsidP="005F33DB">
      <w:pPr>
        <w:pStyle w:val="ListParagraph"/>
        <w:numPr>
          <w:ilvl w:val="0"/>
          <w:numId w:val="27"/>
        </w:numPr>
        <w:rPr>
          <w:lang w:val="en-GB" w:eastAsia="en-GB"/>
        </w:rPr>
      </w:pPr>
      <w:hyperlink r:id="rId16" w:history="1">
        <w:r w:rsidRPr="006E1739">
          <w:rPr>
            <w:rStyle w:val="Hyperlink"/>
            <w:lang w:val="en-GB" w:eastAsia="en-GB"/>
          </w:rPr>
          <w:t>https://www.moldiscovery.com/software/metasite7/</w:t>
        </w:r>
      </w:hyperlink>
      <w:r>
        <w:rPr>
          <w:lang w:val="en-GB" w:eastAsia="en-GB"/>
        </w:rPr>
        <w:t xml:space="preserve"> (METASITE7)</w:t>
      </w:r>
    </w:p>
    <w:sectPr w:rsidR="005F33DB" w:rsidRPr="005F33DB" w:rsidSect="00CD779A">
      <w:pgSz w:w="11906" w:h="16838" w:code="9"/>
      <w:pgMar w:top="-1985" w:right="1276" w:bottom="993" w:left="1701" w:header="709" w:footer="43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39E2E" w14:textId="77777777" w:rsidR="00E6751B" w:rsidRDefault="00E6751B" w:rsidP="005D2D4D">
      <w:r>
        <w:separator/>
      </w:r>
    </w:p>
  </w:endnote>
  <w:endnote w:type="continuationSeparator" w:id="0">
    <w:p w14:paraId="3247DC6C" w14:textId="77777777" w:rsidR="00E6751B" w:rsidRDefault="00E6751B"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8520098"/>
      <w:docPartObj>
        <w:docPartGallery w:val="Page Numbers (Bottom of Page)"/>
        <w:docPartUnique/>
      </w:docPartObj>
    </w:sdtPr>
    <w:sdtContent>
      <w:p w14:paraId="3C6BD3A8" w14:textId="12D2A18C" w:rsidR="00C20205" w:rsidRDefault="00C20205">
        <w:pPr>
          <w:pStyle w:val="Footer"/>
          <w:jc w:val="right"/>
        </w:pPr>
        <w:r>
          <w:fldChar w:fldCharType="begin"/>
        </w:r>
        <w:r>
          <w:instrText>PAGE   \* MERGEFORMAT</w:instrText>
        </w:r>
        <w:r>
          <w:fldChar w:fldCharType="separate"/>
        </w:r>
        <w:r>
          <w:rPr>
            <w:lang w:val="en-GB"/>
          </w:rPr>
          <w:t>2</w:t>
        </w:r>
        <w:r>
          <w:fldChar w:fldCharType="end"/>
        </w:r>
      </w:p>
    </w:sdtContent>
  </w:sdt>
  <w:p w14:paraId="27C2E6BA" w14:textId="77777777" w:rsidR="00C20205" w:rsidRDefault="00C202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DB9D6" w14:textId="77777777" w:rsidR="00E6751B" w:rsidRDefault="00E6751B" w:rsidP="005D2D4D">
      <w:r>
        <w:separator/>
      </w:r>
    </w:p>
  </w:footnote>
  <w:footnote w:type="continuationSeparator" w:id="0">
    <w:p w14:paraId="741B8DEE" w14:textId="77777777" w:rsidR="00E6751B" w:rsidRDefault="00E6751B" w:rsidP="005D2D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5" type="#_x0000_t75" style="width:167.15pt;height:167.15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4B260C8"/>
    <w:multiLevelType w:val="hybridMultilevel"/>
    <w:tmpl w:val="2924A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3"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6" w15:restartNumberingAfterBreak="0">
    <w:nsid w:val="11D70E2A"/>
    <w:multiLevelType w:val="hybridMultilevel"/>
    <w:tmpl w:val="0854E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9"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3"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4"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5"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7"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18"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20"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617102136">
    <w:abstractNumId w:val="11"/>
  </w:num>
  <w:num w:numId="2" w16cid:durableId="912158947">
    <w:abstractNumId w:val="8"/>
  </w:num>
  <w:num w:numId="3" w16cid:durableId="281889757">
    <w:abstractNumId w:val="12"/>
  </w:num>
  <w:num w:numId="4" w16cid:durableId="181207349">
    <w:abstractNumId w:val="0"/>
  </w:num>
  <w:num w:numId="5" w16cid:durableId="1060442504">
    <w:abstractNumId w:val="2"/>
  </w:num>
  <w:num w:numId="6" w16cid:durableId="1781874687">
    <w:abstractNumId w:val="20"/>
  </w:num>
  <w:num w:numId="7" w16cid:durableId="1930696681">
    <w:abstractNumId w:val="17"/>
  </w:num>
  <w:num w:numId="8" w16cid:durableId="288122373">
    <w:abstractNumId w:val="15"/>
  </w:num>
  <w:num w:numId="9" w16cid:durableId="1384670221">
    <w:abstractNumId w:val="5"/>
  </w:num>
  <w:num w:numId="10" w16cid:durableId="1919559332">
    <w:abstractNumId w:val="16"/>
  </w:num>
  <w:num w:numId="11" w16cid:durableId="913514872">
    <w:abstractNumId w:val="10"/>
  </w:num>
  <w:num w:numId="12" w16cid:durableId="2093774704">
    <w:abstractNumId w:val="19"/>
  </w:num>
  <w:num w:numId="13" w16cid:durableId="1656835221">
    <w:abstractNumId w:val="14"/>
  </w:num>
  <w:num w:numId="14" w16cid:durableId="2075085400">
    <w:abstractNumId w:val="13"/>
  </w:num>
  <w:num w:numId="15" w16cid:durableId="1376928120">
    <w:abstractNumId w:val="4"/>
  </w:num>
  <w:num w:numId="16" w16cid:durableId="402872824">
    <w:abstractNumId w:val="7"/>
  </w:num>
  <w:num w:numId="17" w16cid:durableId="1200584732">
    <w:abstractNumId w:val="7"/>
  </w:num>
  <w:num w:numId="18" w16cid:durableId="609974171">
    <w:abstractNumId w:val="7"/>
  </w:num>
  <w:num w:numId="19" w16cid:durableId="389766910">
    <w:abstractNumId w:val="7"/>
  </w:num>
  <w:num w:numId="20" w16cid:durableId="418916477">
    <w:abstractNumId w:val="7"/>
  </w:num>
  <w:num w:numId="21" w16cid:durableId="1370489010">
    <w:abstractNumId w:val="7"/>
  </w:num>
  <w:num w:numId="22" w16cid:durableId="1468939726">
    <w:abstractNumId w:val="7"/>
  </w:num>
  <w:num w:numId="23" w16cid:durableId="1474328577">
    <w:abstractNumId w:val="7"/>
  </w:num>
  <w:num w:numId="24" w16cid:durableId="1296644125">
    <w:abstractNumId w:val="7"/>
  </w:num>
  <w:num w:numId="25" w16cid:durableId="5595566">
    <w:abstractNumId w:val="7"/>
  </w:num>
  <w:num w:numId="26" w16cid:durableId="1878735314">
    <w:abstractNumId w:val="7"/>
  </w:num>
  <w:num w:numId="27" w16cid:durableId="1749688877">
    <w:abstractNumId w:val="9"/>
  </w:num>
  <w:num w:numId="28" w16cid:durableId="253558993">
    <w:abstractNumId w:val="3"/>
  </w:num>
  <w:num w:numId="29" w16cid:durableId="1650590971">
    <w:abstractNumId w:val="18"/>
  </w:num>
  <w:num w:numId="30" w16cid:durableId="1272929739">
    <w:abstractNumId w:val="6"/>
  </w:num>
  <w:num w:numId="31" w16cid:durableId="7247169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36A3"/>
    <w:rsid w:val="0001074B"/>
    <w:rsid w:val="000336D3"/>
    <w:rsid w:val="00047FFE"/>
    <w:rsid w:val="00053684"/>
    <w:rsid w:val="0006702D"/>
    <w:rsid w:val="00067F24"/>
    <w:rsid w:val="00075D23"/>
    <w:rsid w:val="00090FD5"/>
    <w:rsid w:val="00096FCC"/>
    <w:rsid w:val="000F0CFA"/>
    <w:rsid w:val="00114998"/>
    <w:rsid w:val="0017044E"/>
    <w:rsid w:val="0018737E"/>
    <w:rsid w:val="00191241"/>
    <w:rsid w:val="0019424B"/>
    <w:rsid w:val="001A38EA"/>
    <w:rsid w:val="001A4EB0"/>
    <w:rsid w:val="001D0014"/>
    <w:rsid w:val="001E5796"/>
    <w:rsid w:val="00205C60"/>
    <w:rsid w:val="00207F37"/>
    <w:rsid w:val="0022077C"/>
    <w:rsid w:val="00224B55"/>
    <w:rsid w:val="00226A4C"/>
    <w:rsid w:val="00233A6E"/>
    <w:rsid w:val="00242378"/>
    <w:rsid w:val="00251FDC"/>
    <w:rsid w:val="002638EA"/>
    <w:rsid w:val="00271ACD"/>
    <w:rsid w:val="002913E1"/>
    <w:rsid w:val="002927BC"/>
    <w:rsid w:val="002955D3"/>
    <w:rsid w:val="002B512A"/>
    <w:rsid w:val="002C0346"/>
    <w:rsid w:val="002C3E7C"/>
    <w:rsid w:val="00301118"/>
    <w:rsid w:val="00302E17"/>
    <w:rsid w:val="00310EDE"/>
    <w:rsid w:val="00320D31"/>
    <w:rsid w:val="003242BE"/>
    <w:rsid w:val="00346D66"/>
    <w:rsid w:val="0035442B"/>
    <w:rsid w:val="00355237"/>
    <w:rsid w:val="003873F2"/>
    <w:rsid w:val="003A1F15"/>
    <w:rsid w:val="003C55D0"/>
    <w:rsid w:val="003D470A"/>
    <w:rsid w:val="003E2756"/>
    <w:rsid w:val="003E4788"/>
    <w:rsid w:val="003F4712"/>
    <w:rsid w:val="0040423F"/>
    <w:rsid w:val="00451615"/>
    <w:rsid w:val="0045225B"/>
    <w:rsid w:val="00455E03"/>
    <w:rsid w:val="004579B3"/>
    <w:rsid w:val="0046344C"/>
    <w:rsid w:val="00475EC9"/>
    <w:rsid w:val="004829DE"/>
    <w:rsid w:val="00491B57"/>
    <w:rsid w:val="00492D77"/>
    <w:rsid w:val="004B53AE"/>
    <w:rsid w:val="004C4BC2"/>
    <w:rsid w:val="004D3257"/>
    <w:rsid w:val="004E379C"/>
    <w:rsid w:val="004E4188"/>
    <w:rsid w:val="00502807"/>
    <w:rsid w:val="00503595"/>
    <w:rsid w:val="00510F94"/>
    <w:rsid w:val="00520718"/>
    <w:rsid w:val="00547DFB"/>
    <w:rsid w:val="00550C6F"/>
    <w:rsid w:val="005564B5"/>
    <w:rsid w:val="00565D7C"/>
    <w:rsid w:val="00566539"/>
    <w:rsid w:val="00585443"/>
    <w:rsid w:val="0058569C"/>
    <w:rsid w:val="005A24C7"/>
    <w:rsid w:val="005A2583"/>
    <w:rsid w:val="005A34ED"/>
    <w:rsid w:val="005D2D4D"/>
    <w:rsid w:val="005D595C"/>
    <w:rsid w:val="005F33DB"/>
    <w:rsid w:val="006016D0"/>
    <w:rsid w:val="00602C2F"/>
    <w:rsid w:val="006165CD"/>
    <w:rsid w:val="006179E0"/>
    <w:rsid w:val="006319F9"/>
    <w:rsid w:val="006329D7"/>
    <w:rsid w:val="00642779"/>
    <w:rsid w:val="006521EE"/>
    <w:rsid w:val="006618AC"/>
    <w:rsid w:val="00677598"/>
    <w:rsid w:val="0068166C"/>
    <w:rsid w:val="006950CF"/>
    <w:rsid w:val="006A1FFD"/>
    <w:rsid w:val="006B0401"/>
    <w:rsid w:val="006B07A3"/>
    <w:rsid w:val="006B5439"/>
    <w:rsid w:val="006D045C"/>
    <w:rsid w:val="006F304B"/>
    <w:rsid w:val="00703FE0"/>
    <w:rsid w:val="00714ADF"/>
    <w:rsid w:val="0072720A"/>
    <w:rsid w:val="00757C4D"/>
    <w:rsid w:val="0076241E"/>
    <w:rsid w:val="007767C2"/>
    <w:rsid w:val="0078086A"/>
    <w:rsid w:val="007900F7"/>
    <w:rsid w:val="007A79B9"/>
    <w:rsid w:val="007C4BB0"/>
    <w:rsid w:val="007D4602"/>
    <w:rsid w:val="007E2EC4"/>
    <w:rsid w:val="007E55F3"/>
    <w:rsid w:val="007F2CEE"/>
    <w:rsid w:val="008068A5"/>
    <w:rsid w:val="00807D12"/>
    <w:rsid w:val="00821259"/>
    <w:rsid w:val="008244EF"/>
    <w:rsid w:val="00830EDA"/>
    <w:rsid w:val="00831D38"/>
    <w:rsid w:val="00876B07"/>
    <w:rsid w:val="00876DF6"/>
    <w:rsid w:val="008836F7"/>
    <w:rsid w:val="008840D5"/>
    <w:rsid w:val="0089727E"/>
    <w:rsid w:val="008A67F9"/>
    <w:rsid w:val="009026C6"/>
    <w:rsid w:val="00904029"/>
    <w:rsid w:val="00947BCC"/>
    <w:rsid w:val="00955AFF"/>
    <w:rsid w:val="009627CE"/>
    <w:rsid w:val="00964CF8"/>
    <w:rsid w:val="009677B2"/>
    <w:rsid w:val="00973BE9"/>
    <w:rsid w:val="00980A45"/>
    <w:rsid w:val="00991662"/>
    <w:rsid w:val="00996651"/>
    <w:rsid w:val="009A6519"/>
    <w:rsid w:val="009C2EB8"/>
    <w:rsid w:val="009C35FE"/>
    <w:rsid w:val="009D5D01"/>
    <w:rsid w:val="009F4E24"/>
    <w:rsid w:val="009F5881"/>
    <w:rsid w:val="00A07D3D"/>
    <w:rsid w:val="00A418EC"/>
    <w:rsid w:val="00A711DB"/>
    <w:rsid w:val="00A83896"/>
    <w:rsid w:val="00AB3034"/>
    <w:rsid w:val="00AD3B1C"/>
    <w:rsid w:val="00AE06C4"/>
    <w:rsid w:val="00AE5BF9"/>
    <w:rsid w:val="00B05BF5"/>
    <w:rsid w:val="00B1287F"/>
    <w:rsid w:val="00B21B1D"/>
    <w:rsid w:val="00B34637"/>
    <w:rsid w:val="00B35406"/>
    <w:rsid w:val="00B549A4"/>
    <w:rsid w:val="00B73CFE"/>
    <w:rsid w:val="00B834C4"/>
    <w:rsid w:val="00B8550C"/>
    <w:rsid w:val="00B85A9B"/>
    <w:rsid w:val="00B87B42"/>
    <w:rsid w:val="00B92444"/>
    <w:rsid w:val="00BA3391"/>
    <w:rsid w:val="00BC4D44"/>
    <w:rsid w:val="00BD6094"/>
    <w:rsid w:val="00BF57CE"/>
    <w:rsid w:val="00C04BD7"/>
    <w:rsid w:val="00C12187"/>
    <w:rsid w:val="00C2018A"/>
    <w:rsid w:val="00C20205"/>
    <w:rsid w:val="00C21E22"/>
    <w:rsid w:val="00C221D5"/>
    <w:rsid w:val="00C51954"/>
    <w:rsid w:val="00C520E0"/>
    <w:rsid w:val="00C632A4"/>
    <w:rsid w:val="00C77D8B"/>
    <w:rsid w:val="00C833D3"/>
    <w:rsid w:val="00C918C2"/>
    <w:rsid w:val="00C9448C"/>
    <w:rsid w:val="00CD2C32"/>
    <w:rsid w:val="00CD779A"/>
    <w:rsid w:val="00CE3883"/>
    <w:rsid w:val="00CE38DE"/>
    <w:rsid w:val="00CF163A"/>
    <w:rsid w:val="00CF49D4"/>
    <w:rsid w:val="00D002E2"/>
    <w:rsid w:val="00D25CFA"/>
    <w:rsid w:val="00D31426"/>
    <w:rsid w:val="00D325EF"/>
    <w:rsid w:val="00D34117"/>
    <w:rsid w:val="00D47D90"/>
    <w:rsid w:val="00D51483"/>
    <w:rsid w:val="00D6673D"/>
    <w:rsid w:val="00D67D1D"/>
    <w:rsid w:val="00D7357A"/>
    <w:rsid w:val="00D74039"/>
    <w:rsid w:val="00D766C1"/>
    <w:rsid w:val="00D767EB"/>
    <w:rsid w:val="00D76D64"/>
    <w:rsid w:val="00D77CCF"/>
    <w:rsid w:val="00D77F94"/>
    <w:rsid w:val="00D95E81"/>
    <w:rsid w:val="00DB0738"/>
    <w:rsid w:val="00DB53E3"/>
    <w:rsid w:val="00DC74E7"/>
    <w:rsid w:val="00DD739D"/>
    <w:rsid w:val="00DE7FDA"/>
    <w:rsid w:val="00DF4335"/>
    <w:rsid w:val="00DF689F"/>
    <w:rsid w:val="00E02ED6"/>
    <w:rsid w:val="00E33C60"/>
    <w:rsid w:val="00E412AE"/>
    <w:rsid w:val="00E41CF9"/>
    <w:rsid w:val="00E43B0E"/>
    <w:rsid w:val="00E61BA1"/>
    <w:rsid w:val="00E6751B"/>
    <w:rsid w:val="00E77C21"/>
    <w:rsid w:val="00E81365"/>
    <w:rsid w:val="00E83B3F"/>
    <w:rsid w:val="00E9306E"/>
    <w:rsid w:val="00E935F5"/>
    <w:rsid w:val="00EA3419"/>
    <w:rsid w:val="00EA408F"/>
    <w:rsid w:val="00EA692B"/>
    <w:rsid w:val="00EB567E"/>
    <w:rsid w:val="00EB6587"/>
    <w:rsid w:val="00EB680B"/>
    <w:rsid w:val="00ED77AB"/>
    <w:rsid w:val="00EE7D9A"/>
    <w:rsid w:val="00EF16AB"/>
    <w:rsid w:val="00EF2791"/>
    <w:rsid w:val="00F3214F"/>
    <w:rsid w:val="00F6568F"/>
    <w:rsid w:val="00F70030"/>
    <w:rsid w:val="00F8595F"/>
    <w:rsid w:val="00F87C73"/>
    <w:rsid w:val="00F9519F"/>
    <w:rsid w:val="00FA1E97"/>
    <w:rsid w:val="00FA6A4F"/>
    <w:rsid w:val="00FC254A"/>
    <w:rsid w:val="00FD01E7"/>
    <w:rsid w:val="00FD4DC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EBFDE3EE-7712-4DA0-8354-55E06755B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semiHidden/>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semiHidden/>
    <w:unhideWhenUsed/>
    <w:qFormat/>
    <w:rsid w:val="003E4788"/>
    <w:pPr>
      <w:outlineLvl w:val="9"/>
    </w:pPr>
  </w:style>
  <w:style w:type="paragraph" w:styleId="NormalWeb">
    <w:name w:val="Normal (Web)"/>
    <w:basedOn w:val="Normal"/>
    <w:uiPriority w:val="99"/>
    <w:semiHidden/>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katex-mathml">
    <w:name w:val="katex-mathml"/>
    <w:basedOn w:val="DefaultParagraphFont"/>
    <w:rsid w:val="00831D38"/>
  </w:style>
  <w:style w:type="character" w:customStyle="1" w:styleId="mord">
    <w:name w:val="mord"/>
    <w:basedOn w:val="DefaultParagraphFont"/>
    <w:rsid w:val="00831D38"/>
  </w:style>
  <w:style w:type="character" w:customStyle="1" w:styleId="mrel">
    <w:name w:val="mrel"/>
    <w:basedOn w:val="DefaultParagraphFont"/>
    <w:rsid w:val="00831D38"/>
  </w:style>
  <w:style w:type="character" w:customStyle="1" w:styleId="mopen">
    <w:name w:val="mopen"/>
    <w:basedOn w:val="DefaultParagraphFont"/>
    <w:rsid w:val="00831D38"/>
  </w:style>
  <w:style w:type="character" w:customStyle="1" w:styleId="mpunct">
    <w:name w:val="mpunct"/>
    <w:basedOn w:val="DefaultParagraphFont"/>
    <w:rsid w:val="00831D38"/>
  </w:style>
  <w:style w:type="character" w:customStyle="1" w:styleId="mclose">
    <w:name w:val="mclose"/>
    <w:basedOn w:val="DefaultParagraphFont"/>
    <w:rsid w:val="00831D38"/>
  </w:style>
  <w:style w:type="character" w:customStyle="1" w:styleId="vlist-s">
    <w:name w:val="vlist-s"/>
    <w:basedOn w:val="DefaultParagraphFont"/>
    <w:rsid w:val="00831D38"/>
  </w:style>
  <w:style w:type="character" w:customStyle="1" w:styleId="mbin">
    <w:name w:val="mbin"/>
    <w:basedOn w:val="DefaultParagraphFont"/>
    <w:rsid w:val="00831D38"/>
  </w:style>
  <w:style w:type="character" w:styleId="PlaceholderText">
    <w:name w:val="Placeholder Text"/>
    <w:basedOn w:val="DefaultParagraphFont"/>
    <w:uiPriority w:val="99"/>
    <w:semiHidden/>
    <w:rsid w:val="00D766C1"/>
    <w:rPr>
      <w:color w:val="666666"/>
    </w:rPr>
  </w:style>
  <w:style w:type="character" w:styleId="HTMLCode">
    <w:name w:val="HTML Code"/>
    <w:basedOn w:val="DefaultParagraphFont"/>
    <w:uiPriority w:val="99"/>
    <w:semiHidden/>
    <w:unhideWhenUsed/>
    <w:rsid w:val="009677B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moldiscovery.com/software/metasite7/"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yperlink" Target="https://doi.org/10.1080/00498254.2023.2284251" TargetMode="Externa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Props1.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3.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docProps/app.xml><?xml version="1.0" encoding="utf-8"?>
<Properties xmlns="http://schemas.openxmlformats.org/officeDocument/2006/extended-properties" xmlns:vt="http://schemas.openxmlformats.org/officeDocument/2006/docPropsVTypes">
  <Template>Normal</Template>
  <TotalTime>1314</TotalTime>
  <Pages>9</Pages>
  <Words>2842</Words>
  <Characters>16202</Characters>
  <Application>Microsoft Office Word</Application>
  <DocSecurity>0</DocSecurity>
  <Lines>135</Lines>
  <Paragraphs>38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19006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26</cp:revision>
  <dcterms:created xsi:type="dcterms:W3CDTF">2025-07-21T16:39:00Z</dcterms:created>
  <dcterms:modified xsi:type="dcterms:W3CDTF">2025-09-24T16:59:00Z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ies>
</file>