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4CB74DD4"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Predicting Novel Drug Metabolism with Machine Learning: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Pr="00C20205" w:rsidRDefault="0045225B" w:rsidP="003E4788">
      <w:pPr>
        <w:rPr>
          <w:rFonts w:cstheme="minorHAnsi"/>
          <w:color w:val="262626"/>
          <w:lang w:eastAsia="en-GB"/>
        </w:rPr>
      </w:pPr>
    </w:p>
    <w:p w14:paraId="408A4199" w14:textId="77777777" w:rsidR="0045225B" w:rsidRPr="00C20205" w:rsidRDefault="0045225B" w:rsidP="003E4788">
      <w:pPr>
        <w:ind w:left="360"/>
        <w:rPr>
          <w:rFonts w:cstheme="minorHAnsi"/>
          <w:color w:val="262626"/>
          <w:lang w:eastAsia="en-GB"/>
        </w:rPr>
      </w:pPr>
    </w:p>
    <w:p w14:paraId="43580CDF" w14:textId="7B07B156" w:rsidR="0045225B" w:rsidRPr="00C20205" w:rsidRDefault="0045225B" w:rsidP="003E4788">
      <w:pPr>
        <w:ind w:left="360"/>
        <w:rPr>
          <w:rFonts w:cstheme="minorHAnsi"/>
          <w:color w:val="262626"/>
          <w:lang w:eastAsia="en-GB"/>
        </w:rPr>
      </w:pPr>
      <w:r w:rsidRPr="00C20205">
        <w:rPr>
          <w:rFonts w:cstheme="minorHAnsi"/>
          <w:color w:val="262626"/>
          <w:lang w:eastAsia="en-GB"/>
        </w:rPr>
        <w:t>Resumen o abstract.</w:t>
      </w:r>
      <w:r w:rsidRPr="00C20205">
        <w:rPr>
          <w:rFonts w:cstheme="minorHAnsi"/>
          <w:color w:val="262626"/>
          <w:lang w:eastAsia="en-GB"/>
        </w:rPr>
        <w:br/>
        <w:t>Introducción y antecedentes.</w:t>
      </w:r>
      <w:r w:rsidRPr="00C20205">
        <w:rPr>
          <w:rFonts w:cstheme="minorHAnsi"/>
          <w:color w:val="262626"/>
          <w:lang w:eastAsia="en-GB"/>
        </w:rPr>
        <w:b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big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los principales proveedores cloud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616D5719" w14:textId="23F28C9F" w:rsidR="0045225B" w:rsidRPr="00C20205" w:rsidRDefault="0045225B" w:rsidP="003E4788">
      <w:pPr>
        <w:ind w:left="360"/>
        <w:rPr>
          <w:rFonts w:cstheme="minorHAnsi"/>
          <w:color w:val="262626"/>
          <w:lang w:eastAsia="en-GB"/>
        </w:rPr>
      </w:pPr>
      <w:r w:rsidRPr="00C20205">
        <w:rPr>
          <w:rFonts w:cstheme="minorHAnsi"/>
          <w:color w:val="262626"/>
          <w:lang w:eastAsia="en-GB"/>
        </w:rPr>
        <w:t>Anexos.</w:t>
      </w:r>
    </w:p>
    <w:p w14:paraId="26781B90" w14:textId="77777777" w:rsidR="0045225B" w:rsidRPr="00C20205" w:rsidRDefault="0045225B" w:rsidP="003E4788">
      <w:pPr>
        <w:ind w:left="360"/>
        <w:rPr>
          <w:rFonts w:cstheme="minorHAnsi"/>
          <w:color w:val="262626"/>
          <w:lang w:eastAsia="en-GB"/>
        </w:rPr>
      </w:pPr>
    </w:p>
    <w:p w14:paraId="6B84754A" w14:textId="77777777" w:rsidR="00CD779A" w:rsidRDefault="0045225B" w:rsidP="00964CF8">
      <w:pPr>
        <w:ind w:left="360"/>
        <w:rPr>
          <w:rFonts w:cstheme="minorHAnsi"/>
          <w:color w:val="262626"/>
          <w:lang w:val="en-GB" w:eastAsia="en-GB"/>
        </w:rPr>
        <w:sectPr w:rsidR="00CD779A" w:rsidSect="00CD779A">
          <w:footerReference w:type="default" r:id="rId11"/>
          <w:footerReference w:type="first" r:id="rId12"/>
          <w:pgSz w:w="11906" w:h="16838" w:code="9"/>
          <w:pgMar w:top="-1985" w:right="1276" w:bottom="993" w:left="1701" w:header="709" w:footer="439" w:gutter="0"/>
          <w:cols w:space="708"/>
          <w:docGrid w:linePitch="360"/>
        </w:sectPr>
      </w:pPr>
      <w:r w:rsidRPr="00C20205">
        <w:rPr>
          <w:rFonts w:cstheme="minorHAnsi"/>
          <w:color w:val="262626"/>
          <w:lang w:eastAsia="en-GB"/>
        </w:rPr>
        <w:t>Portada.</w:t>
      </w:r>
      <w:r w:rsidRPr="00C20205">
        <w:rPr>
          <w:rFonts w:cstheme="minorHAnsi"/>
          <w:color w:val="262626"/>
          <w:lang w:eastAsia="en-GB"/>
        </w:rPr>
        <w:br/>
        <w:t>2. Resumen, abstract.</w:t>
      </w:r>
      <w:r w:rsidRPr="00C20205">
        <w:rPr>
          <w:rFonts w:cstheme="minorHAnsi"/>
          <w:color w:val="262626"/>
          <w:lang w:eastAsia="en-GB"/>
        </w:rPr>
        <w:br/>
        <w:t>3. Introducción y antecedentes.</w:t>
      </w:r>
      <w:r w:rsidRPr="00C20205">
        <w:rPr>
          <w:rFonts w:cstheme="minorHAnsi"/>
          <w:color w:val="262626"/>
          <w:lang w:eastAsia="en-GB"/>
        </w:rPr>
        <w:br/>
        <w:t>4. Objetivos del proyecto.</w:t>
      </w:r>
      <w:r w:rsidRPr="00C20205">
        <w:rPr>
          <w:rFonts w:cstheme="minorHAnsi"/>
          <w:color w:val="262626"/>
          <w:lang w:eastAsia="en-GB"/>
        </w:rPr>
        <w:br/>
        <w:t>5. Material y métodos.</w:t>
      </w:r>
      <w:r w:rsidRPr="00C20205">
        <w:rPr>
          <w:rFonts w:cstheme="minorHAnsi"/>
          <w:color w:val="262626"/>
          <w:lang w:eastAsia="en-GB"/>
        </w:rPr>
        <w:br/>
        <w:t>6. Resultados:</w:t>
      </w:r>
      <w:r w:rsidRPr="00C20205">
        <w:rPr>
          <w:rFonts w:cstheme="minorHAnsi"/>
          <w:color w:val="262626"/>
          <w:lang w:eastAsia="en-GB"/>
        </w:rPr>
        <w:br/>
        <w:t>a. Adquisición de fuentes de datos (por ejemplo, múltiples ficheros de una competición Kaggle).</w:t>
      </w:r>
      <w:r w:rsidRPr="00C20205">
        <w:rPr>
          <w:rFonts w:cstheme="minorHAnsi"/>
          <w:color w:val="262626"/>
          <w:lang w:eastAsia="en-GB"/>
        </w:rPr>
        <w:br/>
        <w:t>b. Descripción de fuentes de datos.</w:t>
      </w:r>
      <w:r w:rsidRPr="00C20205">
        <w:rPr>
          <w:rFonts w:cstheme="minorHAnsi"/>
          <w:color w:val="262626"/>
          <w:lang w:eastAsia="en-GB"/>
        </w:rPr>
        <w:br/>
        <w:t>c. Análisis exploratorio de datos, EDA (muy recomendable al finalizar este epígrafe incluir</w:t>
      </w:r>
      <w:r w:rsidRPr="00C20205">
        <w:rPr>
          <w:rFonts w:cstheme="minorHAnsi"/>
          <w:color w:val="262626"/>
          <w:lang w:eastAsia="en-GB"/>
        </w:rPr>
        <w:br/>
        <w:t>conclusiones más relevantes sobre el EDA).</w:t>
      </w:r>
      <w:r w:rsidRPr="00C20205">
        <w:rPr>
          <w:rFonts w:cstheme="minorHAnsi"/>
          <w:color w:val="262626"/>
          <w:lang w:eastAsia="en-GB"/>
        </w:rPr>
        <w:br/>
        <w:t>d. Preprocesado de datos (transformación, estandarización de variables, aplicación de pruebas</w:t>
      </w:r>
      <w:r w:rsidRPr="00C20205">
        <w:rPr>
          <w:rFonts w:cstheme="minorHAnsi"/>
          <w:color w:val="262626"/>
          <w:lang w:eastAsia="en-GB"/>
        </w:rPr>
        <w:br/>
        <w:t>de hipótesis estadísticas, etc.).</w:t>
      </w:r>
      <w:r w:rsidRPr="00C20205">
        <w:rPr>
          <w:rFonts w:cstheme="minorHAnsi"/>
          <w:color w:val="262626"/>
          <w:lang w:eastAsia="en-GB"/>
        </w:rPr>
        <w:br/>
        <w:t>e. Selección de variables.</w:t>
      </w:r>
      <w:r w:rsidRPr="00C20205">
        <w:rPr>
          <w:rFonts w:cstheme="minorHAnsi"/>
          <w:color w:val="262626"/>
          <w:lang w:eastAsia="en-GB"/>
        </w:rPr>
        <w:br/>
        <w:t>f. Partición de los datos en conjuntos train/test.</w:t>
      </w:r>
      <w:r w:rsidRPr="00C20205">
        <w:rPr>
          <w:rFonts w:cstheme="minorHAnsi"/>
          <w:color w:val="262626"/>
          <w:lang w:eastAsia="en-GB"/>
        </w:rPr>
        <w:br/>
        <w:t>g. Aplicación de modelos de aprendizaje automático.</w:t>
      </w:r>
      <w:r w:rsidRPr="00C20205">
        <w:rPr>
          <w:rFonts w:cstheme="minorHAnsi"/>
          <w:color w:val="262626"/>
          <w:lang w:eastAsia="en-GB"/>
        </w:rPr>
        <w:br/>
        <w:t>h. Evaluación y validación de modelos de aprendizaje automático.</w:t>
      </w:r>
      <w:r w:rsidRPr="00C20205">
        <w:rPr>
          <w:rFonts w:cstheme="minorHAnsi"/>
          <w:color w:val="262626"/>
          <w:lang w:eastAsia="en-GB"/>
        </w:rPr>
        <w:br/>
        <w:t>i. Comparativa de resultados.</w:t>
      </w:r>
      <w:r w:rsidRPr="00C20205">
        <w:rPr>
          <w:rFonts w:cstheme="minorHAnsi"/>
          <w:color w:val="262626"/>
          <w:lang w:eastAsia="en-GB"/>
        </w:rPr>
        <w:br/>
      </w:r>
      <w:r w:rsidRPr="003E4788">
        <w:rPr>
          <w:rFonts w:cstheme="minorHAnsi"/>
          <w:color w:val="262626"/>
          <w:lang w:val="en-GB" w:eastAsia="en-GB"/>
        </w:rPr>
        <w:t xml:space="preserve">7. </w:t>
      </w:r>
      <w:proofErr w:type="spellStart"/>
      <w:r w:rsidRPr="003E4788">
        <w:rPr>
          <w:rFonts w:cstheme="minorHAnsi"/>
          <w:color w:val="262626"/>
          <w:lang w:val="en-GB" w:eastAsia="en-GB"/>
        </w:rPr>
        <w:t>Conclusiones</w:t>
      </w:r>
      <w:proofErr w:type="spellEnd"/>
      <w:r w:rsidRPr="003E4788">
        <w:rPr>
          <w:rFonts w:cstheme="minorHAnsi"/>
          <w:color w:val="262626"/>
          <w:lang w:val="en-GB" w:eastAsia="en-GB"/>
        </w:rPr>
        <w:t>.</w:t>
      </w:r>
      <w:r w:rsidRPr="003E4788">
        <w:rPr>
          <w:rFonts w:cstheme="minorHAnsi"/>
          <w:color w:val="262626"/>
          <w:lang w:val="en-GB" w:eastAsia="en-GB"/>
        </w:rPr>
        <w:br/>
        <w:t xml:space="preserve">8. </w:t>
      </w:r>
      <w:proofErr w:type="spellStart"/>
      <w:r w:rsidRPr="003E4788">
        <w:rPr>
          <w:rFonts w:cstheme="minorHAnsi"/>
          <w:color w:val="262626"/>
          <w:lang w:val="en-GB" w:eastAsia="en-GB"/>
        </w:rPr>
        <w:t>Referencias</w:t>
      </w:r>
      <w:proofErr w:type="spellEnd"/>
      <w:r w:rsidRPr="003E4788">
        <w:rPr>
          <w:rFonts w:cstheme="minorHAnsi"/>
          <w:color w:val="262626"/>
          <w:lang w:val="en-GB" w:eastAsia="en-GB"/>
        </w:rPr>
        <w:t xml:space="preserve"> </w:t>
      </w:r>
      <w:proofErr w:type="spellStart"/>
      <w:r w:rsidRPr="003E4788">
        <w:rPr>
          <w:rFonts w:cstheme="minorHAnsi"/>
          <w:color w:val="262626"/>
          <w:lang w:val="en-GB" w:eastAsia="en-GB"/>
        </w:rPr>
        <w:t>bibliográficas</w:t>
      </w:r>
      <w:proofErr w:type="spellEnd"/>
      <w:r w:rsidRPr="003E4788">
        <w:rPr>
          <w:rFonts w:cstheme="minorHAnsi"/>
          <w:color w:val="262626"/>
          <w:lang w:val="en-GB" w:eastAsia="en-GB"/>
        </w:rPr>
        <w:t>.</w:t>
      </w:r>
      <w:r w:rsidRPr="003E4788">
        <w:rPr>
          <w:rFonts w:cstheme="minorHAnsi"/>
          <w:color w:val="262626"/>
          <w:lang w:val="en-GB" w:eastAsia="en-GB"/>
        </w:rPr>
        <w:br/>
        <w:t xml:space="preserve">9. </w:t>
      </w:r>
      <w:proofErr w:type="spellStart"/>
      <w:r w:rsidRPr="003E4788">
        <w:rPr>
          <w:rFonts w:cstheme="minorHAnsi"/>
          <w:color w:val="262626"/>
          <w:lang w:val="en-GB" w:eastAsia="en-GB"/>
        </w:rPr>
        <w:t>Anexos</w:t>
      </w:r>
      <w:proofErr w:type="spellEnd"/>
      <w:r w:rsidRPr="003E4788">
        <w:rPr>
          <w:rFonts w:cstheme="minorHAnsi"/>
          <w:color w:val="262626"/>
          <w:lang w:val="en-GB" w:eastAsia="en-GB"/>
        </w:rPr>
        <w:t>.</w:t>
      </w:r>
    </w:p>
    <w:p w14:paraId="274C3BF9" w14:textId="2DF31054" w:rsidR="003E4788" w:rsidRDefault="003E4788" w:rsidP="00D767EB">
      <w:pPr>
        <w:pStyle w:val="Heading1"/>
        <w:jc w:val="both"/>
        <w:rPr>
          <w:lang w:val="en-GB" w:eastAsia="en-GB"/>
        </w:rPr>
      </w:pPr>
      <w:r>
        <w:rPr>
          <w:lang w:val="en-GB" w:eastAsia="en-GB"/>
        </w:rPr>
        <w:lastRenderedPageBreak/>
        <w:t>Abstract</w:t>
      </w:r>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r>
        <w:rPr>
          <w:lang w:val="en-GB" w:eastAsia="en-GB"/>
        </w:rPr>
        <w:t>Resu</w:t>
      </w:r>
      <w:r w:rsidR="003E4788">
        <w:rPr>
          <w:lang w:val="en-GB" w:eastAsia="en-GB"/>
        </w:rPr>
        <w:t>men</w:t>
      </w:r>
    </w:p>
    <w:p w14:paraId="514F3EEA" w14:textId="401FE700" w:rsidR="003E4788" w:rsidRDefault="003E4788" w:rsidP="00D767EB">
      <w:pPr>
        <w:jc w:val="both"/>
        <w:rPr>
          <w:lang w:val="en-GB" w:eastAsia="en-GB"/>
        </w:rPr>
      </w:pPr>
      <w:proofErr w:type="spellStart"/>
      <w:r w:rsidRPr="0076241E">
        <w:rPr>
          <w:lang w:val="en-GB" w:eastAsia="en-GB"/>
        </w:rPr>
        <w:t>Xxx</w:t>
      </w:r>
      <w:proofErr w:type="spellEnd"/>
      <w:r w:rsidRPr="0076241E">
        <w:rPr>
          <w:lang w:val="en-GB" w:eastAsia="en-GB"/>
        </w:rPr>
        <w:t xml:space="preserve"> </w:t>
      </w:r>
      <w:proofErr w:type="spellStart"/>
      <w:r w:rsidRPr="0076241E">
        <w:rPr>
          <w:lang w:val="en-GB" w:eastAsia="en-GB"/>
        </w:rPr>
        <w:t>español</w:t>
      </w:r>
      <w:proofErr w:type="spellEnd"/>
    </w:p>
    <w:p w14:paraId="0CA30B99" w14:textId="7ACDA2EE" w:rsidR="005F33DB" w:rsidRDefault="005F33DB" w:rsidP="005F33DB">
      <w:pPr>
        <w:pStyle w:val="Heading1"/>
        <w:rPr>
          <w:lang w:val="en-GB" w:eastAsia="en-GB"/>
        </w:rPr>
      </w:pPr>
      <w:r>
        <w:rPr>
          <w:lang w:val="en-GB" w:eastAsia="en-GB"/>
        </w:rPr>
        <w:t>Table of contents</w:t>
      </w:r>
    </w:p>
    <w:p w14:paraId="3DF08B55" w14:textId="044678D6" w:rsidR="005F33DB" w:rsidRPr="005F33DB" w:rsidRDefault="005F33DB" w:rsidP="005F33DB">
      <w:pPr>
        <w:rPr>
          <w:lang w:val="en-GB" w:eastAsia="en-GB"/>
        </w:rPr>
      </w:pPr>
      <w:r>
        <w:rPr>
          <w:lang w:val="en-GB" w:eastAsia="en-GB"/>
        </w:rPr>
        <w:t>index</w:t>
      </w:r>
    </w:p>
    <w:p w14:paraId="2657B225" w14:textId="2DC228C6" w:rsidR="003E4788" w:rsidRPr="003E4788" w:rsidRDefault="003E4788" w:rsidP="00D767EB">
      <w:pPr>
        <w:pStyle w:val="Heading1"/>
        <w:jc w:val="both"/>
        <w:rPr>
          <w:lang w:val="en-GB" w:eastAsia="en-GB"/>
        </w:rPr>
      </w:pPr>
      <w:r>
        <w:rPr>
          <w:lang w:val="en-GB" w:eastAsia="en-GB"/>
        </w:rPr>
        <w:t xml:space="preserve">Introduction </w:t>
      </w:r>
    </w:p>
    <w:p w14:paraId="3DD810E4" w14:textId="77777777" w:rsidR="00BA3391" w:rsidRPr="00BA3391" w:rsidRDefault="00BA3391" w:rsidP="00D767EB">
      <w:pPr>
        <w:jc w:val="both"/>
        <w:rPr>
          <w:lang w:val="en-GB" w:eastAsia="en-GB"/>
        </w:rPr>
      </w:pPr>
      <w:r w:rsidRPr="00BA3391">
        <w:rPr>
          <w:lang w:val="en-GB" w:eastAsia="en-GB"/>
        </w:rPr>
        <w:t>The development of new drugs is a long, complex, and costly process, where safety and efficacy must be carefully evaluated before clinical use. Drug metabolism plays a central role in this evaluation, influencing both the appropriate dosage (how much of a drug should be administered and how often) and potential adverse effects. How quickly and efficiently a compound is broken down and eliminated from the body directly affects its therapeutic effect, risk of toxicity, and interactions with other drugs.</w:t>
      </w:r>
    </w:p>
    <w:p w14:paraId="250CC130" w14:textId="1B309442" w:rsidR="00BA3391" w:rsidRP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metabolism is rarely performed due to high costs, leaving potential issues undetected until very late in development.</w:t>
      </w:r>
    </w:p>
    <w:p w14:paraId="755C176A" w14:textId="0F9D780A" w:rsidR="00BA3391" w:rsidRPr="00BA3391" w:rsidRDefault="00BA3391" w:rsidP="00D767EB">
      <w:pPr>
        <w:jc w:val="both"/>
        <w:rPr>
          <w:lang w:val="en-GB" w:eastAsia="en-GB"/>
        </w:rPr>
      </w:pPr>
      <w:r w:rsidRPr="00BA3391">
        <w:rPr>
          <w:lang w:val="en-GB" w:eastAsia="en-GB"/>
        </w:rPr>
        <w:t>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primary hepatocytes provide a more complete and physiologically relevant picture, but they are far more expensive, challenging to handle, and unsuitable for testing large libraries of early candidates. As a result, detailed metabolic studies are often delayed. This challenge highlights the need for computational tools capable of predicting key metabolic behaviours early, complementing traditional experiments while reducing risk and cost.</w:t>
      </w:r>
    </w:p>
    <w:p w14:paraId="68FB3A90" w14:textId="4C896526" w:rsidR="00BA3391" w:rsidRPr="00BA3391" w:rsidRDefault="00BA3391" w:rsidP="00D767EB">
      <w:pPr>
        <w:jc w:val="both"/>
        <w:rPr>
          <w:lang w:val="en-GB" w:eastAsia="en-GB"/>
        </w:rPr>
      </w:pPr>
      <w:r w:rsidRPr="00BA3391">
        <w:rPr>
          <w:lang w:val="en-GB" w:eastAsia="en-GB"/>
        </w:rPr>
        <w:t xml:space="preserve">The growing availability of high-quality biochemical databases, such as ChEMBL and DrugBank,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w:t>
      </w:r>
      <w:r w:rsidRPr="00BA3391">
        <w:rPr>
          <w:lang w:val="en-GB" w:eastAsia="en-GB"/>
        </w:rPr>
        <w:lastRenderedPageBreak/>
        <w:t>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r>
        <w:rPr>
          <w:lang w:val="en-GB" w:eastAsia="en-GB"/>
        </w:rPr>
        <w:t>STATE OF THE ART</w:t>
      </w:r>
    </w:p>
    <w:p w14:paraId="73011ABA" w14:textId="7CB111AF"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 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w:t>
      </w:r>
      <w:proofErr w:type="spellStart"/>
      <w:r w:rsidR="007D4602" w:rsidRPr="00585443">
        <w:rPr>
          <w:lang w:val="en-GB" w:eastAsia="en-GB"/>
        </w:rPr>
        <w:t>biotransformations</w:t>
      </w:r>
      <w:proofErr w:type="spellEnd"/>
      <w:r w:rsidR="007D4602" w:rsidRPr="00585443">
        <w:rPr>
          <w:lang w:val="en-GB" w:eastAsia="en-GB"/>
        </w:rPr>
        <w:t xml:space="preserve"> a compound undergoes, and hepatocytes are capable of capturing both, providing an overall view of the metabolic fate of a drug candidate.</w:t>
      </w:r>
    </w:p>
    <w:p w14:paraId="14729C51" w14:textId="05D87B83" w:rsidR="00242378" w:rsidRDefault="00242378" w:rsidP="00D767EB">
      <w:pPr>
        <w:jc w:val="both"/>
        <w:rPr>
          <w:b/>
        </w:rPr>
      </w:pPr>
      <w:r>
        <w:rPr>
          <w:b/>
        </w:rPr>
        <w:t>AÑADIR DIAGRAMA EJEMPLIFICANDO FASE I Y II DENTRO DEL HEPATOCITO</w:t>
      </w:r>
    </w:p>
    <w:p w14:paraId="725C1808" w14:textId="77777777"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 xml:space="preserve">typically involve conjugation with endogenous </w:t>
      </w:r>
      <w:r w:rsidRPr="00585443">
        <w:rPr>
          <w:lang w:val="en-GB" w:eastAsia="en-GB"/>
        </w:rPr>
        <w:lastRenderedPageBreak/>
        <w:t>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w:t>
      </w:r>
      <w:proofErr w:type="spellStart"/>
      <w:r w:rsidRPr="00320D31">
        <w:rPr>
          <w:lang w:val="en-GB" w:eastAsia="en-GB"/>
        </w:rPr>
        <w:t>MetaSite</w:t>
      </w:r>
      <w:proofErr w:type="spellEnd"/>
      <w:r w:rsidRPr="00320D31">
        <w:rPr>
          <w:lang w:val="en-GB" w:eastAsia="en-GB"/>
        </w:rPr>
        <w:t xml:space="preserve"> and </w:t>
      </w:r>
      <w:proofErr w:type="spellStart"/>
      <w:r w:rsidRPr="00320D31">
        <w:rPr>
          <w:lang w:val="en-GB" w:eastAsia="en-GB"/>
        </w:rPr>
        <w:t>StarDrop</w:t>
      </w:r>
      <w:proofErr w:type="spellEnd"/>
      <w:r w:rsidRPr="00320D31">
        <w:rPr>
          <w:lang w:val="en-GB" w:eastAsia="en-GB"/>
        </w:rPr>
        <w:t xml:space="preserve">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w:t>
      </w:r>
      <w:proofErr w:type="spellStart"/>
      <w:r w:rsidRPr="00320D31">
        <w:rPr>
          <w:lang w:val="en-GB" w:eastAsia="en-GB"/>
        </w:rPr>
        <w:t>MetaSite</w:t>
      </w:r>
      <w:proofErr w:type="spellEnd"/>
      <w:r w:rsidRPr="00320D31">
        <w:rPr>
          <w:lang w:val="en-GB" w:eastAsia="en-GB"/>
        </w:rPr>
        <w:t xml:space="preserve"> to annual subscriptions exceeding tens of </w:t>
      </w:r>
      <w:r>
        <w:rPr>
          <w:lang w:val="en-GB" w:eastAsia="en-GB"/>
        </w:rPr>
        <w:t xml:space="preserve">thousands of euros for </w:t>
      </w:r>
      <w:proofErr w:type="spellStart"/>
      <w:r>
        <w:rPr>
          <w:lang w:val="en-GB" w:eastAsia="en-GB"/>
        </w:rPr>
        <w:t>StarDrop</w:t>
      </w:r>
      <w:proofErr w:type="spellEnd"/>
      <w:r>
        <w:rPr>
          <w:lang w:val="en-GB" w:eastAsia="en-GB"/>
        </w:rPr>
        <w:t xml:space="preserve">, </w:t>
      </w:r>
      <w:r w:rsidRPr="00320D31">
        <w:rPr>
          <w:lang w:val="en-GB" w:eastAsia="en-GB"/>
        </w:rPr>
        <w:t>can make them less accessible, particularly for early-stage research teams or academic groups.</w:t>
      </w:r>
    </w:p>
    <w:p w14:paraId="4CE5C075" w14:textId="331027A4" w:rsidR="00242378" w:rsidRDefault="00CF49D4" w:rsidP="00D767EB">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 xml:space="preserve">enzyme interactions. </w:t>
      </w:r>
      <w:proofErr w:type="spellStart"/>
      <w:r w:rsidRPr="00CF49D4">
        <w:rPr>
          <w:lang w:val="en-GB" w:eastAsia="en-GB"/>
        </w:rPr>
        <w:t>StarDrop’s</w:t>
      </w:r>
      <w:proofErr w:type="spellEnd"/>
      <w:r w:rsidRPr="00CF49D4">
        <w:rPr>
          <w:lang w:val="en-GB" w:eastAsia="en-GB"/>
        </w:rPr>
        <w:t xml:space="preserve"> </w:t>
      </w:r>
      <w:proofErr w:type="spellStart"/>
      <w:r w:rsidRPr="00CF49D4">
        <w:rPr>
          <w:lang w:val="en-GB" w:eastAsia="en-GB"/>
        </w:rPr>
        <w:t>Semeta</w:t>
      </w:r>
      <w:proofErr w:type="spellEnd"/>
      <w:r w:rsidRPr="00CF49D4">
        <w:rPr>
          <w:lang w:val="en-GB" w:eastAsia="en-GB"/>
        </w:rPr>
        <w:t xml:space="preserve">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r w:rsidR="005F33DB">
        <w:rPr>
          <w:color w:val="FF0000"/>
          <w:lang w:val="en-GB" w:eastAsia="en-GB"/>
        </w:rPr>
        <w:t>[1</w:t>
      </w:r>
      <w:r w:rsidR="00D767EB" w:rsidRPr="00CF49D4">
        <w:rPr>
          <w:color w:val="FF0000"/>
          <w:lang w:val="en-GB" w:eastAsia="en-GB"/>
        </w:rPr>
        <w:t>]</w:t>
      </w:r>
      <w:r w:rsidRPr="00CF49D4">
        <w:rPr>
          <w:lang w:val="en-GB" w:eastAsia="en-GB"/>
        </w:rPr>
        <w:t xml:space="preserve">. </w:t>
      </w:r>
      <w:proofErr w:type="spellStart"/>
      <w:r w:rsidRPr="00CF49D4">
        <w:rPr>
          <w:lang w:val="en-GB" w:eastAsia="en-GB"/>
        </w:rPr>
        <w:t>MetaSite</w:t>
      </w:r>
      <w:proofErr w:type="spellEnd"/>
      <w:r w:rsidR="00D767EB">
        <w:rPr>
          <w:lang w:val="en-GB" w:eastAsia="en-GB"/>
        </w:rPr>
        <w:t>,</w:t>
      </w:r>
      <w:r w:rsidRPr="00CF49D4">
        <w:rPr>
          <w:color w:val="FF0000"/>
          <w:lang w:val="en-GB" w:eastAsia="en-GB"/>
        </w:rPr>
        <w:t xml:space="preserve"> </w:t>
      </w:r>
      <w:r w:rsidRPr="00CF49D4">
        <w:rPr>
          <w:lang w:val="en-GB" w:eastAsia="en-GB"/>
        </w:rPr>
        <w:t xml:space="preserve">on the other hand, leverages structure-based docking, flexible interaction fields, and structure–activity relationships (SARs) to model how xenobiotic compounds interact with enzyme active sites, ranking predicted poses through energy-based scoring </w:t>
      </w:r>
      <w:proofErr w:type="gramStart"/>
      <w:r w:rsidRPr="00CF49D4">
        <w:rPr>
          <w:lang w:val="en-GB" w:eastAsia="en-GB"/>
        </w:rPr>
        <w:t>functions</w:t>
      </w:r>
      <w:r w:rsidR="005F33DB">
        <w:rPr>
          <w:color w:val="FF0000"/>
          <w:lang w:val="en-GB" w:eastAsia="en-GB"/>
        </w:rPr>
        <w:t>[</w:t>
      </w:r>
      <w:proofErr w:type="gramEnd"/>
      <w:r w:rsidR="005F33DB">
        <w:rPr>
          <w:color w:val="FF0000"/>
          <w:lang w:val="en-GB" w:eastAsia="en-GB"/>
        </w:rPr>
        <w:t>2]</w:t>
      </w:r>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6ED7D12B" w14:textId="1D3F8ADB" w:rsidR="00D767EB" w:rsidRDefault="005F33DB" w:rsidP="00D767EB">
      <w:pPr>
        <w:jc w:val="both"/>
        <w:rPr>
          <w:lang w:val="en-GB" w:eastAsia="en-GB"/>
        </w:rPr>
      </w:pPr>
      <w:r w:rsidRPr="005F33DB">
        <w:rPr>
          <w:lang w:val="en-GB" w:eastAsia="en-GB"/>
        </w:rPr>
        <w:t>Despite the proprietary nature of these platforms, it is clear</w:t>
      </w:r>
      <w:r>
        <w:rPr>
          <w:lang w:val="en-GB" w:eastAsia="en-GB"/>
        </w:rPr>
        <w:t xml:space="preserve"> that </w:t>
      </w:r>
      <w:r w:rsidRPr="005F33DB">
        <w:rPr>
          <w:lang w:val="en-GB" w:eastAsia="en-GB"/>
        </w:rPr>
        <w:t xml:space="preserve">the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w:t>
      </w:r>
      <w:proofErr w:type="spellStart"/>
      <w:r w:rsidRPr="005F33DB">
        <w:rPr>
          <w:lang w:val="en-GB" w:eastAsia="en-GB"/>
        </w:rPr>
        <w:t>Semeta</w:t>
      </w:r>
      <w:proofErr w:type="spellEnd"/>
      <w:r w:rsidRPr="005F33DB">
        <w:rPr>
          <w:lang w:val="en-GB" w:eastAsia="en-GB"/>
        </w:rPr>
        <w:t xml:space="preserve">, for example, separate models such as WhichP450 and </w:t>
      </w:r>
      <w:proofErr w:type="spellStart"/>
      <w:r w:rsidRPr="005F33DB">
        <w:rPr>
          <w:lang w:val="en-GB" w:eastAsia="en-GB"/>
        </w:rPr>
        <w:t>WhichEnzyme</w:t>
      </w:r>
      <w:proofErr w:type="spellEnd"/>
      <w:r w:rsidRPr="005F33DB">
        <w:rPr>
          <w:lang w:val="en-GB" w:eastAsia="en-GB"/>
        </w:rPr>
        <w:t xml:space="preserv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29BEA696" w14:textId="14A48203" w:rsidR="00090FD5" w:rsidRDefault="0068166C" w:rsidP="0068166C">
      <w:pPr>
        <w:pStyle w:val="Heading1"/>
        <w:rPr>
          <w:lang w:val="en-GB" w:eastAsia="en-GB"/>
        </w:rPr>
      </w:pPr>
      <w:r>
        <w:rPr>
          <w:lang w:val="en-GB" w:eastAsia="en-GB"/>
        </w:rPr>
        <w:t>OBJECTIVES</w:t>
      </w:r>
    </w:p>
    <w:p w14:paraId="05A5F441" w14:textId="23824E5B" w:rsidR="0068166C" w:rsidRPr="00566539" w:rsidRDefault="0068166C" w:rsidP="0068166C">
      <w:pPr>
        <w:rPr>
          <w:b/>
          <w:lang w:val="en-GB" w:eastAsia="en-GB"/>
        </w:rPr>
      </w:pPr>
      <w:r w:rsidRPr="00566539">
        <w:rPr>
          <w:b/>
          <w:lang w:val="en-GB" w:eastAsia="en-GB"/>
        </w:rPr>
        <w:t>Main objective:</w:t>
      </w:r>
    </w:p>
    <w:p w14:paraId="061C64C4" w14:textId="5904ADE2" w:rsidR="0068166C" w:rsidRPr="0089727E" w:rsidRDefault="0068166C" w:rsidP="0089727E">
      <w:pPr>
        <w:pStyle w:val="ListParagraph"/>
        <w:numPr>
          <w:ilvl w:val="0"/>
          <w:numId w:val="29"/>
        </w:numPr>
        <w:jc w:val="both"/>
        <w:rPr>
          <w:lang w:val="en-GB" w:eastAsia="en-GB"/>
        </w:rPr>
      </w:pPr>
      <w:r w:rsidRPr="0089727E">
        <w:rPr>
          <w:lang w:val="en-GB" w:eastAsia="en-GB"/>
        </w:rPr>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68166C">
      <w:pPr>
        <w:rPr>
          <w:b/>
          <w:lang w:val="en-GB" w:eastAsia="en-GB"/>
        </w:rPr>
      </w:pPr>
      <w:r w:rsidRPr="00566539">
        <w:rPr>
          <w:b/>
          <w:lang w:val="en-GB" w:eastAsia="en-GB"/>
        </w:rPr>
        <w:t>Secondary objectives:</w:t>
      </w:r>
    </w:p>
    <w:p w14:paraId="4949D9C1" w14:textId="0383FE01" w:rsidR="00566539" w:rsidRDefault="00566539" w:rsidP="00566539">
      <w:pPr>
        <w:pStyle w:val="ListParagraph"/>
        <w:numPr>
          <w:ilvl w:val="0"/>
          <w:numId w:val="29"/>
        </w:numPr>
        <w:jc w:val="both"/>
        <w:rPr>
          <w:color w:val="FF0000"/>
          <w:lang w:val="en-GB" w:eastAsia="en-GB"/>
        </w:rPr>
      </w:pPr>
      <w:r w:rsidRPr="00566539">
        <w:rPr>
          <w:lang w:val="en-GB" w:eastAsia="en-GB"/>
        </w:rPr>
        <w:t xml:space="preserve">Apply ETL (Extract, Transform, Load) techniques to collect, clean, and preprocess molecular structure datasets and metabolic annotations from public </w:t>
      </w:r>
      <w:r w:rsidRPr="00566539">
        <w:rPr>
          <w:color w:val="FF0000"/>
          <w:lang w:val="en-GB" w:eastAsia="en-GB"/>
        </w:rPr>
        <w:t xml:space="preserve">sources such as </w:t>
      </w:r>
      <w:proofErr w:type="spellStart"/>
      <w:r w:rsidRPr="00566539">
        <w:rPr>
          <w:color w:val="FF0000"/>
          <w:lang w:val="en-GB" w:eastAsia="en-GB"/>
        </w:rPr>
        <w:t>ChEMBL</w:t>
      </w:r>
      <w:proofErr w:type="spellEnd"/>
      <w:r w:rsidRPr="00566539">
        <w:rPr>
          <w:color w:val="FF0000"/>
          <w:lang w:val="en-GB" w:eastAsia="en-GB"/>
        </w:rPr>
        <w:t xml:space="preserve"> and </w:t>
      </w:r>
      <w:proofErr w:type="spellStart"/>
      <w:r w:rsidRPr="00566539">
        <w:rPr>
          <w:color w:val="FF0000"/>
          <w:lang w:val="en-GB" w:eastAsia="en-GB"/>
        </w:rPr>
        <w:t>DrugBank</w:t>
      </w:r>
      <w:proofErr w:type="spellEnd"/>
      <w:r w:rsidRPr="00566539">
        <w:rPr>
          <w:color w:val="FF0000"/>
          <w:lang w:val="en-GB" w:eastAsia="en-GB"/>
        </w:rPr>
        <w:t>.</w:t>
      </w:r>
    </w:p>
    <w:p w14:paraId="79B41AAA" w14:textId="04F7B992" w:rsidR="00566539" w:rsidRPr="00566539" w:rsidRDefault="00566539" w:rsidP="00566539">
      <w:pPr>
        <w:pStyle w:val="ListParagraph"/>
        <w:numPr>
          <w:ilvl w:val="0"/>
          <w:numId w:val="29"/>
        </w:numPr>
        <w:jc w:val="both"/>
        <w:rPr>
          <w:color w:val="000000" w:themeColor="text1"/>
          <w:lang w:val="en-GB" w:eastAsia="en-GB"/>
        </w:rPr>
      </w:pPr>
      <w:r w:rsidRPr="00566539">
        <w:rPr>
          <w:color w:val="000000" w:themeColor="text1"/>
          <w:lang w:val="en-GB" w:eastAsia="en-GB"/>
        </w:rPr>
        <w:lastRenderedPageBreak/>
        <w:t>Conduct exploratory data analysis (EDA) to identify trends, correlations, and potential biases within the data, ensuring high-quality input for the predictive models.</w:t>
      </w:r>
    </w:p>
    <w:p w14:paraId="55E5D180" w14:textId="5ABC7D93" w:rsidR="00566539" w:rsidRDefault="00566539" w:rsidP="00566539">
      <w:pPr>
        <w:pStyle w:val="ListParagraph"/>
        <w:numPr>
          <w:ilvl w:val="0"/>
          <w:numId w:val="29"/>
        </w:numPr>
        <w:jc w:val="both"/>
        <w:rPr>
          <w:lang w:val="en-GB" w:eastAsia="en-GB"/>
        </w:rPr>
      </w:pPr>
      <w:r>
        <w:rPr>
          <w:lang w:val="en-GB" w:eastAsia="en-GB"/>
        </w:rPr>
        <w:t>To a</w:t>
      </w:r>
      <w:r w:rsidRPr="00566539">
        <w:rPr>
          <w:lang w:val="en-GB" w:eastAsia="en-GB"/>
        </w:rPr>
        <w:t>ssess model performance with appropriate metrics, validate predictions against known experimental data, and explore how the approach support early drug discovery.</w:t>
      </w:r>
    </w:p>
    <w:p w14:paraId="0C2A441A" w14:textId="65E5B566" w:rsidR="000F0CFA" w:rsidRDefault="000F0CFA" w:rsidP="000F0CFA">
      <w:pPr>
        <w:pStyle w:val="Heading1"/>
        <w:rPr>
          <w:lang w:val="en-GB" w:eastAsia="en-GB"/>
        </w:rPr>
      </w:pPr>
      <w:r>
        <w:rPr>
          <w:lang w:val="en-GB" w:eastAsia="en-GB"/>
        </w:rPr>
        <w:t>METHODOLOGY</w:t>
      </w:r>
    </w:p>
    <w:p w14:paraId="386D07DC" w14:textId="432DF867" w:rsidR="000F0CFA" w:rsidRPr="000F0CFA" w:rsidRDefault="000F0CFA" w:rsidP="000F0CFA">
      <w:pPr>
        <w:rPr>
          <w:lang w:val="en-GB" w:eastAsia="en-GB"/>
        </w:rPr>
      </w:pPr>
      <w:r>
        <w:rPr>
          <w:lang w:val="en-GB" w:eastAsia="en-GB"/>
        </w:rPr>
        <w:t>XXX</w:t>
      </w:r>
    </w:p>
    <w:p w14:paraId="43C15A1A" w14:textId="03084EE4" w:rsidR="005F33DB" w:rsidRDefault="005F33DB" w:rsidP="005F33DB">
      <w:pPr>
        <w:pStyle w:val="Heading1"/>
        <w:rPr>
          <w:lang w:val="en-GB" w:eastAsia="en-GB"/>
        </w:rPr>
      </w:pPr>
      <w:r>
        <w:rPr>
          <w:lang w:val="en-GB" w:eastAsia="en-GB"/>
        </w:rPr>
        <w:t>REFERENCES</w:t>
      </w:r>
    </w:p>
    <w:p w14:paraId="70C7459C" w14:textId="59EF70DA" w:rsidR="005F33DB" w:rsidRDefault="005F33DB" w:rsidP="005F33DB">
      <w:pPr>
        <w:pStyle w:val="ListParagraph"/>
        <w:numPr>
          <w:ilvl w:val="0"/>
          <w:numId w:val="27"/>
        </w:numPr>
        <w:rPr>
          <w:lang w:val="en-GB" w:eastAsia="en-GB"/>
        </w:rPr>
      </w:pPr>
      <w:r w:rsidRPr="00C20205">
        <w:rPr>
          <w:rFonts w:ascii="Arial" w:hAnsi="Arial" w:cs="Arial"/>
          <w:color w:val="333333"/>
          <w:shd w:val="clear" w:color="auto" w:fill="FFFFFF"/>
          <w:lang w:val="en-GB"/>
        </w:rPr>
        <w:t>Öeren, M., Hunt, P. A., Wharrick, C. E., Tabatabaei Ghomi, H., &amp; Segall, M. D. (2024). Predicting routes of phase I and II metabolism based on quantum mechanics and machine learning. </w:t>
      </w:r>
      <w:proofErr w:type="spellStart"/>
      <w:r>
        <w:rPr>
          <w:rFonts w:ascii="Arial" w:hAnsi="Arial" w:cs="Arial"/>
          <w:i/>
          <w:iCs/>
          <w:color w:val="333333"/>
          <w:shd w:val="clear" w:color="auto" w:fill="FFFFFF"/>
        </w:rPr>
        <w:t>Xenobiotica</w:t>
      </w:r>
      <w:proofErr w:type="spellEnd"/>
      <w:r>
        <w:rPr>
          <w:rFonts w:ascii="Arial" w:hAnsi="Arial" w:cs="Arial"/>
          <w:color w:val="333333"/>
          <w:shd w:val="clear" w:color="auto" w:fill="FFFFFF"/>
        </w:rPr>
        <w:t>, </w:t>
      </w:r>
      <w:r>
        <w:rPr>
          <w:rFonts w:ascii="Arial" w:hAnsi="Arial" w:cs="Arial"/>
          <w:i/>
          <w:iCs/>
          <w:color w:val="333333"/>
          <w:shd w:val="clear" w:color="auto" w:fill="FFFFFF"/>
        </w:rPr>
        <w:t>54</w:t>
      </w:r>
      <w:r>
        <w:rPr>
          <w:rFonts w:ascii="Arial" w:hAnsi="Arial" w:cs="Arial"/>
          <w:color w:val="333333"/>
          <w:shd w:val="clear" w:color="auto" w:fill="FFFFFF"/>
        </w:rPr>
        <w:t xml:space="preserve">(7), 379–393. </w:t>
      </w:r>
      <w:hyperlink r:id="rId13" w:history="1">
        <w:r w:rsidRPr="006E1739">
          <w:rPr>
            <w:rStyle w:val="Hyperlink"/>
            <w:rFonts w:ascii="Arial" w:hAnsi="Arial" w:cs="Arial"/>
            <w:shd w:val="clear" w:color="auto" w:fill="FFFFFF"/>
          </w:rPr>
          <w:t>https://doi.org/10.1080/00498254.2023.2284251</w:t>
        </w:r>
      </w:hyperlink>
      <w:r>
        <w:rPr>
          <w:rFonts w:ascii="Arial" w:hAnsi="Arial" w:cs="Arial"/>
          <w:color w:val="333333"/>
          <w:shd w:val="clear" w:color="auto" w:fill="FFFFFF"/>
        </w:rPr>
        <w:t xml:space="preserve"> (STARDSUT)</w:t>
      </w:r>
    </w:p>
    <w:p w14:paraId="2D31E96F" w14:textId="32497338" w:rsidR="005F33DB" w:rsidRPr="005F33DB" w:rsidRDefault="005F33DB" w:rsidP="005F33DB">
      <w:pPr>
        <w:pStyle w:val="ListParagraph"/>
        <w:numPr>
          <w:ilvl w:val="0"/>
          <w:numId w:val="27"/>
        </w:numPr>
        <w:rPr>
          <w:lang w:val="en-GB" w:eastAsia="en-GB"/>
        </w:rPr>
      </w:pPr>
      <w:hyperlink r:id="rId14" w:history="1">
        <w:r w:rsidRPr="006E1739">
          <w:rPr>
            <w:rStyle w:val="Hyperlink"/>
            <w:lang w:val="en-GB" w:eastAsia="en-GB"/>
          </w:rPr>
          <w:t>https://www.moldiscovery.com/software/metasite7/</w:t>
        </w:r>
      </w:hyperlink>
      <w:r>
        <w:rPr>
          <w:lang w:val="en-GB" w:eastAsia="en-GB"/>
        </w:rPr>
        <w:t xml:space="preserve"> (METASITE7)</w:t>
      </w:r>
    </w:p>
    <w:sectPr w:rsidR="005F33DB" w:rsidRPr="005F33DB" w:rsidSect="00CD779A">
      <w:pgSz w:w="11906" w:h="16838" w:code="9"/>
      <w:pgMar w:top="-1985" w:right="1276" w:bottom="993" w:left="1701" w:header="709" w:footer="43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D73B9" w14:textId="77777777" w:rsidR="00CD2C32" w:rsidRDefault="00CD2C32" w:rsidP="005D2D4D">
      <w:r>
        <w:separator/>
      </w:r>
    </w:p>
  </w:endnote>
  <w:endnote w:type="continuationSeparator" w:id="0">
    <w:p w14:paraId="7B494CED" w14:textId="77777777" w:rsidR="00CD2C32" w:rsidRDefault="00CD2C32"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520098"/>
      <w:docPartObj>
        <w:docPartGallery w:val="Page Numbers (Bottom of Page)"/>
        <w:docPartUnique/>
      </w:docPartObj>
    </w:sdtPr>
    <w:sdtContent>
      <w:p w14:paraId="3C6BD3A8" w14:textId="12D2A18C" w:rsidR="00C20205" w:rsidRDefault="00C20205">
        <w:pPr>
          <w:pStyle w:val="Footer"/>
          <w:jc w:val="right"/>
        </w:pPr>
        <w:r>
          <w:fldChar w:fldCharType="begin"/>
        </w:r>
        <w:r>
          <w:instrText>PAGE   \* MERGEFORMAT</w:instrText>
        </w:r>
        <w:r>
          <w:fldChar w:fldCharType="separate"/>
        </w:r>
        <w:r>
          <w:rPr>
            <w:lang w:val="en-GB"/>
          </w:rPr>
          <w:t>2</w:t>
        </w:r>
        <w:r>
          <w:fldChar w:fldCharType="end"/>
        </w:r>
      </w:p>
    </w:sdtContent>
  </w:sdt>
  <w:p w14:paraId="27C2E6BA" w14:textId="77777777" w:rsidR="00C20205" w:rsidRDefault="00C202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1D37A" w14:textId="77777777" w:rsidR="00CD2C32" w:rsidRDefault="00CD2C32" w:rsidP="005D2D4D">
      <w:r>
        <w:separator/>
      </w:r>
    </w:p>
  </w:footnote>
  <w:footnote w:type="continuationSeparator" w:id="0">
    <w:p w14:paraId="5B83F750" w14:textId="77777777" w:rsidR="00CD2C32" w:rsidRDefault="00CD2C32" w:rsidP="005D2D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167pt;height:167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5"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7"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1"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2"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5"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6"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8"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617102136">
    <w:abstractNumId w:val="9"/>
  </w:num>
  <w:num w:numId="2" w16cid:durableId="912158947">
    <w:abstractNumId w:val="6"/>
  </w:num>
  <w:num w:numId="3" w16cid:durableId="281889757">
    <w:abstractNumId w:val="10"/>
  </w:num>
  <w:num w:numId="4" w16cid:durableId="181207349">
    <w:abstractNumId w:val="0"/>
  </w:num>
  <w:num w:numId="5" w16cid:durableId="1060442504">
    <w:abstractNumId w:val="1"/>
  </w:num>
  <w:num w:numId="6" w16cid:durableId="1781874687">
    <w:abstractNumId w:val="18"/>
  </w:num>
  <w:num w:numId="7" w16cid:durableId="1930696681">
    <w:abstractNumId w:val="15"/>
  </w:num>
  <w:num w:numId="8" w16cid:durableId="288122373">
    <w:abstractNumId w:val="13"/>
  </w:num>
  <w:num w:numId="9" w16cid:durableId="1384670221">
    <w:abstractNumId w:val="4"/>
  </w:num>
  <w:num w:numId="10" w16cid:durableId="1919559332">
    <w:abstractNumId w:val="14"/>
  </w:num>
  <w:num w:numId="11" w16cid:durableId="913514872">
    <w:abstractNumId w:val="8"/>
  </w:num>
  <w:num w:numId="12" w16cid:durableId="2093774704">
    <w:abstractNumId w:val="17"/>
  </w:num>
  <w:num w:numId="13" w16cid:durableId="1656835221">
    <w:abstractNumId w:val="12"/>
  </w:num>
  <w:num w:numId="14" w16cid:durableId="2075085400">
    <w:abstractNumId w:val="11"/>
  </w:num>
  <w:num w:numId="15" w16cid:durableId="1376928120">
    <w:abstractNumId w:val="3"/>
  </w:num>
  <w:num w:numId="16" w16cid:durableId="402872824">
    <w:abstractNumId w:val="5"/>
  </w:num>
  <w:num w:numId="17" w16cid:durableId="1200584732">
    <w:abstractNumId w:val="5"/>
  </w:num>
  <w:num w:numId="18" w16cid:durableId="609974171">
    <w:abstractNumId w:val="5"/>
  </w:num>
  <w:num w:numId="19" w16cid:durableId="389766910">
    <w:abstractNumId w:val="5"/>
  </w:num>
  <w:num w:numId="20" w16cid:durableId="418916477">
    <w:abstractNumId w:val="5"/>
  </w:num>
  <w:num w:numId="21" w16cid:durableId="1370489010">
    <w:abstractNumId w:val="5"/>
  </w:num>
  <w:num w:numId="22" w16cid:durableId="1468939726">
    <w:abstractNumId w:val="5"/>
  </w:num>
  <w:num w:numId="23" w16cid:durableId="1474328577">
    <w:abstractNumId w:val="5"/>
  </w:num>
  <w:num w:numId="24" w16cid:durableId="1296644125">
    <w:abstractNumId w:val="5"/>
  </w:num>
  <w:num w:numId="25" w16cid:durableId="5595566">
    <w:abstractNumId w:val="5"/>
  </w:num>
  <w:num w:numId="26" w16cid:durableId="1878735314">
    <w:abstractNumId w:val="5"/>
  </w:num>
  <w:num w:numId="27" w16cid:durableId="1749688877">
    <w:abstractNumId w:val="7"/>
  </w:num>
  <w:num w:numId="28" w16cid:durableId="253558993">
    <w:abstractNumId w:val="2"/>
  </w:num>
  <w:num w:numId="29" w16cid:durableId="165059097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36A3"/>
    <w:rsid w:val="0001074B"/>
    <w:rsid w:val="00047FFE"/>
    <w:rsid w:val="00053684"/>
    <w:rsid w:val="0006702D"/>
    <w:rsid w:val="00090FD5"/>
    <w:rsid w:val="00096FCC"/>
    <w:rsid w:val="000F0CFA"/>
    <w:rsid w:val="00114998"/>
    <w:rsid w:val="0017044E"/>
    <w:rsid w:val="0018737E"/>
    <w:rsid w:val="00191241"/>
    <w:rsid w:val="0019424B"/>
    <w:rsid w:val="001A38EA"/>
    <w:rsid w:val="001A4EB0"/>
    <w:rsid w:val="001D0014"/>
    <w:rsid w:val="001E5796"/>
    <w:rsid w:val="00205C60"/>
    <w:rsid w:val="00207F37"/>
    <w:rsid w:val="0022077C"/>
    <w:rsid w:val="00224B55"/>
    <w:rsid w:val="00233A6E"/>
    <w:rsid w:val="00242378"/>
    <w:rsid w:val="00251FDC"/>
    <w:rsid w:val="002638EA"/>
    <w:rsid w:val="002913E1"/>
    <w:rsid w:val="002927BC"/>
    <w:rsid w:val="002955D3"/>
    <w:rsid w:val="002C0346"/>
    <w:rsid w:val="00301118"/>
    <w:rsid w:val="00302E17"/>
    <w:rsid w:val="00310EDE"/>
    <w:rsid w:val="00320D31"/>
    <w:rsid w:val="003242BE"/>
    <w:rsid w:val="00346D66"/>
    <w:rsid w:val="0035442B"/>
    <w:rsid w:val="00355237"/>
    <w:rsid w:val="003873F2"/>
    <w:rsid w:val="003A1F15"/>
    <w:rsid w:val="003C55D0"/>
    <w:rsid w:val="003D470A"/>
    <w:rsid w:val="003E2756"/>
    <w:rsid w:val="003E4788"/>
    <w:rsid w:val="003F4712"/>
    <w:rsid w:val="0040423F"/>
    <w:rsid w:val="00451615"/>
    <w:rsid w:val="0045225B"/>
    <w:rsid w:val="004579B3"/>
    <w:rsid w:val="0046344C"/>
    <w:rsid w:val="00475EC9"/>
    <w:rsid w:val="004829DE"/>
    <w:rsid w:val="00491B57"/>
    <w:rsid w:val="00492D77"/>
    <w:rsid w:val="004C4BC2"/>
    <w:rsid w:val="004E379C"/>
    <w:rsid w:val="004E4188"/>
    <w:rsid w:val="00502807"/>
    <w:rsid w:val="00510F94"/>
    <w:rsid w:val="00520718"/>
    <w:rsid w:val="00547DFB"/>
    <w:rsid w:val="00550C6F"/>
    <w:rsid w:val="005564B5"/>
    <w:rsid w:val="00566539"/>
    <w:rsid w:val="00585443"/>
    <w:rsid w:val="005A24C7"/>
    <w:rsid w:val="005A2583"/>
    <w:rsid w:val="005D2D4D"/>
    <w:rsid w:val="005F33DB"/>
    <w:rsid w:val="006016D0"/>
    <w:rsid w:val="00602C2F"/>
    <w:rsid w:val="006179E0"/>
    <w:rsid w:val="006319F9"/>
    <w:rsid w:val="006329D7"/>
    <w:rsid w:val="00642779"/>
    <w:rsid w:val="006521EE"/>
    <w:rsid w:val="006618AC"/>
    <w:rsid w:val="00677598"/>
    <w:rsid w:val="0068166C"/>
    <w:rsid w:val="006950CF"/>
    <w:rsid w:val="006A1FFD"/>
    <w:rsid w:val="006B07A3"/>
    <w:rsid w:val="00703FE0"/>
    <w:rsid w:val="00714ADF"/>
    <w:rsid w:val="0072720A"/>
    <w:rsid w:val="00757C4D"/>
    <w:rsid w:val="0076241E"/>
    <w:rsid w:val="007767C2"/>
    <w:rsid w:val="0078086A"/>
    <w:rsid w:val="007900F7"/>
    <w:rsid w:val="007A79B9"/>
    <w:rsid w:val="007D4602"/>
    <w:rsid w:val="007E2EC4"/>
    <w:rsid w:val="007E55F3"/>
    <w:rsid w:val="007F2CEE"/>
    <w:rsid w:val="008068A5"/>
    <w:rsid w:val="00807D12"/>
    <w:rsid w:val="00821259"/>
    <w:rsid w:val="008244EF"/>
    <w:rsid w:val="00830EDA"/>
    <w:rsid w:val="00876B07"/>
    <w:rsid w:val="00876DF6"/>
    <w:rsid w:val="008836F7"/>
    <w:rsid w:val="008840D5"/>
    <w:rsid w:val="0089727E"/>
    <w:rsid w:val="008A67F9"/>
    <w:rsid w:val="009026C6"/>
    <w:rsid w:val="00904029"/>
    <w:rsid w:val="00947BCC"/>
    <w:rsid w:val="00955AFF"/>
    <w:rsid w:val="009627CE"/>
    <w:rsid w:val="00964CF8"/>
    <w:rsid w:val="00973BE9"/>
    <w:rsid w:val="00980A45"/>
    <w:rsid w:val="00991662"/>
    <w:rsid w:val="00996651"/>
    <w:rsid w:val="009A6519"/>
    <w:rsid w:val="009C2EB8"/>
    <w:rsid w:val="009C35FE"/>
    <w:rsid w:val="009D5D01"/>
    <w:rsid w:val="009F4E24"/>
    <w:rsid w:val="009F5881"/>
    <w:rsid w:val="00A418EC"/>
    <w:rsid w:val="00A711DB"/>
    <w:rsid w:val="00A83896"/>
    <w:rsid w:val="00AB3034"/>
    <w:rsid w:val="00AD3B1C"/>
    <w:rsid w:val="00AE5BF9"/>
    <w:rsid w:val="00B05BF5"/>
    <w:rsid w:val="00B1287F"/>
    <w:rsid w:val="00B21B1D"/>
    <w:rsid w:val="00B34637"/>
    <w:rsid w:val="00B35406"/>
    <w:rsid w:val="00B549A4"/>
    <w:rsid w:val="00B73CFE"/>
    <w:rsid w:val="00B834C4"/>
    <w:rsid w:val="00B8550C"/>
    <w:rsid w:val="00B87B42"/>
    <w:rsid w:val="00B92444"/>
    <w:rsid w:val="00BA3391"/>
    <w:rsid w:val="00BC4D44"/>
    <w:rsid w:val="00BD6094"/>
    <w:rsid w:val="00BF57CE"/>
    <w:rsid w:val="00C04BD7"/>
    <w:rsid w:val="00C12187"/>
    <w:rsid w:val="00C2018A"/>
    <w:rsid w:val="00C20205"/>
    <w:rsid w:val="00C21E22"/>
    <w:rsid w:val="00C221D5"/>
    <w:rsid w:val="00C51954"/>
    <w:rsid w:val="00C520E0"/>
    <w:rsid w:val="00C632A4"/>
    <w:rsid w:val="00C77D8B"/>
    <w:rsid w:val="00C918C2"/>
    <w:rsid w:val="00C9448C"/>
    <w:rsid w:val="00CD2C32"/>
    <w:rsid w:val="00CD779A"/>
    <w:rsid w:val="00CE38DE"/>
    <w:rsid w:val="00CF163A"/>
    <w:rsid w:val="00CF49D4"/>
    <w:rsid w:val="00D002E2"/>
    <w:rsid w:val="00D31426"/>
    <w:rsid w:val="00D325EF"/>
    <w:rsid w:val="00D34117"/>
    <w:rsid w:val="00D47D90"/>
    <w:rsid w:val="00D51483"/>
    <w:rsid w:val="00D6673D"/>
    <w:rsid w:val="00D67D1D"/>
    <w:rsid w:val="00D7357A"/>
    <w:rsid w:val="00D74039"/>
    <w:rsid w:val="00D767EB"/>
    <w:rsid w:val="00D76D64"/>
    <w:rsid w:val="00D77CCF"/>
    <w:rsid w:val="00D77F94"/>
    <w:rsid w:val="00DB0738"/>
    <w:rsid w:val="00DB53E3"/>
    <w:rsid w:val="00DC74E7"/>
    <w:rsid w:val="00DD739D"/>
    <w:rsid w:val="00DE7FDA"/>
    <w:rsid w:val="00E02ED6"/>
    <w:rsid w:val="00E33C60"/>
    <w:rsid w:val="00E412AE"/>
    <w:rsid w:val="00E41CF9"/>
    <w:rsid w:val="00E43B0E"/>
    <w:rsid w:val="00E61BA1"/>
    <w:rsid w:val="00E77C21"/>
    <w:rsid w:val="00E81365"/>
    <w:rsid w:val="00E9306E"/>
    <w:rsid w:val="00E935F5"/>
    <w:rsid w:val="00EA3419"/>
    <w:rsid w:val="00EA408F"/>
    <w:rsid w:val="00EA692B"/>
    <w:rsid w:val="00EB567E"/>
    <w:rsid w:val="00EB6587"/>
    <w:rsid w:val="00EB680B"/>
    <w:rsid w:val="00EE7D9A"/>
    <w:rsid w:val="00EF16AB"/>
    <w:rsid w:val="00EF2791"/>
    <w:rsid w:val="00F3214F"/>
    <w:rsid w:val="00F6568F"/>
    <w:rsid w:val="00F70030"/>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EBFDE3EE-7712-4DA0-8354-55E06755B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semiHidden/>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semiHidden/>
    <w:unhideWhenUsed/>
    <w:qFormat/>
    <w:rsid w:val="003E4788"/>
    <w:pPr>
      <w:outlineLvl w:val="9"/>
    </w:pPr>
  </w:style>
  <w:style w:type="paragraph" w:styleId="NormalWeb">
    <w:name w:val="Normal (Web)"/>
    <w:basedOn w:val="Normal"/>
    <w:uiPriority w:val="99"/>
    <w:semiHidden/>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oi.org/10.1080/00498254.2023.2284251"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moldiscovery.com/software/metasite7/"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Props1.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docProps/app.xml><?xml version="1.0" encoding="utf-8"?>
<Properties xmlns="http://schemas.openxmlformats.org/officeDocument/2006/extended-properties" xmlns:vt="http://schemas.openxmlformats.org/officeDocument/2006/docPropsVTypes">
  <Template>Normal</Template>
  <TotalTime>862</TotalTime>
  <Pages>1</Pages>
  <Words>1915</Words>
  <Characters>10922</Characters>
  <Application>Microsoft Office Word</Application>
  <DocSecurity>0</DocSecurity>
  <Lines>91</Lines>
  <Paragraphs>25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18</cp:revision>
  <dcterms:created xsi:type="dcterms:W3CDTF">2025-07-21T16:39:00Z</dcterms:created>
  <dcterms:modified xsi:type="dcterms:W3CDTF">2025-08-31T16:55:00Z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