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111723"/>
      <w:bookmarkStart w:id="1" w:name="_Toc513111733"/>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342B1E77"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among others</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p>
    <w:p w14:paraId="356FEE8C" w14:textId="7574DC2D" w:rsidR="00443449" w:rsidRDefault="00F92807">
      <w:pPr>
        <w:rPr>
          <w:szCs w:val="24"/>
        </w:rPr>
      </w:pPr>
      <w:r>
        <w:rPr>
          <w:szCs w:val="24"/>
        </w:rPr>
        <w:br w:type="page"/>
      </w:r>
    </w:p>
    <w:bookmarkStart w:id="2" w:name="_Toc513111724" w:displacedByCustomXml="next"/>
    <w:bookmarkStart w:id="3" w:name="_Toc513111734"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38E9952D" w14:textId="4473BEE3"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23" w:history="1">
            <w:r w:rsidRPr="00F62C8D">
              <w:rPr>
                <w:rStyle w:val="Hyperlink"/>
                <w:rFonts w:cs="Times New Roman"/>
                <w:b/>
                <w:noProof/>
              </w:rPr>
              <w:t>Abstract</w:t>
            </w:r>
            <w:r>
              <w:rPr>
                <w:noProof/>
                <w:webHidden/>
              </w:rPr>
              <w:tab/>
            </w:r>
            <w:r>
              <w:rPr>
                <w:noProof/>
                <w:webHidden/>
              </w:rPr>
              <w:fldChar w:fldCharType="begin"/>
            </w:r>
            <w:r>
              <w:rPr>
                <w:noProof/>
                <w:webHidden/>
              </w:rPr>
              <w:instrText xml:space="preserve"> PAGEREF _Toc513111723 \h </w:instrText>
            </w:r>
            <w:r>
              <w:rPr>
                <w:noProof/>
                <w:webHidden/>
              </w:rPr>
            </w:r>
            <w:r>
              <w:rPr>
                <w:noProof/>
                <w:webHidden/>
              </w:rPr>
              <w:fldChar w:fldCharType="separate"/>
            </w:r>
            <w:r>
              <w:rPr>
                <w:noProof/>
                <w:webHidden/>
              </w:rPr>
              <w:t>i</w:t>
            </w:r>
            <w:r>
              <w:rPr>
                <w:noProof/>
                <w:webHidden/>
              </w:rPr>
              <w:fldChar w:fldCharType="end"/>
            </w:r>
          </w:hyperlink>
        </w:p>
        <w:p w14:paraId="740CB06B" w14:textId="4713CF93" w:rsidR="00443449" w:rsidRDefault="0075301D">
          <w:pPr>
            <w:pStyle w:val="TOC1"/>
            <w:tabs>
              <w:tab w:val="right" w:leader="dot" w:pos="9350"/>
            </w:tabs>
            <w:rPr>
              <w:rFonts w:asciiTheme="minorHAnsi" w:eastAsiaTheme="minorEastAsia" w:hAnsiTheme="minorHAnsi"/>
              <w:noProof/>
              <w:sz w:val="22"/>
            </w:rPr>
          </w:pPr>
          <w:hyperlink w:anchor="_Toc513111724" w:history="1">
            <w:r w:rsidR="00443449" w:rsidRPr="00F62C8D">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_Toc513111724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25D8E73E" w14:textId="2DE38341" w:rsidR="00443449" w:rsidRDefault="0075301D">
          <w:pPr>
            <w:pStyle w:val="TOC1"/>
            <w:tabs>
              <w:tab w:val="right" w:leader="dot" w:pos="9350"/>
            </w:tabs>
            <w:rPr>
              <w:rFonts w:asciiTheme="minorHAnsi" w:eastAsiaTheme="minorEastAsia" w:hAnsiTheme="minorHAnsi"/>
              <w:noProof/>
              <w:sz w:val="22"/>
            </w:rPr>
          </w:pPr>
          <w:hyperlink w:anchor="_Toc513111725" w:history="1">
            <w:r w:rsidR="00443449" w:rsidRPr="00F62C8D">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_Toc513111725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0D2BFE6F" w14:textId="55E5B28E" w:rsidR="00443449" w:rsidRDefault="0075301D">
          <w:pPr>
            <w:pStyle w:val="TOC1"/>
            <w:tabs>
              <w:tab w:val="right" w:leader="dot" w:pos="9350"/>
            </w:tabs>
            <w:rPr>
              <w:rFonts w:asciiTheme="minorHAnsi" w:eastAsiaTheme="minorEastAsia" w:hAnsiTheme="minorHAnsi"/>
              <w:noProof/>
              <w:sz w:val="22"/>
            </w:rPr>
          </w:pPr>
          <w:hyperlink w:anchor="_Toc513111726" w:history="1">
            <w:r w:rsidR="00443449" w:rsidRPr="00F62C8D">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_Toc513111726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BCC91AF" w14:textId="5685302E" w:rsidR="00443449" w:rsidRDefault="0075301D">
          <w:pPr>
            <w:pStyle w:val="TOC1"/>
            <w:tabs>
              <w:tab w:val="right" w:leader="dot" w:pos="9350"/>
            </w:tabs>
            <w:rPr>
              <w:rFonts w:asciiTheme="minorHAnsi" w:eastAsiaTheme="minorEastAsia" w:hAnsiTheme="minorHAnsi"/>
              <w:noProof/>
              <w:sz w:val="22"/>
            </w:rPr>
          </w:pPr>
          <w:hyperlink w:anchor="_Toc513111727" w:history="1">
            <w:r w:rsidR="00443449" w:rsidRPr="00F62C8D">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_Toc513111727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1FDCA9B" w14:textId="7842456E" w:rsidR="00443449" w:rsidRDefault="0075301D">
          <w:pPr>
            <w:pStyle w:val="TOC2"/>
            <w:tabs>
              <w:tab w:val="right" w:leader="dot" w:pos="9350"/>
            </w:tabs>
            <w:rPr>
              <w:rFonts w:asciiTheme="minorHAnsi" w:eastAsiaTheme="minorEastAsia" w:hAnsiTheme="minorHAnsi"/>
              <w:noProof/>
              <w:sz w:val="22"/>
            </w:rPr>
          </w:pPr>
          <w:hyperlink w:anchor="_Toc513111728" w:history="1">
            <w:r w:rsidR="00443449" w:rsidRPr="00F62C8D">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_Toc513111728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205262AB" w14:textId="0CE7597C" w:rsidR="00443449" w:rsidRDefault="0075301D">
          <w:pPr>
            <w:pStyle w:val="TOC2"/>
            <w:tabs>
              <w:tab w:val="right" w:leader="dot" w:pos="9350"/>
            </w:tabs>
            <w:rPr>
              <w:rFonts w:asciiTheme="minorHAnsi" w:eastAsiaTheme="minorEastAsia" w:hAnsiTheme="minorHAnsi"/>
              <w:noProof/>
              <w:sz w:val="22"/>
            </w:rPr>
          </w:pPr>
          <w:hyperlink w:anchor="_Toc513111729" w:history="1">
            <w:r w:rsidR="00443449" w:rsidRPr="00F62C8D">
              <w:rPr>
                <w:rStyle w:val="Hyperlink"/>
                <w:rFonts w:cs="Times New Roman"/>
                <w:b/>
                <w:noProof/>
              </w:rPr>
              <w:t xml:space="preserve">Successive </w:t>
            </w:r>
            <w:r w:rsidR="001518A0">
              <w:rPr>
                <w:rStyle w:val="Hyperlink"/>
                <w:rFonts w:cs="Times New Roman"/>
                <w:b/>
                <w:noProof/>
              </w:rPr>
              <w:t>o</w:t>
            </w:r>
            <w:r w:rsidR="00443449" w:rsidRPr="00F62C8D">
              <w:rPr>
                <w:rStyle w:val="Hyperlink"/>
                <w:rFonts w:cs="Times New Roman"/>
                <w:b/>
                <w:noProof/>
              </w:rPr>
              <w:t>ver Relaxation (SOR)</w:t>
            </w:r>
            <w:r w:rsidR="00443449">
              <w:rPr>
                <w:noProof/>
                <w:webHidden/>
              </w:rPr>
              <w:tab/>
            </w:r>
            <w:r w:rsidR="00443449">
              <w:rPr>
                <w:noProof/>
                <w:webHidden/>
              </w:rPr>
              <w:fldChar w:fldCharType="begin"/>
            </w:r>
            <w:r w:rsidR="00443449">
              <w:rPr>
                <w:noProof/>
                <w:webHidden/>
              </w:rPr>
              <w:instrText xml:space="preserve"> PAGEREF _Toc513111729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13A0031B" w14:textId="568092E9" w:rsidR="00443449" w:rsidRDefault="0075301D">
          <w:pPr>
            <w:pStyle w:val="TOC1"/>
            <w:tabs>
              <w:tab w:val="right" w:leader="dot" w:pos="9350"/>
            </w:tabs>
            <w:rPr>
              <w:rFonts w:asciiTheme="minorHAnsi" w:eastAsiaTheme="minorEastAsia" w:hAnsiTheme="minorHAnsi"/>
              <w:noProof/>
              <w:sz w:val="22"/>
            </w:rPr>
          </w:pPr>
          <w:hyperlink w:anchor="_Toc513111730" w:history="1">
            <w:r w:rsidR="00443449" w:rsidRPr="00F62C8D">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_Toc513111730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7CA3D322" w14:textId="062BADC1" w:rsidR="00443449" w:rsidRDefault="0075301D">
          <w:pPr>
            <w:pStyle w:val="TOC1"/>
            <w:tabs>
              <w:tab w:val="right" w:leader="dot" w:pos="9350"/>
            </w:tabs>
            <w:rPr>
              <w:rFonts w:asciiTheme="minorHAnsi" w:eastAsiaTheme="minorEastAsia" w:hAnsiTheme="minorHAnsi"/>
              <w:noProof/>
              <w:sz w:val="22"/>
            </w:rPr>
          </w:pPr>
          <w:hyperlink w:anchor="_Toc513111731" w:history="1">
            <w:r w:rsidR="00443449" w:rsidRPr="00F62C8D">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_Toc513111731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33E7C5A0" w14:textId="158A8379" w:rsidR="00443449" w:rsidRDefault="0075301D">
          <w:pPr>
            <w:pStyle w:val="TOC1"/>
            <w:tabs>
              <w:tab w:val="right" w:leader="dot" w:pos="9350"/>
            </w:tabs>
            <w:rPr>
              <w:rFonts w:asciiTheme="minorHAnsi" w:eastAsiaTheme="minorEastAsia" w:hAnsiTheme="minorHAnsi"/>
              <w:noProof/>
              <w:sz w:val="22"/>
            </w:rPr>
          </w:pPr>
          <w:hyperlink w:anchor="_Toc513111732" w:history="1">
            <w:r w:rsidR="00443449" w:rsidRPr="00F62C8D">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_Toc513111732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6F5F271A" w14:textId="113EFFD7"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111725"/>
      <w:bookmarkStart w:id="5" w:name="_Toc513111735"/>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34338A97" w14:textId="7BBE8F8E"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33" w:history="1">
            <w:r w:rsidRPr="00400525">
              <w:rPr>
                <w:rStyle w:val="Hyperlink"/>
                <w:rFonts w:cs="Times New Roman"/>
                <w:b/>
                <w:noProof/>
              </w:rPr>
              <w:t>Abstract</w:t>
            </w:r>
            <w:r>
              <w:rPr>
                <w:noProof/>
                <w:webHidden/>
              </w:rPr>
              <w:tab/>
            </w:r>
            <w:r>
              <w:rPr>
                <w:noProof/>
                <w:webHidden/>
              </w:rPr>
              <w:fldChar w:fldCharType="begin"/>
            </w:r>
            <w:r>
              <w:rPr>
                <w:noProof/>
                <w:webHidden/>
              </w:rPr>
              <w:instrText xml:space="preserve"> PAGEREF _Toc513111733 \h </w:instrText>
            </w:r>
            <w:r>
              <w:rPr>
                <w:noProof/>
                <w:webHidden/>
              </w:rPr>
            </w:r>
            <w:r>
              <w:rPr>
                <w:noProof/>
                <w:webHidden/>
              </w:rPr>
              <w:fldChar w:fldCharType="separate"/>
            </w:r>
            <w:r>
              <w:rPr>
                <w:noProof/>
                <w:webHidden/>
              </w:rPr>
              <w:t>i</w:t>
            </w:r>
            <w:r>
              <w:rPr>
                <w:noProof/>
                <w:webHidden/>
              </w:rPr>
              <w:fldChar w:fldCharType="end"/>
            </w:r>
          </w:hyperlink>
        </w:p>
        <w:p w14:paraId="38589700" w14:textId="0308FF7F" w:rsidR="00443449" w:rsidRDefault="0075301D">
          <w:pPr>
            <w:pStyle w:val="TOC1"/>
            <w:tabs>
              <w:tab w:val="right" w:leader="dot" w:pos="9350"/>
            </w:tabs>
            <w:rPr>
              <w:rFonts w:asciiTheme="minorHAnsi" w:eastAsiaTheme="minorEastAsia" w:hAnsiTheme="minorHAnsi"/>
              <w:noProof/>
              <w:sz w:val="22"/>
            </w:rPr>
          </w:pPr>
          <w:hyperlink w:anchor="_Toc513111734" w:history="1">
            <w:r w:rsidR="00443449" w:rsidRPr="00400525">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_Toc513111734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39A5B42A" w14:textId="0F502CEB" w:rsidR="00443449" w:rsidRDefault="0075301D">
          <w:pPr>
            <w:pStyle w:val="TOC1"/>
            <w:tabs>
              <w:tab w:val="right" w:leader="dot" w:pos="9350"/>
            </w:tabs>
            <w:rPr>
              <w:rFonts w:asciiTheme="minorHAnsi" w:eastAsiaTheme="minorEastAsia" w:hAnsiTheme="minorHAnsi"/>
              <w:noProof/>
              <w:sz w:val="22"/>
            </w:rPr>
          </w:pPr>
          <w:hyperlink w:anchor="_Toc513111735" w:history="1">
            <w:r w:rsidR="00443449" w:rsidRPr="00400525">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_Toc513111735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24FD8EF1" w14:textId="5EAD65A0" w:rsidR="00443449" w:rsidRDefault="0075301D">
          <w:pPr>
            <w:pStyle w:val="TOC1"/>
            <w:tabs>
              <w:tab w:val="right" w:leader="dot" w:pos="9350"/>
            </w:tabs>
            <w:rPr>
              <w:rFonts w:asciiTheme="minorHAnsi" w:eastAsiaTheme="minorEastAsia" w:hAnsiTheme="minorHAnsi"/>
              <w:noProof/>
              <w:sz w:val="22"/>
            </w:rPr>
          </w:pPr>
          <w:hyperlink w:anchor="_Toc513111736" w:history="1">
            <w:r w:rsidR="00443449" w:rsidRPr="00400525">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_Toc513111736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E618BAB" w14:textId="06C7A7C9" w:rsidR="00443449" w:rsidRDefault="0075301D">
          <w:pPr>
            <w:pStyle w:val="TOC1"/>
            <w:tabs>
              <w:tab w:val="right" w:leader="dot" w:pos="9350"/>
            </w:tabs>
            <w:rPr>
              <w:rFonts w:asciiTheme="minorHAnsi" w:eastAsiaTheme="minorEastAsia" w:hAnsiTheme="minorHAnsi"/>
              <w:noProof/>
              <w:sz w:val="22"/>
            </w:rPr>
          </w:pPr>
          <w:hyperlink w:anchor="_Toc513111737" w:history="1">
            <w:r w:rsidR="00443449" w:rsidRPr="00400525">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_Toc513111737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F37E9F9" w14:textId="24AADBE4" w:rsidR="00443449" w:rsidRDefault="0075301D">
          <w:pPr>
            <w:pStyle w:val="TOC2"/>
            <w:tabs>
              <w:tab w:val="right" w:leader="dot" w:pos="9350"/>
            </w:tabs>
            <w:rPr>
              <w:rFonts w:asciiTheme="minorHAnsi" w:eastAsiaTheme="minorEastAsia" w:hAnsiTheme="minorHAnsi"/>
              <w:noProof/>
              <w:sz w:val="22"/>
            </w:rPr>
          </w:pPr>
          <w:hyperlink w:anchor="_Toc513111738" w:history="1">
            <w:r w:rsidR="00443449" w:rsidRPr="00400525">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_Toc513111738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4F17E0E7" w14:textId="1BD36F1C" w:rsidR="00443449" w:rsidRDefault="0075301D">
          <w:pPr>
            <w:pStyle w:val="TOC2"/>
            <w:tabs>
              <w:tab w:val="right" w:leader="dot" w:pos="9350"/>
            </w:tabs>
            <w:rPr>
              <w:rFonts w:asciiTheme="minorHAnsi" w:eastAsiaTheme="minorEastAsia" w:hAnsiTheme="minorHAnsi"/>
              <w:noProof/>
              <w:sz w:val="22"/>
            </w:rPr>
          </w:pPr>
          <w:hyperlink w:anchor="_Toc513111739" w:history="1">
            <w:r w:rsidR="00443449" w:rsidRPr="00400525">
              <w:rPr>
                <w:rStyle w:val="Hyperlink"/>
                <w:rFonts w:cs="Times New Roman"/>
                <w:b/>
                <w:noProof/>
              </w:rPr>
              <w:t xml:space="preserve">Successive </w:t>
            </w:r>
            <w:r w:rsidR="001518A0">
              <w:rPr>
                <w:rStyle w:val="Hyperlink"/>
                <w:rFonts w:cs="Times New Roman"/>
                <w:b/>
                <w:noProof/>
              </w:rPr>
              <w:t>o</w:t>
            </w:r>
            <w:r w:rsidR="00443449" w:rsidRPr="00400525">
              <w:rPr>
                <w:rStyle w:val="Hyperlink"/>
                <w:rFonts w:cs="Times New Roman"/>
                <w:b/>
                <w:noProof/>
              </w:rPr>
              <w:t>ver Relaxation (SOR)</w:t>
            </w:r>
            <w:r w:rsidR="00443449">
              <w:rPr>
                <w:noProof/>
                <w:webHidden/>
              </w:rPr>
              <w:tab/>
            </w:r>
            <w:r w:rsidR="00443449">
              <w:rPr>
                <w:noProof/>
                <w:webHidden/>
              </w:rPr>
              <w:fldChar w:fldCharType="begin"/>
            </w:r>
            <w:r w:rsidR="00443449">
              <w:rPr>
                <w:noProof/>
                <w:webHidden/>
              </w:rPr>
              <w:instrText xml:space="preserve"> PAGEREF _Toc513111739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21BEA0A" w14:textId="3B099C4E" w:rsidR="00443449" w:rsidRDefault="0075301D">
          <w:pPr>
            <w:pStyle w:val="TOC1"/>
            <w:tabs>
              <w:tab w:val="right" w:leader="dot" w:pos="9350"/>
            </w:tabs>
            <w:rPr>
              <w:rFonts w:asciiTheme="minorHAnsi" w:eastAsiaTheme="minorEastAsia" w:hAnsiTheme="minorHAnsi"/>
              <w:noProof/>
              <w:sz w:val="22"/>
            </w:rPr>
          </w:pPr>
          <w:hyperlink w:anchor="_Toc513111740" w:history="1">
            <w:r w:rsidR="00443449" w:rsidRPr="00400525">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_Toc513111740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3EE5F97" w14:textId="07E5D0CC" w:rsidR="00443449" w:rsidRDefault="0075301D">
          <w:pPr>
            <w:pStyle w:val="TOC1"/>
            <w:tabs>
              <w:tab w:val="right" w:leader="dot" w:pos="9350"/>
            </w:tabs>
            <w:rPr>
              <w:rFonts w:asciiTheme="minorHAnsi" w:eastAsiaTheme="minorEastAsia" w:hAnsiTheme="minorHAnsi"/>
              <w:noProof/>
              <w:sz w:val="22"/>
            </w:rPr>
          </w:pPr>
          <w:hyperlink w:anchor="_Toc513111741" w:history="1">
            <w:r w:rsidR="00443449" w:rsidRPr="00400525">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_Toc513111741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4AD61B84" w14:textId="7CA51D1E" w:rsidR="00443449" w:rsidRDefault="0075301D">
          <w:pPr>
            <w:pStyle w:val="TOC1"/>
            <w:tabs>
              <w:tab w:val="right" w:leader="dot" w:pos="9350"/>
            </w:tabs>
            <w:rPr>
              <w:rFonts w:asciiTheme="minorHAnsi" w:eastAsiaTheme="minorEastAsia" w:hAnsiTheme="minorHAnsi"/>
              <w:noProof/>
              <w:sz w:val="22"/>
            </w:rPr>
          </w:pPr>
          <w:hyperlink w:anchor="_Toc513111742" w:history="1">
            <w:r w:rsidR="00443449" w:rsidRPr="00400525">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_Toc513111742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32C07111" w14:textId="19C4F68F"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111726"/>
      <w:bookmarkStart w:id="7" w:name="_Toc513111736"/>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75301D"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3B3171"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m:t>
        </m:r>
        <m:r>
          <w:rPr>
            <w:rFonts w:ascii="Cambria Math" w:hAnsi="Cambria Math" w:cs="Cambria Math"/>
            <w:color w:val="222222"/>
            <w:szCs w:val="21"/>
            <w:shd w:val="clear" w:color="auto" w:fill="FFFFFF"/>
          </w:rPr>
          <m:t>0</m:t>
        </m:r>
      </m:oMath>
      <w:r>
        <w:rPr>
          <w:rFonts w:eastAsiaTheme="minorEastAsia"/>
          <w:color w:val="222222"/>
          <w:szCs w:val="21"/>
          <w:shd w:val="clear" w:color="auto" w:fill="FFFFFF"/>
        </w:rPr>
        <w:t xml:space="preserve">                                                             (</w:t>
      </w:r>
      <w:r>
        <w:rPr>
          <w:rFonts w:eastAsiaTheme="minorEastAsia"/>
          <w:color w:val="222222"/>
          <w:szCs w:val="21"/>
          <w:shd w:val="clear" w:color="auto" w:fill="FFFFFF"/>
        </w:rPr>
        <w:t>2</w:t>
      </w:r>
      <w:r>
        <w:rPr>
          <w:rFonts w:eastAsiaTheme="minorEastAsia"/>
          <w:color w:val="222222"/>
          <w:szCs w:val="21"/>
          <w:shd w:val="clear" w:color="auto" w:fill="FFFFFF"/>
        </w:rPr>
        <w:t>)</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75301D"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75301D"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111727"/>
      <w:bookmarkStart w:id="9" w:name="_Toc513111737"/>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194AB3D8"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7149D6">
        <w:rPr>
          <w:szCs w:val="24"/>
        </w:rPr>
        <w:t xml:space="preserve">. </w:t>
      </w:r>
      <w:r w:rsidR="00C93046">
        <w:rPr>
          <w:szCs w:val="24"/>
        </w:rPr>
        <w:t>Inherent in these approximations are the errors caused by such approximations but which most of the time are small enough to even pose a complication in the problem.</w:t>
      </w:r>
      <w:r w:rsidR="003B3171">
        <w:rPr>
          <w:szCs w:val="24"/>
        </w:rPr>
        <w:t xml:space="preserve"> Since Poisson’s equation and Laplace’s equation is extremely </w:t>
      </w:r>
      <w:proofErr w:type="gramStart"/>
      <w:r w:rsidR="003B3171">
        <w:rPr>
          <w:szCs w:val="24"/>
        </w:rPr>
        <w:t>similar to</w:t>
      </w:r>
      <w:proofErr w:type="gramEnd"/>
      <w:r w:rsidR="003B3171">
        <w:rPr>
          <w:szCs w:val="24"/>
        </w:rPr>
        <w:t xml:space="preserve"> each other, only Poisson’s equation will be the one examined in this paper; Laplace’s equation would just follow a similar method. </w:t>
      </w:r>
      <w:r w:rsidR="00C93046">
        <w:rPr>
          <w:szCs w:val="24"/>
        </w:rPr>
        <w:t xml:space="preserve">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is obtained using the familiar second derivative formula in the i and j notation, i.e.</w:t>
      </w:r>
    </w:p>
    <w:p w14:paraId="79568FB1" w14:textId="3E0B5DBC" w:rsidR="00C93046" w:rsidRDefault="0075301D"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75301D"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2EEB8C7D"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7149D6">
        <w:rPr>
          <w:szCs w:val="24"/>
        </w:rPr>
        <w:t xml:space="preserve">This report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111728"/>
      <w:bookmarkStart w:id="11" w:name="_Toc513111738"/>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5294BEFF"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p>
    <w:p w14:paraId="57B7AAA9" w14:textId="1047786E" w:rsidR="005D5BD2" w:rsidRDefault="0075301D"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111729"/>
      <w:bookmarkStart w:id="13" w:name="_Toc513111739"/>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14AB3936"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3A92484E" w:rsidR="00B73E9A" w:rsidRDefault="0075301D"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957428">
        <w:rPr>
          <w:rFonts w:eastAsiaTheme="minorEastAsia"/>
          <w:szCs w:val="24"/>
        </w:rPr>
        <w:t>7</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r w:rsidRPr="00001DED">
        <w:rPr>
          <w:rFonts w:ascii="Times New Roman" w:hAnsi="Times New Roman" w:cs="Times New Roman"/>
          <w:b/>
          <w:color w:val="auto"/>
          <w:sz w:val="28"/>
        </w:rPr>
        <w:t>Numerical Method Description</w:t>
      </w:r>
    </w:p>
    <w:p w14:paraId="5C1463F7" w14:textId="77777777" w:rsidR="00001DED" w:rsidRPr="00001DED" w:rsidRDefault="00001DED" w:rsidP="00001DED"/>
    <w:p w14:paraId="74717080" w14:textId="2D0843DA" w:rsidR="005C280B" w:rsidRPr="00443449" w:rsidRDefault="005C280B" w:rsidP="00443449">
      <w:pPr>
        <w:pStyle w:val="Heading1"/>
        <w:rPr>
          <w:rFonts w:ascii="Times New Roman" w:hAnsi="Times New Roman" w:cs="Times New Roman"/>
          <w:b/>
          <w:color w:val="auto"/>
          <w:sz w:val="28"/>
        </w:rPr>
      </w:pPr>
      <w:bookmarkStart w:id="14" w:name="_Toc513111730"/>
      <w:bookmarkStart w:id="15" w:name="_Toc513111740"/>
      <w:r w:rsidRPr="00443449">
        <w:rPr>
          <w:rFonts w:ascii="Times New Roman" w:hAnsi="Times New Roman" w:cs="Times New Roman"/>
          <w:b/>
          <w:color w:val="auto"/>
          <w:sz w:val="28"/>
        </w:rPr>
        <w:t>Technical Specifications</w:t>
      </w:r>
      <w:bookmarkEnd w:id="14"/>
      <w:bookmarkEnd w:id="15"/>
      <w:r w:rsidR="00443449">
        <w:rPr>
          <w:rFonts w:ascii="Times New Roman" w:hAnsi="Times New Roman" w:cs="Times New Roman"/>
          <w:b/>
          <w:color w:val="auto"/>
          <w:sz w:val="28"/>
        </w:rPr>
        <w:br/>
      </w:r>
    </w:p>
    <w:p w14:paraId="13EC7A6E" w14:textId="0AA0196B"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bookmarkStart w:id="16" w:name="_GoBack"/>
      <w:bookmarkEnd w:id="16"/>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17" w:name="_Toc513111623"/>
      <w:bookmarkStart w:id="18" w:name="_Toc513111731"/>
      <w:bookmarkStart w:id="19" w:name="_Toc513111741"/>
      <w:r w:rsidRPr="00443449">
        <w:rPr>
          <w:rStyle w:val="Heading1Char"/>
          <w:rFonts w:ascii="Times New Roman" w:hAnsi="Times New Roman" w:cs="Times New Roman"/>
          <w:color w:val="auto"/>
          <w:sz w:val="22"/>
        </w:rPr>
        <w:t>Figure 1. System Summary for computer used</w:t>
      </w:r>
      <w:bookmarkEnd w:id="17"/>
      <w:bookmarkEnd w:id="18"/>
      <w:bookmarkEnd w:id="19"/>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0" w:name="_Toc513111732"/>
      <w:bookmarkStart w:id="21" w:name="_Toc513111742"/>
      <w:r w:rsidRPr="00443449">
        <w:rPr>
          <w:rFonts w:ascii="Times New Roman" w:hAnsi="Times New Roman" w:cs="Times New Roman"/>
          <w:b/>
          <w:color w:val="auto"/>
          <w:sz w:val="28"/>
        </w:rPr>
        <w:t>Two-dimensional Poisson’s equation</w:t>
      </w:r>
      <w:bookmarkEnd w:id="20"/>
      <w:bookmarkEnd w:id="21"/>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12117BD7" w:rsidR="00BC2015" w:rsidRDefault="0075301D"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957428">
        <w:rPr>
          <w:rFonts w:eastAsiaTheme="minorEastAsia"/>
          <w:color w:val="222222"/>
          <w:szCs w:val="21"/>
          <w:shd w:val="clear" w:color="auto" w:fill="FFFFFF"/>
        </w:rPr>
        <w:t>8</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01CDD895" w:rsidR="00BC2015" w:rsidRDefault="0075301D"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957428">
        <w:rPr>
          <w:rFonts w:eastAsiaTheme="minorEastAsia"/>
          <w:szCs w:val="24"/>
        </w:rPr>
        <w:t>9</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1AA78022" w:rsidR="000521D5" w:rsidRDefault="0075301D"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10</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2F60AC4E"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957428">
        <w:rPr>
          <w:rFonts w:eastAsiaTheme="minorEastAsia"/>
          <w:szCs w:val="24"/>
        </w:rPr>
        <w:t>1</w:t>
      </w:r>
      <w:r w:rsidR="00A6046B">
        <w:rPr>
          <w:rFonts w:eastAsiaTheme="minorEastAsia"/>
          <w:szCs w:val="24"/>
        </w:rPr>
        <w:t>)</w:t>
      </w:r>
    </w:p>
    <w:p w14:paraId="4AF64D9E" w14:textId="3309EC5C" w:rsidR="00BC2015" w:rsidRDefault="0075301D"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957428">
        <w:rPr>
          <w:rFonts w:eastAsiaTheme="minorEastAsia"/>
          <w:szCs w:val="24"/>
        </w:rPr>
        <w:t>2</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0ECC7A69" w:rsidR="00400308" w:rsidRDefault="0075301D"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957428">
        <w:rPr>
          <w:rFonts w:eastAsiaTheme="minorEastAsia"/>
          <w:szCs w:val="24"/>
        </w:rPr>
        <w:t>3</w:t>
      </w:r>
      <w:r w:rsidR="00400308">
        <w:rPr>
          <w:rFonts w:eastAsiaTheme="minorEastAsia"/>
          <w:szCs w:val="24"/>
        </w:rPr>
        <w:t>)</w:t>
      </w:r>
    </w:p>
    <w:p w14:paraId="7F6E40AB" w14:textId="45255F01" w:rsidR="00400308" w:rsidRDefault="00400308" w:rsidP="00400308">
      <w:pPr>
        <w:spacing w:line="480" w:lineRule="auto"/>
        <w:contextualSpacing/>
        <w:rPr>
          <w:rFonts w:eastAsiaTheme="minorEastAsia"/>
          <w:szCs w:val="24"/>
        </w:rPr>
      </w:pPr>
      <w:r>
        <w:rPr>
          <w:rFonts w:eastAsiaTheme="minorEastAsia"/>
          <w:szCs w:val="24"/>
        </w:rPr>
        <w:t>The right side of the equation, the known parameter, is</w:t>
      </w:r>
    </w:p>
    <w:p w14:paraId="341EBDBB" w14:textId="1AB1C7D0"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400308">
        <w:rPr>
          <w:rFonts w:eastAsiaTheme="minorEastAsia"/>
          <w:szCs w:val="24"/>
        </w:rPr>
        <w:t>3</w:t>
      </w:r>
      <w:r w:rsidR="00A6046B">
        <w:rPr>
          <w:rFonts w:eastAsiaTheme="minorEastAsia"/>
          <w:szCs w:val="24"/>
        </w:rPr>
        <w:t>)</w:t>
      </w:r>
    </w:p>
    <w:p w14:paraId="49FBB6CF" w14:textId="77777777" w:rsidR="00A6046B" w:rsidRDefault="00A6046B" w:rsidP="00A6046B">
      <w:pPr>
        <w:spacing w:line="480" w:lineRule="auto"/>
        <w:contextualSpacing/>
        <w:rPr>
          <w:rFonts w:eastAsiaTheme="minorEastAsia"/>
          <w:szCs w:val="24"/>
        </w:rPr>
      </w:pPr>
    </w:p>
    <w:p w14:paraId="42B3702C" w14:textId="77777777" w:rsidR="000521D5" w:rsidRPr="000521D5" w:rsidRDefault="000521D5" w:rsidP="000521D5">
      <w:pPr>
        <w:spacing w:line="480" w:lineRule="auto"/>
        <w:contextualSpacing/>
        <w:rPr>
          <w:rFonts w:eastAsiaTheme="minorEastAsia"/>
          <w:szCs w:val="24"/>
        </w:rPr>
      </w:pPr>
    </w:p>
    <w:sectPr w:rsidR="000521D5" w:rsidRPr="00052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DF016" w14:textId="77777777" w:rsidR="004D43F7" w:rsidRDefault="004D43F7" w:rsidP="00443449">
      <w:pPr>
        <w:spacing w:after="0" w:line="240" w:lineRule="auto"/>
      </w:pPr>
      <w:r>
        <w:separator/>
      </w:r>
    </w:p>
  </w:endnote>
  <w:endnote w:type="continuationSeparator" w:id="0">
    <w:p w14:paraId="608B8529" w14:textId="77777777" w:rsidR="004D43F7" w:rsidRDefault="004D43F7"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75301D" w:rsidRDefault="007530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75301D" w:rsidRDefault="0075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30E91" w14:textId="77777777" w:rsidR="004D43F7" w:rsidRDefault="004D43F7" w:rsidP="00443449">
      <w:pPr>
        <w:spacing w:after="0" w:line="240" w:lineRule="auto"/>
      </w:pPr>
      <w:r>
        <w:separator/>
      </w:r>
    </w:p>
  </w:footnote>
  <w:footnote w:type="continuationSeparator" w:id="0">
    <w:p w14:paraId="4F74EEB5" w14:textId="77777777" w:rsidR="004D43F7" w:rsidRDefault="004D43F7"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D49A4"/>
    <w:rsid w:val="001518A0"/>
    <w:rsid w:val="001954B3"/>
    <w:rsid w:val="001F6E29"/>
    <w:rsid w:val="00201A40"/>
    <w:rsid w:val="002107E6"/>
    <w:rsid w:val="002C1AB4"/>
    <w:rsid w:val="002E3357"/>
    <w:rsid w:val="00374D19"/>
    <w:rsid w:val="00380C85"/>
    <w:rsid w:val="003A7406"/>
    <w:rsid w:val="003B3171"/>
    <w:rsid w:val="003F01ED"/>
    <w:rsid w:val="00400308"/>
    <w:rsid w:val="00411DC5"/>
    <w:rsid w:val="00443449"/>
    <w:rsid w:val="004A2239"/>
    <w:rsid w:val="004D43F7"/>
    <w:rsid w:val="00547DC0"/>
    <w:rsid w:val="005C280B"/>
    <w:rsid w:val="005D5BD2"/>
    <w:rsid w:val="006D4433"/>
    <w:rsid w:val="007149D6"/>
    <w:rsid w:val="0075301D"/>
    <w:rsid w:val="00814AA8"/>
    <w:rsid w:val="008C1994"/>
    <w:rsid w:val="008F7D23"/>
    <w:rsid w:val="00912E02"/>
    <w:rsid w:val="00957428"/>
    <w:rsid w:val="009C46C6"/>
    <w:rsid w:val="00A34946"/>
    <w:rsid w:val="00A6046B"/>
    <w:rsid w:val="00B73E9A"/>
    <w:rsid w:val="00BC2015"/>
    <w:rsid w:val="00BD7183"/>
    <w:rsid w:val="00C04512"/>
    <w:rsid w:val="00C331CF"/>
    <w:rsid w:val="00C93046"/>
    <w:rsid w:val="00CB3557"/>
    <w:rsid w:val="00CC0D64"/>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5BA3F-E76C-40C5-AFE5-66310A263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9</Pages>
  <Words>1289</Words>
  <Characters>7352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Technical Specifications </vt:lpstr>
      <vt:lpstr>Figure 1. System Summary for computer used </vt:lpstr>
      <vt:lpstr>Two-dimensional Poisson’s equation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18</cp:revision>
  <dcterms:created xsi:type="dcterms:W3CDTF">2018-05-01T04:46:00Z</dcterms:created>
  <dcterms:modified xsi:type="dcterms:W3CDTF">2018-05-05T03:18:00Z</dcterms:modified>
</cp:coreProperties>
</file>