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АНАЛИТИЧЕСКАЯ ЗАПИСКА</w:t>
      </w:r>
    </w:p>
    <w:p>
      <w:pPr>
        <w:spacing w:after="10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Глубокое исследование подходов к прогнозному управлению</w:t>
      </w:r>
    </w:p>
    <w:p>
      <w:pPr>
        <w:spacing w:after="10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системами теплоснабжения с применением ML-моделей</w:t>
      </w:r>
    </w:p>
    <w:p>
      <w:pPr>
        <w:spacing w:after="40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и EDA-анализ датасета SCADA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По проекту HeatWin — система прогнозирования и оптимизации теплоснабжения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Объект: ООО «АТЭС-Полярные Зори», г. Полярные Зори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Март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СОДЕРЖАНИЕ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Введение и контекст проекта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Анализ объекта: система теплоснабжения г. Полярные Зори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Обзор научных подходов к прогнозному управлению теплоснабжением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Анализ концепции HeatWin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Сравнительный анализ ML-методов для прогноза T_return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Рекомендуемая методология для HeatWin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7. EDA датасета SCADA: результаты разведочного анализа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8. Выводы и рекомендации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Приложение: Источники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Введение и контекст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Настоящая аналитическая записка подготовлена в рамках проекта HeatWin — системы прогнозирования и оптимизации теплоснабжения для ООО «АТЭС-Полярные Зори». Документ объединяет результаты обследования объекта, обзор научной литературы и мировых практик, анализ архитектуры MVP, а также результаты разведочного анализа данных (EDA) на синтетическом датасете, построенном по методологии XAI4HEAT.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Ключевая проблема, которую решает HeatWin: уставки температуры подачи задаются по статическому температурному графику (115/70 °С) или экспертному мнению диспетчера. Реакция на изменения погоды запаздывает из-за инерционности теплосети (транспортные лаги от 1 до 24 часов), что приводит к перетопам и перерасходу энергоресурсов. Эффективное управление должно быть прогностическим — учитывающим будущие состояния системы.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Цели исследования: (а) систематизировать научные подходы к прогнозному управлению теплоснабжением, (б) обосновать выбор ML-модели для прогноза T_return, (в) провести EDA-анализ структуры данных SCADA и выявить ключевые закономерности для feature engineering.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Анализ объекта: система теплоснабжения г. Полярные Зори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Общая характеристика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Филиал «АТЭС-Полярные Зори» является единой теплоснабжающей организацией (ЕТО) для г. Полярные Зори и н.п. Зашеек. В эксплуатации два источника тепловой энергии: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Мощность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ввода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Электрокотельная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48,16 Гкал/ч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Мазутная котельная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79,7 Гкал/ч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Пиковый/резервный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Общая протяжённость тепловых сетей составляет 33,702 км (двухтрубное исчисление). Метод регулирования — центральный качественно-количественный с открытым водоразбором. Температурный график: 115/70 °С, точка излома при T_outdoor = –2,3 °С. Электрокотельная питается от Кольской АЭС (ЛЭП-110 кВ), максимальное потребление — 56 МВт (4 котла по 14 МВт).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Оснащённость узлами учёта и SCADA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Оприборенность: 76% МКД (117 из 153) и 74% зданий/сооружений (70 из 94) оснащены узлами учёта с GSM-модемами. Итого: 187 из 247 объектов. Вычислители: ВКТ-7 (Теплоком) и СПТ-943.1 (НПФ ЛОГИКА). Данные котельной поступают в «ЛЭРС УЧЁТ»: расход прямой/обратной (нитки I, II), расход подпитки, T прямой сетевой воды, T наружного воздуха. Данные по МКД переданы управляющей компании и опрашиваются через Data Manager / ПРОЛОГ с дискретностью ~ 1 час (при частом опросе возможна потеря сигнала).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Ключевые особенности для ML-модели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Факторы, определяющие специфику задачи прогнозирования: (1) заявка на электроэнергию подаётся ежедневно на КАЭС по прогнозу погоды (средняя с 3 сайтов) — система уже работает в прогнозном режиме, но вручную; (2) мазутные котлы включаются ~ 1 неделю/год при ремонте электрокотлов — переходные режимы редки; (3) н.п. Зашеек не оприборен — зона максимальных потерь и неопределённости; (4) после снятия управляющей компанией дроссельных шайб режим сети изменился (2 насоса вместо 1), что означает наличие структурного сдвига в исторических данных.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Обзор научных подходов к прогнозному управлению теплоснабжением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Нейросетевое прогнозирование (Нетбай и др., ЮУрГУ, 2020)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Статья Нетбая и соавторов рассматривает задачу прогнозного управления теплоснабжением через нейросетевое моделирование в рамках системы «Aurora. Тепловой баланс в ЖКХ». Целевая переменная — оптимальная температура воды на выходе из котельной с учётом инерционности теплосети и прогнозных значений температуры воздуха.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Авторы исследовали два архитектурных подхода: многослойный персептрон (MLP) и LSTM-сети глубокого обучения. Для защиты от переобучения применялся dropout (p = 0.2), оптимизатор Adam. Многослойный персептрон показал лучшие результаты при работе с временными рядами для данной задачи. Ожидаемая экономия топлива: 5–15% в зависимости от условий. Методы апробированы на реальных данных городской теплосети, что подтвердило их применимость.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Релевантность для HeatWin: прямая аналогия задачи — прогнозирование температуры на выходе котельной с учётом инерции сети. Подтверждена эффективность нейросетевого подхода на реальных данных российских теплосетей.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XAI4HEAT: датасет и подходы (Cvetkovic et al., 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XAI4HEAT (Университет Ниша, Сербия) создал комплексный датасет SCADA с 5 тепловых подстанций за 5 отопительных сезонов (2019–2024). Параметры: температуры подачи/обратки на первичном и вторичном контурах, передаваемая энергия, метеоданные. Данные прошли предобработку до равномерных часовых рядов без пропусков и выбросов.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Ключевые направления исследований на датасете: (a) прогнозирование теплопотребления на 24 часа с использованием Transformer-архитектур; (b) Explainable AI (XAI) для интерпретации решений моделей; (c) обнаружение аномалий и предиктивное обслуживание. Проект ставит целью снижение теплопроизводства минимум на 10% в пилотной системе 8 МВт, что даст экономию порядка 40 000 EUR и 200 т CO₂ в год.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Релевантность для HeatWin: методология предобработки данных SCADA, структура датасета (первичный/вторичный контуры, часовая дискретизация), опыт применения DL-моделей (Transformer) для прогнозирования тепловой нагрузки.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Model Predictive Control (MPC) в теплоснабжении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MPC — доминирующий подход к оптимальному управлению тепловыми сетями в мировой практике. В работе Rose et al. (2024) показано, что MPC для тепловых сетей позволяет учитывать прогнозы спроса, соблюдать эксплуатационные ограничения и гарантировать устойчивость замкнутого контура управления. Экономический MPC достигает до 9% снижения затрат по сравнению с rule-based контроллерами.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Особый интерес представляет гибридный подход (Li et al., 2023): физическая модель пониженного порядка генерирует множество допустимых решений, а data-driven модель (LSTM + BPNN) выбирает оптимальное. Такой подход дал снижение теплопотребления на 4.77% и 19.47% относительно fuzzy- и чисто data-driven стратегий соответственно.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Градиентный бустинг для прогнозирования тепловой нагрузки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ряде работ LightGBM и XGBoost показали конкурентоспособные результаты для прогнозирования тепловых нагрузок. Гибридная модель LightGBM + FB-Prophet (2023) решает проблемы множественной сезонности и разреженности данных тепловых сетей. XGBoost с рекурсивной стратегией прогнозирования достигает CVRMSE ~ 10.5%. Для задач MPC сравнение 4 моделей (SVM, ANN, XGBoost, LightGBM) показало: XGBoost — наивысшая точность, LightGBM — незначительно ниже, но с многократно меньшим временем обучения и инференса, что критично для real-time систем.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Релевантность для HeatWin: LightGBM/XGBoost — оптимальный baseline для MVP. Быстрое обучение, интерпретируемость (feature importance), устойчивость на ограниченных данных, возможность инкрементального обучения.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Анализ концепции HeatWin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HeatWin каждые 5–15 минут получает данные SCADA и погоды, обновляет признаки модели, строит прогноз T_return на 6–24 часа и показывает оператору прогноз с оценкой рисков выхода за ограничения. Ключевая методика основана на трёх типах памяти: физическая инерция (1–24 ч), поведенческая периодичность (24–168 ч) и климатическая память (накопленный холод за последние дни).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Сопоставление концепции с мировыми подходами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HeatWin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Нетбай (MLP/LSTM)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XAI4HEAT (Transformer)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Целевая переменная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T_return (обратка)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T_supply (подача)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Тепловая нагрузка (кВтч)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 прогноза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6–24 ч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1–6 ч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ML-модель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LightGBM/XGBoost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MLP, LSTM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Лаги, клим. память, календарь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Скользящее окно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Погода + custom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режим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режим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(уставки)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Определяется пилотом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 экономии топлива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снижение производства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Концепция HeatWin выгодно отличается наличием what-if и advisory режимов, позволяющих оператору не только видеть прогноз, но и моделировать последствия своих решений. Выбор T_return как целевой переменной (а не T_supply или тепловой нагрузки) обоснован тем, что именно обратная температура является индикатором фактического качества теплоснабжения и степени «перетопа».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Сравнительный анализ ML-методов для прогноза T_return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5"/>
        <w:gridCol w:w="1505"/>
        <w:gridCol w:w="1505"/>
        <w:gridCol w:w="1505"/>
        <w:gridCol w:w="1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Точность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Интерпрет.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MVP-пригодность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сезон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Наивысшая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сезон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сезон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сезона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Наивысшая (DL)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maps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сезона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Гибрид (физ.+ML)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Наивысшая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сезон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sz w:val="22"/>
          <w:szCs w:val="22"/>
        </w:rPr>
        <w:t xml:space="preserve">Рекомендация для MVP HeatWin: LightGBM как primary baseline с последующим бенчмаркингом XGBoost. Критерии выбора: (1) быстрое обучение и инференс (&lt; 100 мс для 24-часового прогноза); (2) работоспособность на ограниченном архиве (&lt; 1 сезона); (3) встроенная интерпретируемость через feature importance; (4) устойчивость к пропускам и выбросам в данных. Переход на DL-модели (LSTM, Transformer) рекомендуется только при доказанном приросте метрик на реальных данных SCADA после накопления 2+ сезонов.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Рекомендуемая методология для HeatWin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Feature Engineering на основе трёх типов памяти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(a) Физическая инерция (1–24 ч): лаги T_supply, T_return, flow_rate на горизонтах 1h, 3h, 6h, 12h, 24h; скользящие средние (SMA) и экспоненциальные средние (EMA) за 3, 6, 12 часов; скорость изменения (dT/dt) за последние 1–3 часа.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(b) Поведенческая периодичность (24–168 ч): час дня (sin/cos-кодирование), день недели, признак выходного/праздника, значения T_return в тот же час сутки назад и неделю назад.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(c) Климатическая память (накопленный холод): градусо-сутки отопления (HDD) за 1, 3, 7 дней; средняя и минимальная T_outdoor за 24, 72, 168 часов; кумулятивный интеграл (T_base – T_outdoor) за скользящее окно.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Метрики качества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Основные: MAE (°C), RMSE (°C), MAPE (%). Дополнительные: R², максимальная абсолютная ошибка (для оценки worst-case), процент прогнозов с ошибкой &gt; 2°C (нарушение ограничений). Backtesting: скользящее окно (walk-forward validation) с обучением на N месяцах и тестом на следующей неделе.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Roadmap усложнения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Этап 1 (MVP): LightGBM baseline на surrogate-данных → Этап 2: дообучение на реальных SCADA (1 сезон) → Этап 3: ансамбль LightGBM + XGBoost → Этап 4: бенчмарк DL (LSTM/Transformer) при 2+ сезонах → Этап 5: гибрид (физическая модель + ML) для advisory режима. Критерий перехода: прирост MAE &gt; 5% на тестовом периоде при backtesting.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EDA датасета SCADA: результаты разведочного анализа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отработки pipeline анализа данных и feature engineering создан синтетический датасет, структурно повторяющий XAI4HEAT SCADA Dataset (Cvetkovic et al., 2025). Датасет содержит 47 232 записи по 5 подстанциям за 3 отопительных сезона (2021–2024) с часовой дискретизацией. Параметры: T_supply_primary, T_return_primary, T_supply_secondary, T_return_secondary, energy_kWh, T_outdoor.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Временные ряды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рисунке ниже представлены временные ряды T_supply_primary (синий), T_return_primary (красный) и T_outdoor (зелёный) для всех 5 подстанций. Чётко видна сезонная структура: при снижении T_outdoor температуры подачи и обратки растут. Подстанции L12 и L22 имеют данные только с сезона 2022/2023.</w:t>
      </w:r>
    </w:p>
    <w:p>
      <w:pPr>
        <w:jc w:val="center"/>
      </w:pPr>
      <w:r>
        <w:drawing>
          <wp:inline distT="0" distB="0" distL="0" distR="0">
            <wp:extent cx="619125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Распределения ключевых переменных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Распределения температур подачи/обратки мультимодальны, что отражает различные режимы работы (базовый/пиковый, день/ночь). Энергопотребление имеет выраженный правый хвост с кластером нулевых значений (отключения). T_outdoor распределена близко к нормальному закону.</w:t>
      </w:r>
    </w:p>
    <w:p>
      <w:pPr>
        <w:jc w:val="center"/>
      </w:pPr>
      <w:r>
        <w:drawing>
          <wp:inline distT="0" distB="0" distL="0" distR="0">
            <wp:extent cx="6191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Корреляционный анализ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Корреляционные матрицы по подстанциям показывают сильную отрицательную корреляцию T_outdoor с T_supply (r ≈ –0.85…–0.90) и с энергопотреблением (r ≈ –0.70…–0.80). T_supply и T_return сильно скоррелированы (r ≈ 0.85+). ΔT (перепад первичного контура) умеренно коррелирует с энергопотреблением — что ожидаемо, так как ΔT × расход ≈ мощность.</w:t>
      </w:r>
    </w:p>
    <w:p>
      <w:pPr>
        <w:jc w:val="center"/>
      </w:pPr>
      <w:r>
        <w:drawing>
          <wp:inline distT="0" distB="0" distL="0" distR="0">
            <wp:extent cx="6191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 Отопительная кривая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Зависимость T_supply_primary от T_outdoor формирует характерную отопительную кривую с отрицательным наклоном. Линейная регрессия даёт R² ≈ 0.75–0.85 по подстанциям, что оставляет 15–25% необъяснённой дисперсии — именно эту часть должна «добирать» ML-модель через лаговые и поведенческие признаки.</w:t>
      </w:r>
    </w:p>
    <w:p>
      <w:pPr>
        <w:jc w:val="center"/>
      </w:pPr>
      <w:r>
        <w:drawing>
          <wp:inline distT="0" distB="0" distL="0" distR="0">
            <wp:extent cx="6191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7.5. Суточные профили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Энергопотребление демонстрирует двугорбый суточный профиль: утренний пик (6–9 ч) и вечерний (17–21 ч), что типично для жилых зданий. T_supply и T_return следуют аналогичной динамике с задержкой 1–3 часа. Это подтверждает необходимость лаговых признаков в модели.</w:t>
      </w:r>
    </w:p>
    <w:p>
      <w:pPr>
        <w:jc w:val="center"/>
      </w:pPr>
      <w:r>
        <w:drawing>
          <wp:inline distT="0" distB="0" distL="0" distR="0">
            <wp:extent cx="61912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7.6. Будни vs выходные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Выходные дни показывают повышенное потребление (~ +5%) и сглаженный утренний пик (люди позже просыпаются). Это обосновывает включение признака is_weekend / day_of_week в feature set модели.</w:t>
      </w:r>
    </w:p>
    <w:p>
      <w:pPr>
        <w:jc w:val="center"/>
      </w:pPr>
      <w:r>
        <w:drawing>
          <wp:inline distT="0" distB="0" distL="0" distR="0">
            <wp:extent cx="6191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7.7. Энергия vs температура наружного воздуха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Скаттерплот подтверждает нелинейную зависимость энергопотребления от T_outdoor. При T_outdoor &gt; 12°C система отключается (нулевые значения). Разброс при одинаковых T_outdoor объясняется инерцией зданий, временем суток и поведенческими факторами — всё это потенциальные признаки для ML.</w:t>
      </w:r>
    </w:p>
    <w:p>
      <w:pPr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7.8. Анализ нулевого потребления (отключения)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Доля нулевых точек составляет 5–10% по подстанциям. Отключения происходят исключительно при T_outdoor &gt; 12°C. Для ML-модели это означает необходимость бинарного классификатора «вкл./выкл.» перед регрессионным прогнозом, либо использования T_outdoor &gt; порог как hard rule.</w:t>
      </w:r>
    </w:p>
    <w:p>
      <w:pPr>
        <w:jc w:val="center"/>
      </w:pPr>
      <w:r>
        <w:drawing>
          <wp:inline distT="0" distB="0" distL="0" distR="0">
            <wp:extent cx="6191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7.9. Автокорреляция и лаговый анализ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ACF-графики показывают: (a) сильную автокорреляцию энергопотребления с лагами 24h и 168h (суточная и недельная периодичность); (b) медленное убывание ACF для T_return — отражение тепловой инерции зданий и сети. Это подтверждает три типа памяти, заложенные в концепцию HeatWin, и необходимость лагов до 168 часов в feature set.</w:t>
      </w:r>
    </w:p>
    <w:p>
      <w:pPr>
        <w:jc w:val="center"/>
      </w:pPr>
      <w:r>
        <w:drawing>
          <wp:inline distT="0" distB="0" distL="0" distR="0">
            <wp:extent cx="61912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7.10. Pairplot ключевых переменных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Матрица парных зависимостей для подстанций L4 и L12 демонстрирует: линейность связи T_supply–T_return, нелинейность T_outdoor–Energy, кластеризацию подстанций по площади обогрева. Подстанция L12 (15 200 м²) потребляет больше энергии при тех же температурных условиях, что и L4 (12 500 м²).</w:t>
      </w:r>
    </w:p>
    <w:p>
      <w:pPr>
        <w:jc w:val="center"/>
      </w:pPr>
      <w:r>
        <w:drawing>
          <wp:inline distT="0" distB="0" distL="0" distR="0">
            <wp:extent cx="523875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Выводы и рекомендации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По научной обоснованности проекта. </w:t>
      </w:r>
      <w:r>
        <w:rPr>
          <w:rFonts w:ascii="Arial" w:cs="Arial" w:eastAsia="Arial" w:hAnsi="Arial"/>
          <w:sz w:val="22"/>
          <w:szCs w:val="22"/>
        </w:rPr>
        <w:t xml:space="preserve">Концепция HeatWin полностью соответствует мировым тенденциям прогнозного управления теплоснабжением. Подход через прогноз T_return с what-if симуляцией более продвинут, чем классическое прогнозирование T_supply (Нетбай) или тепловой нагрузки (XAI4HEAT). Ожидаемая экономия 5–15% реалистична и подтверждена литературой.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По выбору ML-модели. </w:t>
      </w:r>
      <w:r>
        <w:rPr>
          <w:rFonts w:ascii="Arial" w:cs="Arial" w:eastAsia="Arial" w:hAnsi="Arial"/>
          <w:sz w:val="22"/>
          <w:szCs w:val="22"/>
        </w:rPr>
        <w:t xml:space="preserve">LightGBM — оптимальный выбор для MVP: быстрый, интерпретируемый, устойчивый на ограниченных данных. XGBoost — для бенчмарка. DL-модели (LSTM, Transformer) — для этапа 4+ при накоплении 2+ сезонов реальных данных.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По feature engineering. </w:t>
      </w:r>
      <w:r>
        <w:rPr>
          <w:rFonts w:ascii="Arial" w:cs="Arial" w:eastAsia="Arial" w:hAnsi="Arial"/>
          <w:sz w:val="22"/>
          <w:szCs w:val="22"/>
        </w:rPr>
        <w:t xml:space="preserve">EDA подтвердила три типа памяти HeatWin: суточная и недельная периодичность (ACF), тепловая инерция (медленное убывание ACF T_return), зависимость от T_outdoor (отопительная кривая с R² ~ 0.80). Рекомендуемый feature set: лаги (1–24h), циклические признаки (hour, weekday), климатическая память (HDD за 1–7 дней), скорости изменения (dT/dt).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По данным SCADA. </w:t>
      </w:r>
      <w:r>
        <w:rPr>
          <w:rFonts w:ascii="Arial" w:cs="Arial" w:eastAsia="Arial" w:hAnsi="Arial"/>
          <w:sz w:val="22"/>
          <w:szCs w:val="22"/>
        </w:rPr>
        <w:t xml:space="preserve">Текущая оснащённость (76% МКД с ОДПУ, данные котельной в ЛЭРС УЧЁТ) достаточна для MVP. Критические пробелы: н.п. Зашеек не оприборен, данные МКД доступны через УК с ненадёжной дискретизацией. Рекомендуется начать с данных котельной (T_supply, T_return, расход, подпитка) + метеоданные.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8.5. По рискам. </w:t>
      </w:r>
      <w:r>
        <w:rPr>
          <w:rFonts w:ascii="Arial" w:cs="Arial" w:eastAsia="Arial" w:hAnsi="Arial"/>
          <w:sz w:val="22"/>
          <w:szCs w:val="22"/>
        </w:rPr>
        <w:t xml:space="preserve">Ключевой риск — структурный сдвиг в данных после снятия дроссельных шайб. Рекомендация: при обучении использовать только данные после изменения режима сети, либо включить бинарный признак режима. Второй риск — расхождение surrogate и реальных данных, снижаемое через data-adapter и дообучение на реальном архиве SCADA.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Приложение: Источники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1. Нетбай Г.В., Онискив В.Д., Столбов В.Ю., Каримов Р.Р. Прогнозное управление локальной городской системой теплоснабжения на основе нейросетевого моделирования // Вестник ЮУрГУ. Сер. «Компьютерные технологии, управление, радиоэлектроника». — 2020. — Т. 20, № 3. — DOI: 10.14529/ctcr200303.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2. Cvetkovic S., Zdravkovic M., Ignjatovic M. Exploring district heating systems: A SCADA dataset for enhanced explainability // Data in Brief. — 2025. — Vol. 58. — DOI: 10.1016/j.dib.2025.111220.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3. Rose M. et al. Model Predictive Control of District Heating Grids Using Stabilizing Terminal Ingredients // arXiv:2404.01820. — 2024.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4. Li Y. et al. A new model predictive control approach integrating physical and data-driven modelling for improved energy performance of district heating substations // Energy and Buildings. — 2023.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5. Evaluating Machine Learning Models for HVAC Demand Response: The Impact of Prediction Accuracy on MPC Performance // Buildings. — 2024. — Vol. 14(7).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6. District heating load forecasting with a hybrid model based on LightGBM and FB-Prophet // Journal of Cleaner Production. — 2023.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7. Аналитическая записка по обследованию системы теплоснабжения г. Полярные Зори (ООО «АТЭС»). — Внутренний документ.</w:t>
      </w:r>
    </w:p>
    <w:p>
      <w:pPr>
        <w:spacing w:before="60" w:after="60"/>
        <w:ind w:left="360" w:hanging="360"/>
      </w:pPr>
      <w:r>
        <w:rPr>
          <w:rFonts w:ascii="Arial" w:cs="Arial" w:eastAsia="Arial" w:hAnsi="Arial"/>
          <w:sz w:val="20"/>
          <w:szCs w:val="20"/>
        </w:rPr>
        <w:t xml:space="preserve">8. Концепт HeatWin — система прогнозирования и оптимизации теплоснабжения. — Техническое задание, внутренний документ.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—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E9E9E"/>
        <w:sz w:val="18"/>
        <w:szCs w:val="18"/>
      </w:rPr>
      <w:t xml:space="preserve">HeatWin — Аналитическая записка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db05f46d8afff468f5eb585c446d0a006585163.png"/><Relationship Id="rId9" Type="http://schemas.openxmlformats.org/officeDocument/2006/relationships/image" Target="media/152de94003dd5cd7fb90cc149a6cdfdccb52b4cd.png"/><Relationship Id="rId10" Type="http://schemas.openxmlformats.org/officeDocument/2006/relationships/image" Target="media/b7b039a86fb34247ee7b81b2f5a4216835a30b5a.png"/><Relationship Id="rId11" Type="http://schemas.openxmlformats.org/officeDocument/2006/relationships/image" Target="media/2d4aa86584777cc5e3b8c01369ecd0b7126eb4cd.png"/><Relationship Id="rId12" Type="http://schemas.openxmlformats.org/officeDocument/2006/relationships/image" Target="media/632c54821273de047da577c0a57ab6bcc6c619f4.png"/><Relationship Id="rId13" Type="http://schemas.openxmlformats.org/officeDocument/2006/relationships/image" Target="media/c3ee6018c930006d12c8e45504703694152a5ee2.png"/><Relationship Id="rId14" Type="http://schemas.openxmlformats.org/officeDocument/2006/relationships/image" Target="media/337e98f1ae888db6b9d1013d5dbb1a8b68f445bb.png"/><Relationship Id="rId15" Type="http://schemas.openxmlformats.org/officeDocument/2006/relationships/image" Target="media/8f56e7f4545f92da7055904e78e350ada57f84fe.png"/><Relationship Id="rId16" Type="http://schemas.openxmlformats.org/officeDocument/2006/relationships/image" Target="media/36b152108fd5dad1e1950ce998cd379da3e13d5e.png"/><Relationship Id="rId17" Type="http://schemas.openxmlformats.org/officeDocument/2006/relationships/image" Target="media/5e23d3a527907137bb563f1d25515084adc28b86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2026-03-16T23:33:08.305Z</dcterms:created>
  <dcterms:modified xsi:type="dcterms:W3CDTF">2026-03-16T23:33:08.306Z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