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rPr>
      </w:pPr>
      <w:r>
        <w:rPr>
          <w:rFonts w:eastAsia="Times New Roman" w:cs="Times New Roman" w:ascii="Times New Roman" w:hAnsi="Times New Roman"/>
          <w:b/>
        </w:rPr>
        <w:t>COMPARABLE SALES FOR {{full_address}}</w:t>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sectPr>
          <w:headerReference w:type="default" r:id="rId3"/>
          <w:footerReference w:type="default" r:id="rId4"/>
          <w:footnotePr>
            <w:numFmt w:val="decimal"/>
          </w:footnotePr>
          <w:type w:val="nextPage"/>
          <w:pgSz w:w="12240" w:h="15840"/>
          <w:pgMar w:left="1440" w:right="1440" w:gutter="0" w:header="720" w:top="1440" w:footer="720" w:bottom="1440"/>
          <w:pgNumType w:start="1" w:fmt="decimal"/>
          <w:formProt w:val="false"/>
          <w:textDirection w:val="lrTb"/>
          <w:docGrid w:type="default" w:linePitch="100" w:charSpace="4096"/>
        </w:sectPr>
        <w:pStyle w:val="LOnormal"/>
        <w:rPr/>
      </w:pPr>
      <w:r>
        <w:rPr>
          <w:rFonts w:eastAsia="Times New Roman" w:cs="Times New Roman" w:ascii="Times New Roman" w:hAnsi="Times New Roman"/>
        </w:rPr>
        <w:t>This document contains information on recently sold properties which we have found to be most similar to your property at {{full_address}}. We have analyzed several variables in finding these comparable properties, including the distance from your property, the square footage of the home or building, and the lot size. These comparable properties can be used to provide an estimated value of your property for the purposes of a property tax assessment challenges or a potential sale. If the sale price of these comparable properties are near or below the fair market value</w:t>
      </w:r>
      <w:r>
        <w:rPr>
          <w:rStyle w:val="FootnoteAnchor"/>
          <w:rFonts w:eastAsia="Times New Roman" w:cs="Times New Roman" w:ascii="Times New Roman" w:hAnsi="Times New Roman"/>
          <w:vertAlign w:val="superscript"/>
        </w:rPr>
        <w:footnoteReference w:id="2"/>
      </w:r>
      <w:r>
        <w:rPr>
          <w:rFonts w:eastAsia="Times New Roman" w:cs="Times New Roman" w:ascii="Times New Roman" w:hAnsi="Times New Roman"/>
        </w:rPr>
        <w:t xml:space="preserve"> of your property as determined by your assessor’s office, we would strongly recommend contacting </w:t>
      </w:r>
      <w:r>
        <w:rPr>
          <w:rFonts w:eastAsia="Times New Roman" w:cs="Times New Roman" w:ascii="Times New Roman" w:hAnsi="Times New Roman"/>
        </w:rPr>
        <w:t>Fairly Taxed</w:t>
      </w:r>
      <w:r>
        <w:rPr>
          <w:rFonts w:eastAsia="Times New Roman" w:cs="Times New Roman" w:ascii="Times New Roman" w:hAnsi="Times New Roman"/>
        </w:rPr>
        <w:t xml:space="preserve"> to prepare an assessment challenge to lower your property taxes. Should you be interested in having a challenge prepared, or would simply like to learn more about the property tax assessment process in your town or city, please email us at </w:t>
      </w:r>
      <w:hyperlink r:id="rId2">
        <w:r>
          <w:rPr>
            <w:rStyle w:val="InternetLink"/>
            <w:rFonts w:eastAsia="Times New Roman" w:cs="Times New Roman" w:ascii="Times New Roman" w:hAnsi="Times New Roman"/>
          </w:rPr>
          <w:t>tyler@fairlytaxed.com</w:t>
        </w:r>
      </w:hyperlink>
      <w:r>
        <w:rPr>
          <w:rFonts w:eastAsia="Times New Roman" w:cs="Times New Roman" w:ascii="Times New Roman" w:hAnsi="Times New Roman"/>
        </w:rPr>
        <w:t xml:space="preserve">. </w:t>
      </w:r>
    </w:p>
    <w:p>
      <w:pPr>
        <w:pStyle w:val="Heading1"/>
        <w:rPr/>
      </w:pPr>
      <w:bookmarkStart w:id="0" w:name="_gjdgxs"/>
      <w:bookmarkEnd w:id="0"/>
      <w:r>
        <w:rPr/>
        <w:t>Comparable Sale Summary</w:t>
      </w:r>
    </w:p>
    <w:tbl>
      <w:tblPr>
        <w:tblW w:w="11627" w:type="dxa"/>
        <w:jc w:val="left"/>
        <w:tblInd w:w="-995" w:type="dxa"/>
        <w:tblLayout w:type="fixed"/>
        <w:tblCellMar>
          <w:top w:w="0" w:type="dxa"/>
          <w:left w:w="108" w:type="dxa"/>
          <w:bottom w:w="0" w:type="dxa"/>
          <w:right w:w="108" w:type="dxa"/>
        </w:tblCellMar>
      </w:tblPr>
      <w:tblGrid>
        <w:gridCol w:w="1453"/>
        <w:gridCol w:w="1453"/>
        <w:gridCol w:w="1455"/>
        <w:gridCol w:w="1452"/>
        <w:gridCol w:w="1453"/>
        <w:gridCol w:w="1456"/>
        <w:gridCol w:w="1453"/>
        <w:gridCol w:w="1450"/>
      </w:tblGrid>
      <w:tr>
        <w:trPr>
          <w:trHeight w:val="535" w:hRule="atLeast"/>
        </w:trPr>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Address</w:t>
            </w:r>
          </w:p>
        </w:tc>
        <w:tc>
          <w:tcPr>
            <w:tcW w:w="145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Distance to Your Property (Miles)</w:t>
            </w:r>
          </w:p>
        </w:tc>
        <w:tc>
          <w:tcPr>
            <w:tcW w:w="145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Square Footage</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Lot Size (Acres)</w:t>
            </w:r>
          </w:p>
        </w:tc>
        <w:tc>
          <w:tcPr>
            <w:tcW w:w="14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Year Built</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Sale Date</w:t>
            </w:r>
          </w:p>
        </w:tc>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Sale Price</w:t>
            </w:r>
          </w:p>
        </w:tc>
      </w:tr>
      <w:tr>
        <w:trPr>
          <w:trHeight w:val="535" w:hRule="atLeast"/>
        </w:trPr>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 Property</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{{full_address}}</w:t>
            </w:r>
          </w:p>
        </w:tc>
        <w:tc>
          <w:tcPr>
            <w:tcW w:w="14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7" w:before="240" w:after="160"/>
              <w:rPr>
                <w:rFonts w:ascii="Times New Roman" w:hAnsi="Times New Roman" w:eastAsia="Times New Roman" w:cs="Times New Roman"/>
              </w:rPr>
            </w:pPr>
            <w:r>
              <w:rPr>
                <w:rFonts w:eastAsia="Times New Roman" w:cs="Times New Roman" w:ascii="Times New Roman" w:hAnsi="Times New Roman"/>
              </w:rPr>
              <w:t>N/A</w:t>
            </w:r>
          </w:p>
        </w:tc>
        <w:tc>
          <w:tcPr>
            <w:tcW w:w="145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{{your_sqrft}}</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{{your_lot}}</w:t>
            </w:r>
          </w:p>
        </w:tc>
        <w:tc>
          <w:tcPr>
            <w:tcW w:w="14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{{your_year}}</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{{your_sale}}</w:t>
            </w:r>
          </w:p>
        </w:tc>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${{your_price}}</w:t>
            </w:r>
          </w:p>
        </w:tc>
      </w:tr>
      <w:tr>
        <w:trPr>
          <w:trHeight w:val="280" w:hRule="atLeast"/>
        </w:trPr>
        <w:tc>
          <w:tcPr>
            <w:tcW w:w="11625"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{%tr for item in comparables %}</w:t>
            </w:r>
          </w:p>
        </w:tc>
      </w:tr>
      <w:tr>
        <w:trPr>
          <w:trHeight w:val="535" w:hRule="atLeast"/>
        </w:trPr>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Comparable Sale {{</w:t>
            </w:r>
            <w:r>
              <w:rPr/>
              <w:t>item.</w:t>
            </w:r>
            <w:r>
              <w:rPr>
                <w:rFonts w:eastAsia="Times New Roman" w:cs="Times New Roman" w:ascii="Times New Roman" w:hAnsi="Times New Roman"/>
              </w:rPr>
              <w:t>comp_number}}</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w:t>
            </w:r>
            <w:r>
              <w:rPr/>
              <w:t>item.</w:t>
            </w:r>
            <w:r>
              <w:rPr>
                <w:rFonts w:eastAsia="Times New Roman" w:cs="Times New Roman" w:ascii="Times New Roman" w:hAnsi="Times New Roman"/>
              </w:rPr>
              <w:t>comparable_address}}</w:t>
            </w:r>
          </w:p>
        </w:tc>
        <w:tc>
          <w:tcPr>
            <w:tcW w:w="145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w:t>
            </w:r>
            <w:r>
              <w:rPr/>
              <w:t>item.</w:t>
            </w:r>
            <w:r>
              <w:rPr>
                <w:rFonts w:eastAsia="Times New Roman" w:cs="Times New Roman" w:ascii="Times New Roman" w:hAnsi="Times New Roman"/>
              </w:rPr>
              <w:t>dist}}</w:t>
            </w:r>
          </w:p>
        </w:tc>
        <w:tc>
          <w:tcPr>
            <w:tcW w:w="1452"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w:t>
            </w:r>
            <w:r>
              <w:rPr/>
              <w:t>item.</w:t>
            </w:r>
            <w:r>
              <w:rPr>
                <w:rFonts w:eastAsia="Times New Roman" w:cs="Times New Roman" w:ascii="Times New Roman" w:hAnsi="Times New Roman"/>
              </w:rPr>
              <w:t>sqrft}}</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w:t>
            </w:r>
            <w:r>
              <w:rPr/>
              <w:t>item.</w:t>
            </w:r>
            <w:r>
              <w:rPr>
                <w:rFonts w:eastAsia="Times New Roman" w:cs="Times New Roman" w:ascii="Times New Roman" w:hAnsi="Times New Roman"/>
              </w:rPr>
              <w:t>lot}}</w:t>
            </w:r>
          </w:p>
        </w:tc>
        <w:tc>
          <w:tcPr>
            <w:tcW w:w="1456"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w:t>
            </w:r>
            <w:r>
              <w:rPr/>
              <w:t>item.</w:t>
            </w:r>
            <w:r>
              <w:rPr>
                <w:rFonts w:eastAsia="Times New Roman" w:cs="Times New Roman" w:ascii="Times New Roman" w:hAnsi="Times New Roman"/>
              </w:rPr>
              <w:t>year}}</w:t>
            </w:r>
          </w:p>
        </w:tc>
        <w:tc>
          <w:tcPr>
            <w:tcW w:w="1453"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w:t>
            </w:r>
            <w:r>
              <w:rPr/>
              <w:t>item.</w:t>
            </w:r>
            <w:r>
              <w:rPr>
                <w:rFonts w:eastAsia="Times New Roman" w:cs="Times New Roman" w:ascii="Times New Roman" w:hAnsi="Times New Roman"/>
              </w:rPr>
              <w:t>sale}}</w:t>
            </w:r>
          </w:p>
        </w:tc>
        <w:tc>
          <w:tcPr>
            <w:tcW w:w="14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Fonts w:eastAsia="Times New Roman" w:cs="Times New Roman" w:ascii="Times New Roman" w:hAnsi="Times New Roman"/>
              </w:rPr>
              <w:t>${{</w:t>
            </w:r>
            <w:r>
              <w:rPr/>
              <w:t>item.</w:t>
            </w:r>
            <w:r>
              <w:rPr>
                <w:rFonts w:eastAsia="Times New Roman" w:cs="Times New Roman" w:ascii="Times New Roman" w:hAnsi="Times New Roman"/>
              </w:rPr>
              <w:t>price}}</w:t>
            </w:r>
          </w:p>
        </w:tc>
      </w:tr>
      <w:tr>
        <w:trPr>
          <w:trHeight w:val="280" w:hRule="atLeast"/>
        </w:trPr>
        <w:tc>
          <w:tcPr>
            <w:tcW w:w="11625" w:type="dxa"/>
            <w:gridSpan w:val="8"/>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{%tr endfor %}</w:t>
            </w:r>
          </w:p>
        </w:tc>
      </w:tr>
    </w:tbl>
    <w:p>
      <w:pPr>
        <w:pStyle w:val="LOnormal"/>
        <w:rPr>
          <w:rFonts w:ascii="Times New Roman" w:hAnsi="Times New Roman" w:eastAsia="Times New Roman" w:cs="Times New Roman"/>
          <w:u w:val="single"/>
        </w:rPr>
      </w:pPr>
      <w:r>
        <w:rPr>
          <w:rFonts w:eastAsia="Times New Roman" w:cs="Times New Roman" w:ascii="Times New Roman" w:hAnsi="Times New Roman"/>
          <w:u w:val="single"/>
        </w:rPr>
      </w:r>
    </w:p>
    <w:p>
      <w:pPr>
        <w:sectPr>
          <w:headerReference w:type="default" r:id="rId5"/>
          <w:footerReference w:type="default" r:id="rId6"/>
          <w:footnotePr>
            <w:numFmt w:val="decimal"/>
          </w:footnotePr>
          <w:type w:val="nextPage"/>
          <w:pgSz w:w="12240" w:h="15840"/>
          <w:pgMar w:left="1440" w:right="1440" w:gutter="0" w:header="720" w:top="1440" w:footer="720" w:bottom="1440"/>
          <w:pgNumType w:fmt="decimal"/>
          <w:formProt w:val="false"/>
          <w:textDirection w:val="lrTb"/>
          <w:docGrid w:type="default" w:linePitch="100" w:charSpace="4096"/>
        </w:sectPr>
        <w:pStyle w:val="Heading1"/>
        <w:rPr>
          <w:b w:val="false"/>
          <w:b w:val="false"/>
          <w:u w:val="none"/>
        </w:rPr>
      </w:pPr>
      <w:r>
        <w:rPr>
          <w:b w:val="false"/>
          <w:u w:val="none"/>
        </w:rPr>
        <w:t>{{your_map}}</w:t>
      </w:r>
    </w:p>
    <w:p>
      <w:pPr>
        <w:pStyle w:val="Heading1"/>
        <w:rPr/>
      </w:pPr>
      <w:r>
        <w:rPr/>
      </w:r>
      <w:bookmarkStart w:id="1" w:name="_30j0zll"/>
      <w:bookmarkStart w:id="2" w:name="_30j0zll"/>
      <w:bookmarkEnd w:id="2"/>
    </w:p>
    <w:p>
      <w:pPr>
        <w:pStyle w:val="Heading1"/>
        <w:rPr>
          <w:b w:val="false"/>
          <w:b w:val="false"/>
          <w:bCs w:val="false"/>
          <w:u w:val="none"/>
        </w:rPr>
      </w:pPr>
      <w:bookmarkStart w:id="3" w:name="_1fob9te"/>
      <w:bookmarkEnd w:id="3"/>
      <w:r>
        <w:rPr>
          <w:b w:val="false"/>
          <w:bCs w:val="false"/>
          <w:u w:val="none"/>
        </w:rPr>
        <w:t>Your Property’s Details: Map Marker P</w:t>
      </w:r>
    </w:p>
    <w:p>
      <w:pPr>
        <w:pStyle w:val="LOnormal"/>
        <w:rPr>
          <w:rFonts w:ascii="Times New Roman" w:hAnsi="Times New Roman" w:eastAsia="Times New Roman" w:cs="Times New Roman"/>
        </w:rPr>
      </w:pPr>
      <w:r>
        <w:rPr>
          <w:rFonts w:eastAsia="Times New Roman" w:cs="Times New Roman" w:ascii="Times New Roman" w:hAnsi="Times New Roman"/>
        </w:rPr>
        <w:t>{{full_address}}</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{{your_picture}}</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W w:w="9360" w:type="dxa"/>
        <w:jc w:val="left"/>
        <w:tblInd w:w="90" w:type="dxa"/>
        <w:tblLayout w:type="fixed"/>
        <w:tblCellMar>
          <w:top w:w="0" w:type="dxa"/>
          <w:left w:w="108" w:type="dxa"/>
          <w:bottom w:w="0" w:type="dxa"/>
          <w:right w:w="108" w:type="dxa"/>
        </w:tblCellMar>
      </w:tblPr>
      <w:tblGrid>
        <w:gridCol w:w="2865"/>
        <w:gridCol w:w="6494"/>
      </w:tblGrid>
      <w:tr>
        <w:trPr/>
        <w:tc>
          <w:tcPr>
            <w:tcW w:w="28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Building Sq. Footage</w:t>
            </w:r>
          </w:p>
        </w:tc>
        <w:tc>
          <w:tcPr>
            <w:tcW w:w="649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{{your_sqrft}} square feet</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Year Built</w:t>
            </w:r>
          </w:p>
        </w:tc>
        <w:tc>
          <w:tcPr>
            <w:tcW w:w="649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{{your_year}}</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Lot Size</w:t>
            </w:r>
          </w:p>
        </w:tc>
        <w:tc>
          <w:tcPr>
            <w:tcW w:w="649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{{your_lot}} acres</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Bedrooms</w:t>
            </w:r>
          </w:p>
        </w:tc>
        <w:tc>
          <w:tcPr>
            <w:tcW w:w="649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{{your_bedrooms}}</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Bathrooms</w:t>
            </w:r>
          </w:p>
        </w:tc>
        <w:tc>
          <w:tcPr>
            <w:tcW w:w="6494"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{{your_bathrooms}}</w:t>
            </w:r>
          </w:p>
        </w:tc>
      </w:tr>
    </w:tbl>
    <w:p>
      <w:pPr>
        <w:pStyle w:val="LOnormal"/>
        <w:rPr>
          <w:rFonts w:ascii="Times New Roman" w:hAnsi="Times New Roman" w:eastAsia="Times New Roman" w:cs="Times New Roman"/>
        </w:rPr>
      </w:pPr>
      <w:r>
        <w:rPr>
          <w:rFonts w:eastAsia="Times New Roman" w:cs="Times New Roman" w:ascii="Times New Roman" w:hAnsi="Times New Roman"/>
        </w:rPr>
      </w:r>
      <w:r>
        <w:br w:type="page"/>
      </w:r>
    </w:p>
    <w:p>
      <w:pPr>
        <w:pStyle w:val="LOnormal"/>
        <w:rPr>
          <w:rFonts w:ascii="Times New Roman" w:hAnsi="Times New Roman" w:eastAsia="Times New Roman" w:cs="Times New Roman"/>
        </w:rPr>
      </w:pPr>
      <w:r>
        <w:rPr>
          <w:rFonts w:eastAsia="Times New Roman" w:cs="Times New Roman" w:ascii="Times New Roman" w:hAnsi="Times New Roman"/>
        </w:rPr>
        <w:t>{% for comp in comparables %}</w:t>
      </w:r>
    </w:p>
    <w:p>
      <w:pPr>
        <w:pStyle w:val="LOnormal"/>
        <w:rPr/>
      </w:pPr>
      <w:r>
        <w:rPr/>
        <w:t>Comparable Property: Map Marker {{</w:t>
      </w:r>
      <w:r>
        <w:rPr>
          <w:b w:val="false"/>
          <w:u w:val="none"/>
        </w:rPr>
        <w:t>comp.marker_label</w:t>
      </w:r>
      <w:r>
        <w:rPr/>
        <w:t>}}</w:t>
      </w:r>
    </w:p>
    <w:p>
      <w:pPr>
        <w:pStyle w:val="LOnormal"/>
        <w:rPr>
          <w:rFonts w:ascii="Times New Roman" w:hAnsi="Times New Roman" w:eastAsia="Times New Roman" w:cs="Times New Roman"/>
        </w:rPr>
      </w:pPr>
      <w:r>
        <w:rPr>
          <w:rFonts w:eastAsia="Times New Roman" w:cs="Times New Roman" w:ascii="Times New Roman" w:hAnsi="Times New Roman"/>
        </w:rPr>
        <w:t>{{comp.comparable_address}}</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{{comp.comp_picture}}</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W w:w="9330" w:type="dxa"/>
        <w:jc w:val="left"/>
        <w:tblInd w:w="135" w:type="dxa"/>
        <w:tblLayout w:type="fixed"/>
        <w:tblCellMar>
          <w:top w:w="0" w:type="dxa"/>
          <w:left w:w="108" w:type="dxa"/>
          <w:bottom w:w="0" w:type="dxa"/>
          <w:right w:w="108" w:type="dxa"/>
        </w:tblCellMar>
      </w:tblPr>
      <w:tblGrid>
        <w:gridCol w:w="2820"/>
        <w:gridCol w:w="6509"/>
      </w:tblGrid>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Building Sq. Footage</w:t>
            </w:r>
          </w:p>
        </w:tc>
        <w:tc>
          <w:tcPr>
            <w:tcW w:w="6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{{comp.sqrft}} square feet</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Year Built</w:t>
            </w:r>
          </w:p>
        </w:tc>
        <w:tc>
          <w:tcPr>
            <w:tcW w:w="6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{{comp.year}}</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Lot Size</w:t>
            </w:r>
          </w:p>
        </w:tc>
        <w:tc>
          <w:tcPr>
            <w:tcW w:w="6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{{comp.lot}} acres</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Bedrooms</w:t>
            </w:r>
          </w:p>
        </w:tc>
        <w:tc>
          <w:tcPr>
            <w:tcW w:w="6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{{comp.bedrooms}}</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Bathrooms</w:t>
            </w:r>
          </w:p>
        </w:tc>
        <w:tc>
          <w:tcPr>
            <w:tcW w:w="6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{{comp.bathrooms}}</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Sale Price</w:t>
            </w:r>
          </w:p>
        </w:tc>
        <w:tc>
          <w:tcPr>
            <w:tcW w:w="6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${{comp.price}}</w:t>
            </w:r>
          </w:p>
        </w:tc>
      </w:tr>
      <w:tr>
        <w:trPr/>
        <w:tc>
          <w:tcPr>
            <w:tcW w:w="282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Sale Date</w:t>
            </w:r>
          </w:p>
        </w:tc>
        <w:tc>
          <w:tcPr>
            <w:tcW w:w="6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Times New Roman" w:hAnsi="Times New Roman" w:eastAsia="Times New Roman" w:cs="Times New Roman"/>
              </w:rPr>
            </w:pPr>
            <w:r>
              <w:rPr>
                <w:rFonts w:eastAsia="Times New Roman" w:cs="Times New Roman" w:ascii="Times New Roman" w:hAnsi="Times New Roman"/>
              </w:rPr>
              <w:t>{{comp.sale}}</w:t>
            </w:r>
          </w:p>
        </w:tc>
      </w:tr>
    </w:tbl>
    <w:p>
      <w:pPr>
        <w:sectPr>
          <w:headerReference w:type="default" r:id="rId7"/>
          <w:footerReference w:type="default" r:id="rId8"/>
          <w:footnotePr>
            <w:numFmt w:val="decimal"/>
          </w:footnotePr>
          <w:type w:val="nextPage"/>
          <w:pgSz w:w="12240" w:h="15840"/>
          <w:pgMar w:left="1440" w:right="1440" w:gutter="0" w:header="720" w:top="1440" w:footer="720" w:bottom="1440"/>
          <w:pgNumType w:fmt="decimal"/>
          <w:formProt w:val="false"/>
          <w:textDirection w:val="lrTb"/>
          <w:docGrid w:type="default" w:linePitch="100" w:charSpace="4096"/>
        </w:sectPr>
      </w:pPr>
    </w:p>
    <w:p>
      <w:pPr>
        <w:pStyle w:val="LOnormal"/>
        <w:spacing w:before="0" w:after="160"/>
        <w:rPr>
          <w:rFonts w:ascii="Times New Roman" w:hAnsi="Times New Roman" w:eastAsia="Times New Roman" w:cs="Times New Roman"/>
        </w:rPr>
      </w:pPr>
      <w:r>
        <w:rPr>
          <w:rFonts w:eastAsia="Times New Roman" w:cs="Times New Roman" w:ascii="Times New Roman" w:hAnsi="Times New Roman"/>
        </w:rPr>
        <w:t>{% endfor %}</w:t>
      </w:r>
    </w:p>
    <w:sectPr>
      <w:footnotePr>
        <w:numFmt w:val="decimal"/>
      </w:footnotePr>
      <w:type w:val="continuous"/>
      <w:pgSz w:w="12240" w:h="15840"/>
      <w:pgMar w:left="1440" w:right="1440" w:gutter="0" w:header="720" w:top="1440" w:footer="720" w:bottom="144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tabs>
        <w:tab w:val="clear" w:pos="720"/>
        <w:tab w:val="center" w:pos="4680" w:leader="none"/>
        <w:tab w:val="right" w:pos="9360" w:leader="none"/>
      </w:tabs>
      <w:spacing w:lineRule="auto" w:line="240" w:before="0" w:after="0"/>
      <w:ind w:left="0" w:right="0" w:hanging="0"/>
      <w:jc w:val="center"/>
      <w:rPr/>
    </w:pPr>
    <w:r>
      <w:rPr/>
      <w:fldChar w:fldCharType="begin"/>
    </w:r>
    <w:r>
      <w:rPr/>
      <w:instrText xml:space="preserve"> PAGE </w:instrText>
    </w:r>
    <w:r>
      <w:rPr/>
      <w:fldChar w:fldCharType="separate"/>
    </w:r>
    <w:r>
      <w:rPr/>
      <w:t>2</w:t>
    </w:r>
    <w:r>
      <w:rPr/>
      <w:fldChar w:fldCharType="end"/>
    </w:r>
  </w:p>
  <w:p>
    <w:pPr>
      <w:pStyle w:val="LOnormal"/>
      <w:keepNext w:val="false"/>
      <w:keepLines w:val="false"/>
      <w:widowControl/>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tabs>
        <w:tab w:val="clear" w:pos="720"/>
        <w:tab w:val="center" w:pos="4680" w:leader="none"/>
        <w:tab w:val="right" w:pos="9360" w:leader="none"/>
      </w:tabs>
      <w:spacing w:lineRule="auto" w:line="240" w:before="0" w:after="0"/>
      <w:ind w:left="0" w:right="0" w:hanging="0"/>
      <w:jc w:val="center"/>
      <w:rPr/>
    </w:pPr>
    <w:r>
      <w:rPr/>
      <w:fldChar w:fldCharType="begin"/>
    </w:r>
    <w:r>
      <w:rPr/>
      <w:instrText xml:space="preserve"> PAGE </w:instrText>
    </w:r>
    <w:r>
      <w:rPr/>
      <w:fldChar w:fldCharType="separate"/>
    </w:r>
    <w:r>
      <w:rPr/>
      <w:t>4</w:t>
    </w:r>
    <w:r>
      <w:rPr/>
      <w:fldChar w:fldCharType="end"/>
    </w:r>
  </w:p>
  <w:p>
    <w:pPr>
      <w:pStyle w:val="LOnormal"/>
      <w:keepNext w:val="false"/>
      <w:keepLines w:val="false"/>
      <w:widowControl/>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
        <w:keepNext w:val="false"/>
        <w:keepLines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Style w:val="FootnoteCharacters"/>
        </w:rPr>
        <w:footnoteRef/>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Please note that “fair market value” for property tax assessment purposes may be very different from the assessed value of your property. New York State uses an equalization rate to link these two valuations. Please feel free to reach out to us if you have questions.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spacing w:lineRule="auto" w:line="240"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spacing w:lineRule="auto" w:line="240" w:before="0" w:after="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spacing w:lineRule="auto" w:line="240" w:before="0" w:after="0"/>
      <w:jc w:val="right"/>
      <w:rPr/>
    </w:pPr>
    <w:r>
      <w:rPr/>
    </w:r>
  </w:p>
</w:hdr>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rPr>
      <w:rFonts w:ascii="Times New Roman" w:hAnsi="Times New Roman" w:eastAsia="Times New Roman" w:cs="Times New Roman"/>
      <w:b/>
      <w:u w:val="single"/>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Onormal">
    <w:name w:val="LO-normal"/>
    <w:qFormat/>
    <w:pPr>
      <w:widowControl/>
      <w:suppressAutoHyphens w:val="true"/>
      <w:overflowPunct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yler@fairlytaxed.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LibreOffice/7.4.2.3$Linux_X86_64 LibreOffice_project/40$Build-3</Application>
  <AppVersion>15.0000</AppVersion>
  <Pages>4</Pages>
  <Words>315</Words>
  <Characters>1975</Characters>
  <CharactersWithSpaces>2229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2022-11-30T13:10:56Z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