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F65D" w14:textId="77777777" w:rsidR="00935992" w:rsidRDefault="00D7086A">
      <w:pPr>
        <w:spacing w:after="60"/>
      </w:pPr>
      <w:r>
        <w:rPr>
          <w:b/>
          <w:bCs/>
          <w:color w:val="1F3864"/>
          <w:sz w:val="52"/>
          <w:szCs w:val="52"/>
        </w:rPr>
        <w:t>Energy Sector Financial Data Summary</w:t>
      </w:r>
    </w:p>
    <w:p w14:paraId="502A1E1C" w14:textId="77777777" w:rsidR="00935992" w:rsidRDefault="00D7086A">
      <w:pPr>
        <w:spacing w:after="80"/>
      </w:pPr>
      <w:r>
        <w:rPr>
          <w:color w:val="2E75B6"/>
          <w:sz w:val="24"/>
          <w:szCs w:val="24"/>
        </w:rPr>
        <w:t>Constellation Energy (</w:t>
      </w:r>
      <w:proofErr w:type="gramStart"/>
      <w:r>
        <w:rPr>
          <w:color w:val="2E75B6"/>
          <w:sz w:val="24"/>
          <w:szCs w:val="24"/>
        </w:rPr>
        <w:t>CEG)  ·</w:t>
      </w:r>
      <w:proofErr w:type="gramEnd"/>
      <w:r>
        <w:rPr>
          <w:color w:val="2E75B6"/>
          <w:sz w:val="24"/>
          <w:szCs w:val="24"/>
        </w:rPr>
        <w:t xml:space="preserve">  NextEra Energy (</w:t>
      </w:r>
      <w:proofErr w:type="gramStart"/>
      <w:r>
        <w:rPr>
          <w:color w:val="2E75B6"/>
          <w:sz w:val="24"/>
          <w:szCs w:val="24"/>
        </w:rPr>
        <w:t>NEE)  ·</w:t>
      </w:r>
      <w:proofErr w:type="gramEnd"/>
      <w:r>
        <w:rPr>
          <w:color w:val="2E75B6"/>
          <w:sz w:val="24"/>
          <w:szCs w:val="24"/>
        </w:rPr>
        <w:t xml:space="preserve">  Vistra Corp (VST)</w:t>
      </w:r>
    </w:p>
    <w:p w14:paraId="7AD1E738" w14:textId="77777777" w:rsidR="00935992" w:rsidRDefault="00D7086A">
      <w:pPr>
        <w:spacing w:after="320"/>
      </w:pPr>
      <w:r>
        <w:rPr>
          <w:color w:val="666666"/>
        </w:rPr>
        <w:t xml:space="preserve">FY2023 10-K </w:t>
      </w:r>
      <w:proofErr w:type="gramStart"/>
      <w:r>
        <w:rPr>
          <w:color w:val="666666"/>
        </w:rPr>
        <w:t>Financials  |</w:t>
      </w:r>
      <w:proofErr w:type="gramEnd"/>
      <w:r>
        <w:rPr>
          <w:color w:val="666666"/>
        </w:rPr>
        <w:t xml:space="preserve">  FY2022 Total </w:t>
      </w:r>
      <w:proofErr w:type="gramStart"/>
      <w:r>
        <w:rPr>
          <w:color w:val="666666"/>
        </w:rPr>
        <w:t>Assets  |</w:t>
      </w:r>
      <w:proofErr w:type="gramEnd"/>
      <w:r>
        <w:rPr>
          <w:color w:val="666666"/>
        </w:rPr>
        <w:t xml:space="preserve">  Q1 2024 Earnings Surprises</w:t>
      </w:r>
    </w:p>
    <w:p w14:paraId="61A04162" w14:textId="77777777" w:rsidR="00935992" w:rsidRDefault="00935992">
      <w:pPr>
        <w:pBdr>
          <w:bottom w:val="single" w:sz="6" w:space="1" w:color="2E75B6"/>
        </w:pBdr>
        <w:spacing w:after="200"/>
      </w:pPr>
    </w:p>
    <w:p w14:paraId="5BF937F9" w14:textId="77777777" w:rsidR="00935992" w:rsidRDefault="00D7086A">
      <w:pPr>
        <w:pStyle w:val="Heading2"/>
      </w:pPr>
      <w:r>
        <w:t xml:space="preserve">FY2023 Financial </w:t>
      </w:r>
      <w:proofErr w:type="gramStart"/>
      <w:r>
        <w:t>Data  (</w:t>
      </w:r>
      <w:proofErr w:type="gramEnd"/>
      <w:r>
        <w:t>from 10-K filings)</w:t>
      </w:r>
    </w:p>
    <w:p w14:paraId="02E53077" w14:textId="77777777" w:rsidR="00935992" w:rsidRDefault="00D7086A">
      <w:pPr>
        <w:spacing w:after="120"/>
      </w:pPr>
      <w:r>
        <w:t xml:space="preserve">All figures sourced directly from SEC EDGAR XBRL company facts. Dollar amounts in millions (USD). FY2022 Total Assets included for asset-change calculations (accruals, </w:t>
      </w:r>
      <w:proofErr w:type="spellStart"/>
      <w:r>
        <w:t>xfin</w:t>
      </w:r>
      <w:proofErr w:type="spellEnd"/>
      <w:r>
        <w:t>, etc.).</w:t>
      </w:r>
    </w:p>
    <w:p w14:paraId="2D80F303" w14:textId="77777777" w:rsidR="00935992" w:rsidRDefault="00935992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935992" w14:paraId="2A957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9342" w14:textId="77777777" w:rsidR="00935992" w:rsidRDefault="00935992">
            <w:pPr>
              <w:jc w:val="center"/>
            </w:pP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1B4D" w14:textId="77777777" w:rsidR="00935992" w:rsidRDefault="00D708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CEG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2805" w14:textId="77777777" w:rsidR="00935992" w:rsidRDefault="00D708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NEE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39DB" w14:textId="77777777" w:rsidR="00935992" w:rsidRDefault="00D708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VST</w:t>
            </w:r>
          </w:p>
        </w:tc>
      </w:tr>
      <w:tr w:rsidR="00935992" w14:paraId="153E43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9C77" w14:textId="77777777" w:rsidR="00935992" w:rsidRDefault="00D708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 ($ millions)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5560" w14:textId="77777777" w:rsidR="00935992" w:rsidRDefault="00D708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Constellation Energy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B1D0B" w14:textId="77777777" w:rsidR="00935992" w:rsidRDefault="00D708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NextEra Energy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E851" w14:textId="77777777" w:rsidR="00935992" w:rsidRDefault="00D708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Vistra Corp</w:t>
            </w:r>
          </w:p>
        </w:tc>
      </w:tr>
      <w:tr w:rsidR="00935992" w14:paraId="19E802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F65A" w14:textId="77777777" w:rsidR="00935992" w:rsidRDefault="00D7086A">
            <w:r>
              <w:rPr>
                <w:b/>
                <w:bCs/>
                <w:color w:val="000000"/>
                <w:sz w:val="18"/>
                <w:szCs w:val="18"/>
              </w:rPr>
              <w:t>INCOME STATEMENT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9FC8" w14:textId="77777777" w:rsidR="00935992" w:rsidRDefault="00935992"/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28143" w14:textId="77777777" w:rsidR="00935992" w:rsidRDefault="00935992"/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DDBB" w14:textId="77777777" w:rsidR="00935992" w:rsidRDefault="00935992"/>
        </w:tc>
      </w:tr>
      <w:tr w:rsidR="00935992" w14:paraId="53F6AA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C855" w14:textId="77777777" w:rsidR="00935992" w:rsidRDefault="00D7086A">
            <w:r>
              <w:rPr>
                <w:color w:val="000000"/>
                <w:sz w:val="18"/>
                <w:szCs w:val="18"/>
              </w:rPr>
              <w:t>Revenue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4EC1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$24,918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0EE9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$28,114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07D0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$14,779</w:t>
            </w:r>
          </w:p>
        </w:tc>
      </w:tr>
      <w:tr w:rsidR="00935992" w14:paraId="62B03B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E416" w14:textId="77777777" w:rsidR="00935992" w:rsidRDefault="00D7086A">
            <w:r>
              <w:rPr>
                <w:color w:val="000000"/>
                <w:sz w:val="18"/>
                <w:szCs w:val="18"/>
              </w:rPr>
              <w:t>Cost of Goods Sold (COGS)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EAB1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$16,001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8C2C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$5,457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6833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$9,259</w:t>
            </w:r>
          </w:p>
        </w:tc>
      </w:tr>
      <w:tr w:rsidR="00935992" w14:paraId="48318B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E7EE" w14:textId="77777777" w:rsidR="00935992" w:rsidRDefault="00D7086A">
            <w:r>
              <w:rPr>
                <w:color w:val="000000"/>
                <w:sz w:val="18"/>
                <w:szCs w:val="18"/>
              </w:rPr>
              <w:t>Net Income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F49FB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$1,623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2F0D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$7,310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CBC8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$1,493</w:t>
            </w:r>
          </w:p>
        </w:tc>
      </w:tr>
      <w:tr w:rsidR="00935992" w14:paraId="3376B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31CD" w14:textId="77777777" w:rsidR="00935992" w:rsidRDefault="00D7086A">
            <w:r>
              <w:rPr>
                <w:b/>
                <w:bCs/>
                <w:color w:val="000000"/>
                <w:sz w:val="18"/>
                <w:szCs w:val="18"/>
              </w:rPr>
              <w:t>BALANCE SHEET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A63E3" w14:textId="77777777" w:rsidR="00935992" w:rsidRDefault="00935992"/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A9D9" w14:textId="77777777" w:rsidR="00935992" w:rsidRDefault="00935992"/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AE05" w14:textId="77777777" w:rsidR="00935992" w:rsidRDefault="00935992"/>
        </w:tc>
      </w:tr>
      <w:tr w:rsidR="00935992" w14:paraId="1CB561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A084" w14:textId="77777777" w:rsidR="00935992" w:rsidRDefault="00D7086A">
            <w:r>
              <w:rPr>
                <w:color w:val="000000"/>
                <w:sz w:val="18"/>
                <w:szCs w:val="18"/>
              </w:rPr>
              <w:t>Total Assets (FY2023)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E35C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$50,758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208F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$177,489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C327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$32,966</w:t>
            </w:r>
          </w:p>
        </w:tc>
      </w:tr>
      <w:tr w:rsidR="00935992" w14:paraId="6DF529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67F0" w14:textId="77777777" w:rsidR="00935992" w:rsidRDefault="00D7086A">
            <w:r>
              <w:rPr>
                <w:color w:val="000000"/>
                <w:sz w:val="18"/>
                <w:szCs w:val="18"/>
              </w:rPr>
              <w:t>Total Assets (FY2022)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5F64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$46,909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6D3F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$158,935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F5A2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$32,787</w:t>
            </w:r>
          </w:p>
        </w:tc>
      </w:tr>
      <w:tr w:rsidR="00935992" w14:paraId="4C5D34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87C7" w14:textId="77777777" w:rsidR="00935992" w:rsidRDefault="00D7086A">
            <w:r>
              <w:rPr>
                <w:color w:val="000000"/>
                <w:sz w:val="18"/>
                <w:szCs w:val="18"/>
              </w:rPr>
              <w:t>Book Equity (Stockholders' Equity)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DEB2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$10,925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20D0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$47,468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B6B6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$5,307</w:t>
            </w:r>
          </w:p>
        </w:tc>
      </w:tr>
      <w:tr w:rsidR="00935992" w14:paraId="16C642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027D" w14:textId="77777777" w:rsidR="00935992" w:rsidRDefault="00D7086A">
            <w:r>
              <w:rPr>
                <w:b/>
                <w:bCs/>
                <w:color w:val="000000"/>
                <w:sz w:val="18"/>
                <w:szCs w:val="18"/>
              </w:rPr>
              <w:t>CASH FLOW STATEMENT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4D74" w14:textId="77777777" w:rsidR="00935992" w:rsidRDefault="00935992"/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1F07" w14:textId="77777777" w:rsidR="00935992" w:rsidRDefault="00935992"/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18BF" w14:textId="77777777" w:rsidR="00935992" w:rsidRDefault="00935992"/>
        </w:tc>
      </w:tr>
      <w:tr w:rsidR="00935992" w14:paraId="3518F0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9117" w14:textId="77777777" w:rsidR="00935992" w:rsidRDefault="00D7086A">
            <w:r>
              <w:rPr>
                <w:color w:val="000000"/>
                <w:sz w:val="18"/>
                <w:szCs w:val="18"/>
              </w:rPr>
              <w:t>Operating Cash Flow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0D7F" w14:textId="77777777" w:rsidR="00935992" w:rsidRDefault="00D7086A">
            <w:pPr>
              <w:jc w:val="right"/>
            </w:pPr>
            <w:r>
              <w:rPr>
                <w:color w:val="C55A11"/>
                <w:sz w:val="18"/>
                <w:szCs w:val="18"/>
              </w:rPr>
              <w:t>($5,301) ⚠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C1C9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$11,301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3793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$5,453</w:t>
            </w:r>
          </w:p>
        </w:tc>
      </w:tr>
      <w:tr w:rsidR="00935992" w14:paraId="131BF3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2548" w14:textId="77777777" w:rsidR="00935992" w:rsidRDefault="00D7086A">
            <w:r>
              <w:rPr>
                <w:color w:val="000000"/>
                <w:sz w:val="18"/>
                <w:szCs w:val="18"/>
              </w:rPr>
              <w:t>Depreciation &amp; Amortization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EE09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$2,514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8F8F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$5,879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34F1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$1,502</w:t>
            </w:r>
          </w:p>
        </w:tc>
      </w:tr>
      <w:tr w:rsidR="00935992" w14:paraId="2BDC59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9401" w14:textId="77777777" w:rsidR="00935992" w:rsidRDefault="00D7086A">
            <w:r>
              <w:rPr>
                <w:color w:val="000000"/>
                <w:sz w:val="18"/>
                <w:szCs w:val="18"/>
              </w:rPr>
              <w:t>Net Cash from Financing Activities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C1BB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$2,196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F4D5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$12,149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5750" w14:textId="77777777" w:rsidR="00935992" w:rsidRDefault="00D7086A">
            <w:pPr>
              <w:jc w:val="right"/>
            </w:pPr>
            <w:r>
              <w:rPr>
                <w:color w:val="000000"/>
                <w:sz w:val="18"/>
                <w:szCs w:val="18"/>
              </w:rPr>
              <w:t>($294)</w:t>
            </w:r>
          </w:p>
        </w:tc>
      </w:tr>
    </w:tbl>
    <w:p w14:paraId="3F72A5F9" w14:textId="77777777" w:rsidR="00935992" w:rsidRDefault="00935992">
      <w:pPr>
        <w:spacing w:after="200"/>
      </w:pPr>
    </w:p>
    <w:p w14:paraId="2C56293C" w14:textId="77777777" w:rsidR="00935992" w:rsidRDefault="00D7086A">
      <w:pPr>
        <w:pStyle w:val="Heading2"/>
      </w:pPr>
      <w:r>
        <w:t>Data Notes — FY2023 Table</w:t>
      </w:r>
    </w:p>
    <w:p w14:paraId="0078AC3B" w14:textId="77777777" w:rsidR="00935992" w:rsidRDefault="00D7086A">
      <w:pPr>
        <w:spacing w:before="80" w:after="80"/>
      </w:pPr>
      <w:r>
        <w:rPr>
          <w:i/>
          <w:iCs/>
          <w:color w:val="555555"/>
          <w:sz w:val="16"/>
          <w:szCs w:val="16"/>
        </w:rPr>
        <w:t>CEG Operating Cash Flow (−$5,301M): Confirmed from EDGAR XBRL and cross-verified via multiple sources. The large negative figure reflects cash posted as collateral/margin on commodity derivative hedges — standard treatment for nuclear generators with large forward-hedge books. CEG's Adjusted EBITDA for FY2023 was ~$4.0B, reflecting underlying operational cash generation.</w:t>
      </w:r>
    </w:p>
    <w:p w14:paraId="30740736" w14:textId="77777777" w:rsidR="00935992" w:rsidRDefault="00D7086A">
      <w:pPr>
        <w:spacing w:before="80" w:after="80"/>
      </w:pPr>
      <w:r>
        <w:rPr>
          <w:i/>
          <w:iCs/>
          <w:color w:val="555555"/>
          <w:sz w:val="16"/>
          <w:szCs w:val="16"/>
        </w:rPr>
        <w:t xml:space="preserve">COGS — utility-sector definition: None of the three companies uses a traditional 'Cost of Goods Sold' label. </w:t>
      </w:r>
      <w:proofErr w:type="spellStart"/>
      <w:r>
        <w:rPr>
          <w:i/>
          <w:iCs/>
          <w:color w:val="555555"/>
          <w:sz w:val="16"/>
          <w:szCs w:val="16"/>
        </w:rPr>
        <w:t>MacroTrends'</w:t>
      </w:r>
      <w:proofErr w:type="spellEnd"/>
      <w:r>
        <w:rPr>
          <w:i/>
          <w:iCs/>
          <w:color w:val="555555"/>
          <w:sz w:val="16"/>
          <w:szCs w:val="16"/>
        </w:rPr>
        <w:t xml:space="preserve"> COGS figures map to cost-of-revenue line items from each company's income statement, primarily fuel and purchased power costs. For NEE (a heavily regulated utility with </w:t>
      </w:r>
      <w:proofErr w:type="gramStart"/>
      <w:r>
        <w:rPr>
          <w:i/>
          <w:iCs/>
          <w:color w:val="555555"/>
          <w:sz w:val="16"/>
          <w:szCs w:val="16"/>
        </w:rPr>
        <w:t>large owned</w:t>
      </w:r>
      <w:proofErr w:type="gramEnd"/>
      <w:r>
        <w:rPr>
          <w:i/>
          <w:iCs/>
          <w:color w:val="555555"/>
          <w:sz w:val="16"/>
          <w:szCs w:val="16"/>
        </w:rPr>
        <w:t xml:space="preserve"> generation), COGS is comparatively low relative to revenue (~19%).</w:t>
      </w:r>
    </w:p>
    <w:p w14:paraId="6E4569CC" w14:textId="77777777" w:rsidR="00935992" w:rsidRDefault="00D7086A">
      <w:pPr>
        <w:spacing w:before="80" w:after="80"/>
      </w:pPr>
      <w:r>
        <w:rPr>
          <w:i/>
          <w:iCs/>
          <w:color w:val="555555"/>
          <w:sz w:val="16"/>
          <w:szCs w:val="16"/>
        </w:rPr>
        <w:t xml:space="preserve">CEG D&amp;A ($2,514M): Uses </w:t>
      </w:r>
      <w:proofErr w:type="spellStart"/>
      <w:r>
        <w:rPr>
          <w:i/>
          <w:iCs/>
          <w:color w:val="555555"/>
          <w:sz w:val="16"/>
          <w:szCs w:val="16"/>
        </w:rPr>
        <w:t>DepreciationAmortizationAndAccretionNet</w:t>
      </w:r>
      <w:proofErr w:type="spellEnd"/>
      <w:r>
        <w:rPr>
          <w:i/>
          <w:iCs/>
          <w:color w:val="555555"/>
          <w:sz w:val="16"/>
          <w:szCs w:val="16"/>
        </w:rPr>
        <w:t xml:space="preserve"> (XBRL), which includes nuclear decommissioning accretion. NEE D&amp;A ($5,879M): </w:t>
      </w:r>
      <w:proofErr w:type="spellStart"/>
      <w:r>
        <w:rPr>
          <w:i/>
          <w:iCs/>
          <w:color w:val="555555"/>
          <w:sz w:val="16"/>
          <w:szCs w:val="16"/>
        </w:rPr>
        <w:t>DepreciationAndAmortization</w:t>
      </w:r>
      <w:proofErr w:type="spellEnd"/>
      <w:r>
        <w:rPr>
          <w:i/>
          <w:iCs/>
          <w:color w:val="555555"/>
          <w:sz w:val="16"/>
          <w:szCs w:val="16"/>
        </w:rPr>
        <w:t xml:space="preserve">. VST D&amp;A ($1,502M): </w:t>
      </w:r>
      <w:proofErr w:type="spellStart"/>
      <w:r>
        <w:rPr>
          <w:i/>
          <w:iCs/>
          <w:color w:val="555555"/>
          <w:sz w:val="16"/>
          <w:szCs w:val="16"/>
        </w:rPr>
        <w:t>DepreciationDepletionAndAmortization</w:t>
      </w:r>
      <w:proofErr w:type="spellEnd"/>
      <w:r>
        <w:rPr>
          <w:i/>
          <w:iCs/>
          <w:color w:val="555555"/>
          <w:sz w:val="16"/>
          <w:szCs w:val="16"/>
        </w:rPr>
        <w:t>.</w:t>
      </w:r>
    </w:p>
    <w:p w14:paraId="77F8B1E0" w14:textId="77777777" w:rsidR="00935992" w:rsidRDefault="00D7086A">
      <w:pPr>
        <w:spacing w:before="80" w:after="80"/>
      </w:pPr>
      <w:r>
        <w:rPr>
          <w:i/>
          <w:iCs/>
          <w:color w:val="555555"/>
          <w:sz w:val="16"/>
          <w:szCs w:val="16"/>
        </w:rPr>
        <w:t xml:space="preserve">NEE Revenue ($28,114M): Tagged as </w:t>
      </w:r>
      <w:proofErr w:type="spellStart"/>
      <w:r>
        <w:rPr>
          <w:i/>
          <w:iCs/>
          <w:color w:val="555555"/>
          <w:sz w:val="16"/>
          <w:szCs w:val="16"/>
        </w:rPr>
        <w:t>RegulatedAndUnregulatedOperatingRevenue</w:t>
      </w:r>
      <w:proofErr w:type="spellEnd"/>
      <w:r>
        <w:rPr>
          <w:i/>
          <w:iCs/>
          <w:color w:val="555555"/>
          <w:sz w:val="16"/>
          <w:szCs w:val="16"/>
        </w:rPr>
        <w:t xml:space="preserve"> in XBRL, covering both FPL (regulated utility) and NextEra Energy Resources (competitive renewables).</w:t>
      </w:r>
    </w:p>
    <w:p w14:paraId="1ACCE313" w14:textId="77777777" w:rsidR="00935992" w:rsidRDefault="00D7086A">
      <w:pPr>
        <w:spacing w:before="80" w:after="80"/>
      </w:pPr>
      <w:r>
        <w:rPr>
          <w:i/>
          <w:iCs/>
          <w:color w:val="555555"/>
          <w:sz w:val="16"/>
          <w:szCs w:val="16"/>
        </w:rPr>
        <w:t>EDGAR accession numbers — CEG: 0001868275-24-000014 (filed 2024-02-27); NEE: 0000753308-24-000008 (filed 2024-02-16); VST: 0001692819-24-000012 (filed 2024-02-29).</w:t>
      </w:r>
    </w:p>
    <w:p w14:paraId="41301DC1" w14:textId="77777777" w:rsidR="00935992" w:rsidRDefault="00935992">
      <w:pPr>
        <w:spacing w:after="200"/>
      </w:pPr>
    </w:p>
    <w:p w14:paraId="6DF24463" w14:textId="77777777" w:rsidR="00935992" w:rsidRDefault="00935992">
      <w:pPr>
        <w:pBdr>
          <w:bottom w:val="single" w:sz="6" w:space="1" w:color="2E75B6"/>
        </w:pBdr>
        <w:spacing w:after="200"/>
      </w:pPr>
    </w:p>
    <w:p w14:paraId="02366A8D" w14:textId="77777777" w:rsidR="00935992" w:rsidRDefault="00D7086A">
      <w:pPr>
        <w:pStyle w:val="Heading2"/>
      </w:pPr>
      <w:r>
        <w:lastRenderedPageBreak/>
        <w:t xml:space="preserve">Q1 2024 Earnings </w:t>
      </w:r>
      <w:proofErr w:type="gramStart"/>
      <w:r>
        <w:t>Surprises  (</w:t>
      </w:r>
      <w:proofErr w:type="gramEnd"/>
      <w:r>
        <w:t>Quarter ending March 31, 2024)</w:t>
      </w:r>
    </w:p>
    <w:p w14:paraId="7CA25BF1" w14:textId="77777777" w:rsidR="00935992" w:rsidRDefault="00D7086A">
      <w:pPr>
        <w:spacing w:after="120"/>
      </w:pPr>
      <w:r>
        <w:t xml:space="preserve">The most recent quarter ending before April 30, </w:t>
      </w:r>
      <w:proofErr w:type="gramStart"/>
      <w:r>
        <w:t>2024</w:t>
      </w:r>
      <w:proofErr w:type="gramEnd"/>
      <w:r>
        <w:t xml:space="preserve"> is Q1 2024 (March 31 quarter-end). Results were reported in late April / early May 2024. Analyst consensus refers to the primary EPS metric each company and its analyst community </w:t>
      </w:r>
      <w:proofErr w:type="gramStart"/>
      <w:r>
        <w:t>focuses</w:t>
      </w:r>
      <w:proofErr w:type="gramEnd"/>
      <w:r>
        <w:t xml:space="preserve"> on (adjusted/non-GAAP where applicable).</w:t>
      </w:r>
    </w:p>
    <w:p w14:paraId="7BAE19A5" w14:textId="77777777" w:rsidR="00935992" w:rsidRDefault="00935992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60"/>
        <w:gridCol w:w="1560"/>
        <w:gridCol w:w="1560"/>
        <w:gridCol w:w="1560"/>
        <w:gridCol w:w="1320"/>
      </w:tblGrid>
      <w:tr w:rsidR="00935992" w14:paraId="2B201B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D1B1" w14:textId="77777777" w:rsidR="00935992" w:rsidRDefault="00D708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4BCA" w14:textId="77777777" w:rsidR="00935992" w:rsidRDefault="00D708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Reported EPS (Adjusted)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7214" w14:textId="77777777" w:rsidR="00935992" w:rsidRDefault="00D708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Reported EPS (GAAP)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401D" w14:textId="77777777" w:rsidR="00935992" w:rsidRDefault="00D708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Consensus Estimate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39A8" w14:textId="77777777" w:rsidR="00935992" w:rsidRDefault="00D708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Surprise ($)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A072" w14:textId="77777777" w:rsidR="00935992" w:rsidRDefault="00D708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935992" w14:paraId="5A6669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4DFC" w14:textId="77777777" w:rsidR="00935992" w:rsidRDefault="00D7086A">
            <w:r>
              <w:rPr>
                <w:b/>
                <w:bCs/>
                <w:color w:val="000000"/>
                <w:sz w:val="18"/>
                <w:szCs w:val="18"/>
              </w:rPr>
              <w:t>CEG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74BF" w14:textId="77777777" w:rsidR="00935992" w:rsidRDefault="00D7086A">
            <w:pPr>
              <w:jc w:val="center"/>
            </w:pPr>
            <w:r>
              <w:rPr>
                <w:color w:val="000000"/>
                <w:sz w:val="18"/>
                <w:szCs w:val="18"/>
              </w:rPr>
              <w:t>$1.82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7FB4" w14:textId="77777777" w:rsidR="00935992" w:rsidRDefault="00D7086A">
            <w:pPr>
              <w:jc w:val="center"/>
            </w:pPr>
            <w:r>
              <w:rPr>
                <w:color w:val="000000"/>
                <w:sz w:val="18"/>
                <w:szCs w:val="18"/>
              </w:rPr>
              <w:t>$2.78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FEB2" w14:textId="77777777" w:rsidR="00935992" w:rsidRDefault="00D7086A">
            <w:pPr>
              <w:jc w:val="center"/>
            </w:pPr>
            <w:r>
              <w:rPr>
                <w:color w:val="000000"/>
                <w:sz w:val="18"/>
                <w:szCs w:val="18"/>
              </w:rPr>
              <w:t>$1.82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D87F" w14:textId="77777777" w:rsidR="00935992" w:rsidRDefault="00D7086A">
            <w:pPr>
              <w:jc w:val="center"/>
            </w:pPr>
            <w:r>
              <w:rPr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2DEC" w14:textId="77777777" w:rsidR="00935992" w:rsidRDefault="00D7086A">
            <w:pPr>
              <w:jc w:val="center"/>
            </w:pPr>
            <w:r>
              <w:rPr>
                <w:color w:val="808080"/>
                <w:sz w:val="18"/>
                <w:szCs w:val="18"/>
              </w:rPr>
              <w:t>In-Line</w:t>
            </w:r>
          </w:p>
        </w:tc>
      </w:tr>
      <w:tr w:rsidR="00935992" w14:paraId="7C9079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8C74" w14:textId="77777777" w:rsidR="00935992" w:rsidRDefault="00D7086A">
            <w:r>
              <w:rPr>
                <w:b/>
                <w:bCs/>
                <w:color w:val="000000"/>
                <w:sz w:val="18"/>
                <w:szCs w:val="18"/>
              </w:rPr>
              <w:t>NEE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1641" w14:textId="77777777" w:rsidR="00935992" w:rsidRDefault="00D7086A">
            <w:pPr>
              <w:jc w:val="center"/>
            </w:pPr>
            <w:r>
              <w:rPr>
                <w:color w:val="000000"/>
                <w:sz w:val="18"/>
                <w:szCs w:val="18"/>
              </w:rPr>
              <w:t>$0.91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ACD5" w14:textId="77777777" w:rsidR="00935992" w:rsidRDefault="00D7086A">
            <w:pPr>
              <w:jc w:val="center"/>
            </w:pPr>
            <w:r>
              <w:rPr>
                <w:color w:val="000000"/>
                <w:sz w:val="18"/>
                <w:szCs w:val="18"/>
              </w:rPr>
              <w:t>$1.10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2C76" w14:textId="77777777" w:rsidR="00935992" w:rsidRDefault="00D7086A">
            <w:pPr>
              <w:jc w:val="center"/>
            </w:pPr>
            <w:r>
              <w:rPr>
                <w:color w:val="000000"/>
                <w:sz w:val="18"/>
                <w:szCs w:val="18"/>
              </w:rPr>
              <w:t>$0.80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96D7" w14:textId="77777777" w:rsidR="00935992" w:rsidRDefault="00D7086A">
            <w:pPr>
              <w:jc w:val="center"/>
            </w:pPr>
            <w:r>
              <w:rPr>
                <w:color w:val="375623"/>
                <w:sz w:val="18"/>
                <w:szCs w:val="18"/>
              </w:rPr>
              <w:t>+$0.11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8622" w14:textId="77777777" w:rsidR="00935992" w:rsidRDefault="00D7086A">
            <w:pPr>
              <w:jc w:val="center"/>
            </w:pPr>
            <w:r>
              <w:rPr>
                <w:color w:val="375623"/>
                <w:sz w:val="18"/>
                <w:szCs w:val="18"/>
              </w:rPr>
              <w:t>Beat +13.8%</w:t>
            </w:r>
          </w:p>
        </w:tc>
      </w:tr>
      <w:tr w:rsidR="00935992" w14:paraId="476A4D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0C34" w14:textId="77777777" w:rsidR="00935992" w:rsidRDefault="00D7086A">
            <w:r>
              <w:rPr>
                <w:b/>
                <w:bCs/>
                <w:color w:val="000000"/>
                <w:sz w:val="18"/>
                <w:szCs w:val="18"/>
              </w:rPr>
              <w:t>VST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10C4" w14:textId="77777777" w:rsidR="00935992" w:rsidRDefault="00D7086A">
            <w:pPr>
              <w:jc w:val="center"/>
            </w:pPr>
            <w:r>
              <w:rPr>
                <w:color w:val="888888"/>
                <w:sz w:val="18"/>
                <w:szCs w:val="18"/>
              </w:rPr>
              <w:t>N/A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7FBED" w14:textId="77777777" w:rsidR="00935992" w:rsidRDefault="00D7086A">
            <w:pPr>
              <w:jc w:val="center"/>
            </w:pPr>
            <w:r>
              <w:rPr>
                <w:color w:val="000000"/>
                <w:sz w:val="18"/>
                <w:szCs w:val="18"/>
              </w:rPr>
              <w:t>$0.27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B34C" w14:textId="77777777" w:rsidR="00935992" w:rsidRDefault="00D7086A">
            <w:pPr>
              <w:jc w:val="center"/>
            </w:pPr>
            <w:r>
              <w:rPr>
                <w:color w:val="000000"/>
                <w:sz w:val="18"/>
                <w:szCs w:val="18"/>
              </w:rPr>
              <w:t>$0.62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62B8" w14:textId="77777777" w:rsidR="00935992" w:rsidRDefault="00D7086A">
            <w:pPr>
              <w:jc w:val="center"/>
            </w:pPr>
            <w:r>
              <w:rPr>
                <w:color w:val="C55A11"/>
                <w:sz w:val="18"/>
                <w:szCs w:val="18"/>
              </w:rPr>
              <w:t>-$0.35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0D35" w14:textId="77777777" w:rsidR="00935992" w:rsidRDefault="00D7086A">
            <w:pPr>
              <w:jc w:val="center"/>
            </w:pPr>
            <w:r>
              <w:rPr>
                <w:color w:val="C55A11"/>
                <w:sz w:val="18"/>
                <w:szCs w:val="18"/>
              </w:rPr>
              <w:t>Miss -56.7%</w:t>
            </w:r>
          </w:p>
        </w:tc>
      </w:tr>
    </w:tbl>
    <w:p w14:paraId="543EFBC3" w14:textId="77777777" w:rsidR="00935992" w:rsidRDefault="00935992">
      <w:pPr>
        <w:spacing w:after="200"/>
      </w:pPr>
    </w:p>
    <w:p w14:paraId="0F4D56A9" w14:textId="77777777" w:rsidR="00935992" w:rsidRDefault="00D7086A">
      <w:pPr>
        <w:pStyle w:val="Heading2"/>
      </w:pPr>
      <w:r>
        <w:t>Data Notes — Q1 2024 Earnings Surprises</w:t>
      </w:r>
    </w:p>
    <w:p w14:paraId="25025DAC" w14:textId="77777777" w:rsidR="00935992" w:rsidRDefault="00D7086A">
      <w:pPr>
        <w:spacing w:before="80" w:after="80"/>
      </w:pPr>
      <w:r>
        <w:rPr>
          <w:i/>
          <w:iCs/>
          <w:color w:val="555555"/>
          <w:sz w:val="16"/>
          <w:szCs w:val="16"/>
        </w:rPr>
        <w:t>CEG Q1 2024 (reported May 9, 2024): Adjusted (non-GAAP) Operating EPS of $1.82 exactly met the analyst consensus of $1.82 (0% surprise). GAAP EPS of $2.78 significantly exceeded consensus of ~$1.30 due to unrealized mark-to-market gains. Revenue of $6.16B beat the $5.69B estimate.</w:t>
      </w:r>
    </w:p>
    <w:p w14:paraId="66D065E0" w14:textId="77777777" w:rsidR="00935992" w:rsidRDefault="00D7086A">
      <w:pPr>
        <w:spacing w:before="80" w:after="80"/>
      </w:pPr>
      <w:r>
        <w:rPr>
          <w:i/>
          <w:iCs/>
          <w:color w:val="555555"/>
          <w:sz w:val="16"/>
          <w:szCs w:val="16"/>
        </w:rPr>
        <w:t>NEE Q1 2024 (reported April 23, 2024): Adjusted EPS of $0.91 beat the Zacks consensus estimate of $0.80 by $0.11 (+13.75%). GAAP EPS was $1.10. The beat was driven by strong performance at Florida Power &amp; Light and NextEra Energy Resources. Source: Zacks.com, April 23, 2024.</w:t>
      </w:r>
    </w:p>
    <w:p w14:paraId="63E12CC5" w14:textId="77777777" w:rsidR="00935992" w:rsidRDefault="00D7086A">
      <w:pPr>
        <w:spacing w:before="80" w:after="80"/>
      </w:pPr>
      <w:r>
        <w:rPr>
          <w:i/>
          <w:iCs/>
          <w:color w:val="555555"/>
          <w:sz w:val="16"/>
          <w:szCs w:val="16"/>
        </w:rPr>
        <w:t>VST Q1 2024 (reported May 8, 2024): GAAP Net Income was $18M (~$0.05/diluted share). The reported EPS of ~$0.27 (various sources) vs. consensus ~$0.62 represents a significant GAAP miss, driven primarily by unrealized mark-to-market derivative losses vs. large gains in Q1 2023. VST's primary management metric is Adjusted EBITDA: Q1 2024 Ongoing Adjusted EBITDA was $813M, within company guidance. Vistra raised its full-year 2024 Adjusted EBITDA guidance at this release.</w:t>
      </w:r>
    </w:p>
    <w:p w14:paraId="507F7F12" w14:textId="77777777" w:rsidR="00935992" w:rsidRDefault="00D7086A">
      <w:pPr>
        <w:spacing w:before="80" w:after="80"/>
      </w:pPr>
      <w:r>
        <w:rPr>
          <w:i/>
          <w:iCs/>
          <w:color w:val="555555"/>
          <w:sz w:val="16"/>
          <w:szCs w:val="16"/>
        </w:rPr>
        <w:t>Earnings surprise methodology: Adjusted/non-GAAP EPS is the metric tracked by sell-side analysts for CEG and NEE. VST does not provide an 'adjusted EPS' per share; its primary metric is Adjusted EBITDA. The GAAP EPS comparison is used for VST's surprise calculation.</w:t>
      </w:r>
    </w:p>
    <w:p w14:paraId="463AB8E5" w14:textId="77777777" w:rsidR="00935992" w:rsidRDefault="00935992">
      <w:pPr>
        <w:spacing w:after="200"/>
      </w:pPr>
    </w:p>
    <w:p w14:paraId="55D3FD7C" w14:textId="77777777" w:rsidR="00935992" w:rsidRDefault="00935992">
      <w:pPr>
        <w:pBdr>
          <w:bottom w:val="single" w:sz="6" w:space="1" w:color="2E75B6"/>
        </w:pBdr>
        <w:spacing w:after="200"/>
      </w:pPr>
    </w:p>
    <w:p w14:paraId="40B06526" w14:textId="77777777" w:rsidR="00935992" w:rsidRDefault="00D7086A">
      <w:pPr>
        <w:pStyle w:val="Heading2"/>
      </w:pPr>
      <w:r>
        <w:t>Primary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35992" w14:paraId="3A24B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3A3F" w14:textId="77777777" w:rsidR="00935992" w:rsidRDefault="00D7086A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5BC1" w14:textId="77777777" w:rsidR="00935992" w:rsidRDefault="00D7086A">
            <w:r>
              <w:rPr>
                <w:b/>
                <w:bCs/>
                <w:color w:val="FFFFFF"/>
                <w:sz w:val="18"/>
                <w:szCs w:val="18"/>
              </w:rPr>
              <w:t>Description / URL</w:t>
            </w:r>
          </w:p>
        </w:tc>
      </w:tr>
      <w:tr w:rsidR="00935992" w14:paraId="6ABBE8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4C56" w14:textId="77777777" w:rsidR="00935992" w:rsidRDefault="00D7086A">
            <w:r>
              <w:rPr>
                <w:color w:val="000000"/>
                <w:sz w:val="18"/>
                <w:szCs w:val="18"/>
              </w:rPr>
              <w:t>SEC EDGAR XBRL API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4899" w14:textId="77777777" w:rsidR="00935992" w:rsidRDefault="00D7086A">
            <w:r>
              <w:rPr>
                <w:color w:val="000000"/>
                <w:sz w:val="18"/>
                <w:szCs w:val="18"/>
              </w:rPr>
              <w:t>data.sec.gov/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xbrl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companyconcept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all balance sheet, income statement, and cash flow figures</w:t>
            </w:r>
          </w:p>
        </w:tc>
      </w:tr>
      <w:tr w:rsidR="00935992" w14:paraId="7F6166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FF6B" w14:textId="77777777" w:rsidR="00935992" w:rsidRDefault="00D7086A">
            <w:proofErr w:type="spellStart"/>
            <w:r>
              <w:rPr>
                <w:color w:val="000000"/>
                <w:sz w:val="18"/>
                <w:szCs w:val="18"/>
              </w:rPr>
              <w:t>MacroTrends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(COGS)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7467" w14:textId="77777777" w:rsidR="00935992" w:rsidRDefault="00D7086A">
            <w:r>
              <w:rPr>
                <w:color w:val="000000"/>
                <w:sz w:val="18"/>
                <w:szCs w:val="18"/>
              </w:rPr>
              <w:t>macrotrends.net — CEG, NEE, VST cost-of-goods-sold pages; used for COGS line items</w:t>
            </w:r>
          </w:p>
        </w:tc>
      </w:tr>
      <w:tr w:rsidR="00935992" w14:paraId="739A5C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5A07" w14:textId="77777777" w:rsidR="00935992" w:rsidRDefault="00D7086A">
            <w:r>
              <w:rPr>
                <w:color w:val="000000"/>
                <w:sz w:val="18"/>
                <w:szCs w:val="18"/>
              </w:rPr>
              <w:t>CEG Earnings Release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A951" w14:textId="77777777" w:rsidR="00935992" w:rsidRDefault="00D7086A">
            <w:r>
              <w:rPr>
                <w:color w:val="000000"/>
                <w:sz w:val="18"/>
                <w:szCs w:val="18"/>
              </w:rPr>
              <w:t>constellationenergy.com newsroom — Constellation Reports First Quarter 2024 Results (May 9, 2024)</w:t>
            </w:r>
          </w:p>
        </w:tc>
      </w:tr>
      <w:tr w:rsidR="00935992" w14:paraId="514725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071D" w14:textId="77777777" w:rsidR="00935992" w:rsidRDefault="00D7086A">
            <w:r>
              <w:rPr>
                <w:color w:val="000000"/>
                <w:sz w:val="18"/>
                <w:szCs w:val="18"/>
              </w:rPr>
              <w:t>NEE Earnings — Zacks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9369" w14:textId="77777777" w:rsidR="00935992" w:rsidRDefault="00D7086A">
            <w:r>
              <w:rPr>
                <w:color w:val="000000"/>
                <w:sz w:val="18"/>
                <w:szCs w:val="18"/>
              </w:rPr>
              <w:t>zacks.com — NextEra Energy (NEE) Q1 Earnings Surpass Estimates (April 23, 2024)</w:t>
            </w:r>
          </w:p>
        </w:tc>
      </w:tr>
      <w:tr w:rsidR="00935992" w14:paraId="41F86B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7A7B" w14:textId="77777777" w:rsidR="00935992" w:rsidRDefault="00D7086A">
            <w:r>
              <w:rPr>
                <w:color w:val="000000"/>
                <w:sz w:val="18"/>
                <w:szCs w:val="18"/>
              </w:rPr>
              <w:t>VST Earnings Release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7CED" w14:textId="77777777" w:rsidR="00935992" w:rsidRDefault="00D7086A">
            <w:r>
              <w:rPr>
                <w:color w:val="000000"/>
                <w:sz w:val="18"/>
                <w:szCs w:val="18"/>
              </w:rPr>
              <w:t>investor.vistracorp.com — Vistra Reports First Quarter 2024 Results (May 8, 2024)</w:t>
            </w:r>
          </w:p>
        </w:tc>
      </w:tr>
    </w:tbl>
    <w:p w14:paraId="723E6B45" w14:textId="77777777" w:rsidR="00D7086A" w:rsidRDefault="00D7086A"/>
    <w:sectPr w:rsidR="00D7086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99A8F" w14:textId="77777777" w:rsidR="00D7086A" w:rsidRDefault="00D7086A">
      <w:r>
        <w:separator/>
      </w:r>
    </w:p>
  </w:endnote>
  <w:endnote w:type="continuationSeparator" w:id="0">
    <w:p w14:paraId="0375CF38" w14:textId="77777777" w:rsidR="00D7086A" w:rsidRDefault="00D70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84750" w14:textId="77777777" w:rsidR="00935992" w:rsidRDefault="00D7086A">
    <w:pPr>
      <w:pBdr>
        <w:top w:val="single" w:sz="4" w:space="4" w:color="2E75B6"/>
      </w:pBdr>
      <w:jc w:val="center"/>
    </w:pPr>
    <w:r>
      <w:rPr>
        <w:color w:val="888888"/>
        <w:sz w:val="16"/>
        <w:szCs w:val="16"/>
      </w:rPr>
      <w:t xml:space="preserve">Sources: SEC EDGAR XBRL (10-K filings) · </w:t>
    </w:r>
    <w:proofErr w:type="spellStart"/>
    <w:r>
      <w:rPr>
        <w:color w:val="888888"/>
        <w:sz w:val="16"/>
        <w:szCs w:val="16"/>
      </w:rPr>
      <w:t>MacroTrends</w:t>
    </w:r>
    <w:proofErr w:type="spellEnd"/>
    <w:r>
      <w:rPr>
        <w:color w:val="888888"/>
        <w:sz w:val="16"/>
        <w:szCs w:val="16"/>
      </w:rPr>
      <w:t xml:space="preserve"> · Company Earnings </w:t>
    </w:r>
    <w:proofErr w:type="gramStart"/>
    <w:r>
      <w:rPr>
        <w:color w:val="888888"/>
        <w:sz w:val="16"/>
        <w:szCs w:val="16"/>
      </w:rPr>
      <w:t>Releases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D67B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6C5CE" w14:textId="77777777" w:rsidR="00D7086A" w:rsidRDefault="00D7086A">
      <w:r>
        <w:separator/>
      </w:r>
    </w:p>
  </w:footnote>
  <w:footnote w:type="continuationSeparator" w:id="0">
    <w:p w14:paraId="3605AC4C" w14:textId="77777777" w:rsidR="00D7086A" w:rsidRDefault="00D70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C332F" w14:textId="77777777" w:rsidR="00935992" w:rsidRDefault="00D7086A">
    <w:pPr>
      <w:pBdr>
        <w:bottom w:val="single" w:sz="6" w:space="4" w:color="2E75B6"/>
      </w:pBdr>
      <w:tabs>
        <w:tab w:val="right" w:pos="9360"/>
      </w:tabs>
    </w:pPr>
    <w:r>
      <w:rPr>
        <w:color w:val="555555"/>
        <w:sz w:val="18"/>
        <w:szCs w:val="18"/>
      </w:rPr>
      <w:t xml:space="preserve">Energy Sector Financial </w:t>
    </w:r>
    <w:proofErr w:type="gramStart"/>
    <w:r>
      <w:rPr>
        <w:color w:val="555555"/>
        <w:sz w:val="18"/>
        <w:szCs w:val="18"/>
      </w:rPr>
      <w:t>Analysis  |</w:t>
    </w:r>
    <w:proofErr w:type="gramEnd"/>
    <w:r>
      <w:rPr>
        <w:color w:val="555555"/>
        <w:sz w:val="18"/>
        <w:szCs w:val="18"/>
      </w:rPr>
      <w:t xml:space="preserve">  </w:t>
    </w:r>
    <w:proofErr w:type="gramStart"/>
    <w:r>
      <w:rPr>
        <w:color w:val="555555"/>
        <w:sz w:val="18"/>
        <w:szCs w:val="18"/>
      </w:rPr>
      <w:t>CEG  ·</w:t>
    </w:r>
    <w:proofErr w:type="gramEnd"/>
    <w:r>
      <w:rPr>
        <w:color w:val="555555"/>
        <w:sz w:val="18"/>
        <w:szCs w:val="18"/>
      </w:rPr>
      <w:t xml:space="preserve">  </w:t>
    </w:r>
    <w:proofErr w:type="gramStart"/>
    <w:r>
      <w:rPr>
        <w:color w:val="555555"/>
        <w:sz w:val="18"/>
        <w:szCs w:val="18"/>
      </w:rPr>
      <w:t>NEE  ·</w:t>
    </w:r>
    <w:proofErr w:type="gramEnd"/>
    <w:r>
      <w:rPr>
        <w:color w:val="555555"/>
        <w:sz w:val="18"/>
        <w:szCs w:val="18"/>
      </w:rPr>
      <w:t xml:space="preserve">  VST</w:t>
    </w:r>
    <w:r>
      <w:rPr>
        <w:sz w:val="18"/>
        <w:szCs w:val="18"/>
      </w:rPr>
      <w:tab/>
    </w:r>
    <w:r>
      <w:rPr>
        <w:color w:val="888888"/>
        <w:sz w:val="18"/>
        <w:szCs w:val="18"/>
      </w:rPr>
      <w:t>Prepared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A552F"/>
    <w:multiLevelType w:val="hybridMultilevel"/>
    <w:tmpl w:val="7CAC7188"/>
    <w:lvl w:ilvl="0" w:tplc="CD7CB8D2">
      <w:start w:val="1"/>
      <w:numFmt w:val="bullet"/>
      <w:lvlText w:val="●"/>
      <w:lvlJc w:val="left"/>
      <w:pPr>
        <w:ind w:left="720" w:hanging="360"/>
      </w:pPr>
    </w:lvl>
    <w:lvl w:ilvl="1" w:tplc="F13C1300">
      <w:start w:val="1"/>
      <w:numFmt w:val="bullet"/>
      <w:lvlText w:val="○"/>
      <w:lvlJc w:val="left"/>
      <w:pPr>
        <w:ind w:left="1440" w:hanging="360"/>
      </w:pPr>
    </w:lvl>
    <w:lvl w:ilvl="2" w:tplc="6DF4A768">
      <w:start w:val="1"/>
      <w:numFmt w:val="bullet"/>
      <w:lvlText w:val="■"/>
      <w:lvlJc w:val="left"/>
      <w:pPr>
        <w:ind w:left="2160" w:hanging="360"/>
      </w:pPr>
    </w:lvl>
    <w:lvl w:ilvl="3" w:tplc="E4366C64">
      <w:start w:val="1"/>
      <w:numFmt w:val="bullet"/>
      <w:lvlText w:val="●"/>
      <w:lvlJc w:val="left"/>
      <w:pPr>
        <w:ind w:left="2880" w:hanging="360"/>
      </w:pPr>
    </w:lvl>
    <w:lvl w:ilvl="4" w:tplc="AFFCE8B2">
      <w:start w:val="1"/>
      <w:numFmt w:val="bullet"/>
      <w:lvlText w:val="○"/>
      <w:lvlJc w:val="left"/>
      <w:pPr>
        <w:ind w:left="3600" w:hanging="360"/>
      </w:pPr>
    </w:lvl>
    <w:lvl w:ilvl="5" w:tplc="74D476F2">
      <w:start w:val="1"/>
      <w:numFmt w:val="bullet"/>
      <w:lvlText w:val="■"/>
      <w:lvlJc w:val="left"/>
      <w:pPr>
        <w:ind w:left="4320" w:hanging="360"/>
      </w:pPr>
    </w:lvl>
    <w:lvl w:ilvl="6" w:tplc="B434D05C">
      <w:start w:val="1"/>
      <w:numFmt w:val="bullet"/>
      <w:lvlText w:val="●"/>
      <w:lvlJc w:val="left"/>
      <w:pPr>
        <w:ind w:left="5040" w:hanging="360"/>
      </w:pPr>
    </w:lvl>
    <w:lvl w:ilvl="7" w:tplc="0890EEBC">
      <w:start w:val="1"/>
      <w:numFmt w:val="bullet"/>
      <w:lvlText w:val="●"/>
      <w:lvlJc w:val="left"/>
      <w:pPr>
        <w:ind w:left="5760" w:hanging="360"/>
      </w:pPr>
    </w:lvl>
    <w:lvl w:ilvl="8" w:tplc="3B023D5E">
      <w:start w:val="1"/>
      <w:numFmt w:val="bullet"/>
      <w:lvlText w:val="●"/>
      <w:lvlJc w:val="left"/>
      <w:pPr>
        <w:ind w:left="6480" w:hanging="360"/>
      </w:pPr>
    </w:lvl>
  </w:abstractNum>
  <w:num w:numId="1" w16cid:durableId="363410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992"/>
    <w:rsid w:val="002D67B1"/>
    <w:rsid w:val="00935992"/>
    <w:rsid w:val="00D7086A"/>
    <w:rsid w:val="00E2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DF725"/>
  <w15:docId w15:val="{83C81B36-6F1C-2A44-9076-CDC38331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744</Words>
  <Characters>4067</Characters>
  <Application>Microsoft Office Word</Application>
  <DocSecurity>0</DocSecurity>
  <Lines>86</Lines>
  <Paragraphs>46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Musalem Herrera</cp:lastModifiedBy>
  <cp:revision>2</cp:revision>
  <dcterms:created xsi:type="dcterms:W3CDTF">2026-04-26T19:07:00Z</dcterms:created>
  <dcterms:modified xsi:type="dcterms:W3CDTF">2026-04-26T19:07:00Z</dcterms:modified>
</cp:coreProperties>
</file>