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answering 94–96% of questions on a recall task against 29–37% for 16 tokens of text. We then take the defender's side. Snapping each incoming vector to its nearest token embedding removes all 49 channels we trained, into three receiver models, and leaves text unchanged; a monitor given 2,000 paired examples recovers 80–88% of transmitted digits with a linear probe (chance 10%). Because these defences face an adaptive attacker, we train channels against them — and each evasion walks into another defence: a channel fine-tuned to evade the deployed probe succeeds, but its vectors stay far from the vocabulary, where a paired-data-free detector flags them; a channel fine-tuned to look like tokens must sit on the vocabulary, where snapping still removes it; and a channel trained through snapping itself collapses. The channel is also shared across models and holds about twice the accuracy of text up to 395-token messages.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2562897"/>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2562897"/>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for Qwen and SmolLM2),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targets one defence, and none escapes the layer it did not target. Table AD2 shows the corner; per-run detail is in Table AD1 (Appendix G).</w:t>
      </w:r>
    </w:p>
    <w:p>
      <w:r>
        <w:rPr>
          <w:rFonts w:ascii="Old Standard TT" w:cs="Old Standard TT" w:eastAsia="Old Standard TT" w:hAnsi="Old Standard TT"/>
          <w:rtl w:val="0"/>
          <w:b/>
          <w:sz w:val="18"/>
        </w:rPr>
        <w:t>Table AD2.</w:t>
      </w:r>
      <w:r>
        <w:rPr>
          <w:rFonts w:ascii="Old Standard TT" w:cs="Old Standard TT" w:eastAsia="Old Standard TT" w:hAnsi="Old Standard TT"/>
          <w:rtl w:val="0"/>
          <w:sz w:val="18"/>
        </w:rPr>
        <w:t xml:space="preserve"> Adaptive channels against the deployed defences (ranges over 3 seeds; lower λ and single-seed runs in Table AD1). "Probe": frozen deployed monitor's digit accuracy, chance 0.1; "cos": mean cosine to the nearest token embedding, text 1.0.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361"/>
        <w:gridCol w:w="2167"/>
        <w:gridCol w:w="3393"/>
        <w:gridCol w:w="1432"/>
      </w:tblGrid>
      <w:tr>
        <w:tc>
          <w:tcPr>
            <w:tcW w:type="dxa" w:w="2361"/>
          </w:tcPr>
          <w:p>
            <w:pPr>
              <w:spacing w:after="0"/>
            </w:pPr>
            <w:r>
              <w:rPr>
                <w:rFonts w:ascii="Old Standard TT" w:cs="Old Standard TT" w:eastAsia="Old Standard TT" w:hAnsi="Old Standard TT"/>
                <w:rtl w:val="0"/>
                <w:b/>
                <w:sz w:val="16"/>
              </w:rPr>
              <w:t>Strategy (target)</w:t>
            </w:r>
          </w:p>
        </w:tc>
        <w:tc>
          <w:tcPr>
            <w:tcW w:type="dxa" w:w="2167"/>
          </w:tcPr>
          <w:p>
            <w:pPr>
              <w:spacing w:after="0"/>
            </w:pPr>
            <w:r>
              <w:rPr>
                <w:rFonts w:ascii="Old Standard TT" w:cs="Old Standard TT" w:eastAsia="Old Standard TT" w:hAnsi="Old Standard TT"/>
                <w:rtl w:val="0"/>
                <w:b/>
                <w:sz w:val="16"/>
              </w:rPr>
              <w:t>Beats its target</w:t>
            </w:r>
          </w:p>
        </w:tc>
        <w:tc>
          <w:tcPr>
            <w:tcW w:type="dxa" w:w="3393"/>
          </w:tcPr>
          <w:p>
            <w:pPr>
              <w:spacing w:after="0"/>
            </w:pPr>
            <w:r>
              <w:rPr>
                <w:rFonts w:ascii="Old Standard TT" w:cs="Old Standard TT" w:eastAsia="Old Standard TT" w:hAnsi="Old Standard TT"/>
                <w:rtl w:val="0"/>
                <w:b/>
                <w:sz w:val="16"/>
              </w:rPr>
              <w:t>Then caught by</w:t>
            </w:r>
          </w:p>
        </w:tc>
        <w:tc>
          <w:tcPr>
            <w:tcW w:type="dxa" w:w="1432"/>
          </w:tcPr>
          <w:p>
            <w:pPr>
              <w:spacing w:after="0"/>
            </w:pPr>
            <w:r>
              <w:rPr>
                <w:rFonts w:ascii="Old Standard TT" w:cs="Old Standard TT" w:eastAsia="Old Standard TT" w:hAnsi="Old Standard TT"/>
                <w:rtl w:val="0"/>
                <w:b/>
                <w:sz w:val="16"/>
              </w:rPr>
              <w:t>Channel cost</w:t>
            </w:r>
          </w:p>
        </w:tc>
      </w:tr>
      <w:tr>
        <w:tc>
          <w:tcPr>
            <w:tcW w:type="dxa" w:w="2361"/>
          </w:tcPr>
          <w:p>
            <w:pPr>
              <w:spacing w:after="0"/>
            </w:pPr>
            <w:r>
              <w:rPr>
                <w:rFonts w:ascii="Old Standard TT" w:cs="Old Standard TT" w:eastAsia="Old Standard TT" w:hAnsi="Old Standard TT"/>
                <w:rtl w:val="0"/>
                <w:sz w:val="16"/>
              </w:rPr>
              <w:t>Evade probe, λ = 10 (monitor)</w:t>
            </w:r>
          </w:p>
        </w:tc>
        <w:tc>
          <w:tcPr>
            <w:tcW w:type="dxa" w:w="2167"/>
          </w:tcPr>
          <w:p>
            <w:pPr>
              <w:spacing w:after="0"/>
            </w:pPr>
            <w:r>
              <w:rPr>
                <w:rFonts w:ascii="Old Standard TT" w:cs="Old Standard TT" w:eastAsia="Old Standard TT" w:hAnsi="Old Standard TT"/>
                <w:rtl w:val="0"/>
                <w:sz w:val="16"/>
              </w:rPr>
              <w:t>probe → 0.10–0.12</w:t>
            </w:r>
          </w:p>
        </w:tc>
        <w:tc>
          <w:tcPr>
            <w:tcW w:type="dxa" w:w="3393"/>
          </w:tcPr>
          <w:p>
            <w:pPr>
              <w:spacing w:after="0"/>
            </w:pPr>
            <w:r>
              <w:rPr>
                <w:rFonts w:ascii="Old Standard TT" w:cs="Old Standard TT" w:eastAsia="Old Standard TT" w:hAnsi="Old Standard TT"/>
                <w:rtl w:val="0"/>
                <w:sz w:val="16"/>
              </w:rPr>
              <w:t>nearest-token detector: cos stays 0.70–0.72 (threshold 0.95)</w:t>
            </w:r>
          </w:p>
        </w:tc>
        <w:tc>
          <w:tcPr>
            <w:tcW w:type="dxa" w:w="1432"/>
          </w:tcPr>
          <w:p>
            <w:pPr>
              <w:spacing w:after="0"/>
            </w:pPr>
            <w:r>
              <w:rPr>
                <w:rFonts w:ascii="Old Standard TT" w:cs="Old Standard TT" w:eastAsia="Old Standard TT" w:hAnsi="Old Standard TT"/>
                <w:rtl w:val="0"/>
                <w:sz w:val="16"/>
              </w:rPr>
              <w:t>none: 0.94–0.98</w:t>
            </w:r>
          </w:p>
        </w:tc>
      </w:tr>
      <w:tr>
        <w:tc>
          <w:tcPr>
            <w:tcW w:type="dxa" w:w="2361"/>
          </w:tcPr>
          <w:p>
            <w:pPr>
              <w:spacing w:after="0"/>
            </w:pPr>
            <w:r>
              <w:rPr>
                <w:rFonts w:ascii="Old Standard TT" w:cs="Old Standard TT" w:eastAsia="Old Standard TT" w:hAnsi="Old Standard TT"/>
                <w:rtl w:val="0"/>
                <w:sz w:val="16"/>
              </w:rPr>
              <w:t>Mimic tokens, λ = 1 (detector)</w:t>
            </w:r>
          </w:p>
        </w:tc>
        <w:tc>
          <w:tcPr>
            <w:tcW w:type="dxa" w:w="2167"/>
          </w:tcPr>
          <w:p>
            <w:pPr>
              <w:spacing w:after="0"/>
            </w:pPr>
            <w:r>
              <w:rPr>
                <w:rFonts w:ascii="Old Standard TT" w:cs="Old Standard TT" w:eastAsia="Old Standard TT" w:hAnsi="Old Standard TT"/>
                <w:rtl w:val="0"/>
                <w:sz w:val="16"/>
              </w:rPr>
              <w:t>cos → 0.90–0.91, still below 0.95</w:t>
            </w:r>
          </w:p>
        </w:tc>
        <w:tc>
          <w:tcPr>
            <w:tcW w:type="dxa" w:w="3393"/>
          </w:tcPr>
          <w:p>
            <w:pPr>
              <w:spacing w:after="0"/>
            </w:pPr>
            <w:r>
              <w:rPr>
                <w:rFonts w:ascii="Old Standard TT" w:cs="Old Standard TT" w:eastAsia="Old Standard TT" w:hAnsi="Old Standard TT"/>
                <w:rtl w:val="0"/>
                <w:sz w:val="16"/>
              </w:rPr>
              <w:t>full snap: 0.000</w:t>
            </w:r>
          </w:p>
        </w:tc>
        <w:tc>
          <w:tcPr>
            <w:tcW w:type="dxa" w:w="1432"/>
          </w:tcPr>
          <w:p>
            <w:pPr>
              <w:spacing w:after="0"/>
            </w:pPr>
            <w:r>
              <w:rPr>
                <w:rFonts w:ascii="Old Standard TT" w:cs="Old Standard TT" w:eastAsia="Old Standard TT" w:hAnsi="Old Standard TT"/>
                <w:rtl w:val="0"/>
                <w:sz w:val="16"/>
              </w:rPr>
              <w:t>~1 point: 0.96–0.98</w:t>
            </w:r>
          </w:p>
        </w:tc>
      </w:tr>
      <w:tr>
        <w:tc>
          <w:tcPr>
            <w:tcW w:type="dxa" w:w="2361"/>
          </w:tcPr>
          <w:p>
            <w:pPr>
              <w:spacing w:after="0"/>
            </w:pPr>
            <w:r>
              <w:rPr>
                <w:rFonts w:ascii="Old Standard TT" w:cs="Old Standard TT" w:eastAsia="Old Standard TT" w:hAnsi="Old Standard TT"/>
                <w:rtl w:val="0"/>
                <w:sz w:val="16"/>
              </w:rPr>
              <w:t>Train through snap (canonicalisation)</w:t>
            </w:r>
          </w:p>
        </w:tc>
        <w:tc>
          <w:tcPr>
            <w:tcW w:type="dxa" w:w="2167"/>
          </w:tcPr>
          <w:p>
            <w:pPr>
              <w:spacing w:after="0"/>
            </w:pPr>
            <w:r>
              <w:rPr>
                <w:rFonts w:ascii="Old Standard TT" w:cs="Old Standard TT" w:eastAsia="Old Standard TT" w:hAnsi="Old Standard TT"/>
                <w:rtl w:val="0"/>
                <w:sz w:val="16"/>
              </w:rPr>
              <w:t>—</w:t>
            </w:r>
          </w:p>
        </w:tc>
        <w:tc>
          <w:tcPr>
            <w:tcW w:type="dxa" w:w="3393"/>
          </w:tcPr>
          <w:p>
            <w:pPr>
              <w:spacing w:after="0"/>
            </w:pPr>
            <w:r>
              <w:rPr>
                <w:rFonts w:ascii="Old Standard TT" w:cs="Old Standard TT" w:eastAsia="Old Standard TT" w:hAnsi="Old Standard TT"/>
                <w:rtl w:val="0"/>
                <w:sz w:val="16"/>
              </w:rPr>
              <w:t>collapse: 0.000 in 6/6 seeds (identity STE and Gumbel-softmax)</w:t>
            </w:r>
          </w:p>
        </w:tc>
        <w:tc>
          <w:tcPr>
            <w:tcW w:type="dxa" w:w="1432"/>
          </w:tcPr>
          <w:p>
            <w:pPr>
              <w:spacing w:after="0"/>
            </w:pPr>
            <w:r>
              <w:rPr>
                <w:rFonts w:ascii="Old Standard TT" w:cs="Old Standard TT" w:eastAsia="Old Standard TT" w:hAnsi="Old Standard TT"/>
                <w:rtl w:val="0"/>
                <w:sz w:val="16"/>
              </w:rPr>
              <w:t>total</w:t>
            </w:r>
          </w:p>
        </w:tc>
      </w:tr>
    </w:tbl>
    <w:p>
      <w:pPr>
        <w:spacing w:after="40"/>
      </w:pPr>
    </w:p>
    <w:p>
      <w:r>
        <w:rPr>
          <w:rFonts w:ascii="Old Standard TT" w:cs="Old Standard TT" w:eastAsia="Old Standard TT" w:hAnsi="Old Standard TT"/>
          <w:rtl w:val="0"/>
          <w:b/>
        </w:rPr>
        <w:t>Evading the monitor succeeds at no cost, and the evasion does not need to move the vectors — so it does not.</w:t>
      </w:r>
      <w:r>
        <w:rPr>
          <w:rFonts w:ascii="Old Standard TT" w:cs="Old Standard TT" w:eastAsia="Old Standard TT" w:hAnsi="Old Standard TT"/>
          <w:rtl w:val="0"/>
        </w:rPr>
        <w:t xml:space="preserve"> A probe retrained on 2,000 fresh pairs from the adapted channel reads 0.76–0.80 again: the monitor survives by being retrained, but the nearest-token detector — a 0.95 threshold on cosine, no paired data, no training — still flags every evasive message (λ = 3 and λ = 1 end at probe 0.140 and 0.192).</w:t>
      </w:r>
    </w:p>
    <w:p>
      <w:r>
        <w:rPr>
          <w:rFonts w:ascii="Old Standard TT" w:cs="Old Standard TT" w:eastAsia="Old Standard TT" w:hAnsi="Old Standard TT"/>
          <w:rtl w:val="0"/>
          <w:b/>
        </w:rPr>
        <w:t>Mimicking tokens pulls the vectors onto the vocabulary, where the message is replaced by real tokens</w:t>
      </w:r>
      <w:r>
        <w:rPr>
          <w:rFonts w:ascii="Old Standard TT" w:cs="Old Standard TT" w:eastAsia="Old Standard TT" w:hAnsi="Old Standard TT"/>
          <w:rtl w:val="0"/>
        </w:rPr>
        <w:t xml:space="preserve"> — a token string that is not the encoding the receiver was trained on, so full snapping drops every mimic run to 0.000; the probe also still reads 0.64–0.67 of its digits (λ = 3 reaches cos 0.931 for 3 points, 0.933).</w:t>
      </w:r>
    </w:p>
    <w:p>
      <w:r>
        <w:rPr>
          <w:rFonts w:ascii="Old Standard TT" w:cs="Old Standard TT" w:eastAsia="Old Standard TT" w:hAnsi="Old Standard TT"/>
          <w:rtl w:val="0"/>
          <w:b/>
        </w:rPr>
        <w:t>Training through the snap never finds a surviving channel.</w:t>
      </w:r>
      <w:r>
        <w:rPr>
          <w:rFonts w:ascii="Old Standard TT" w:cs="Old Standard TT" w:eastAsia="Old Standard TT" w:hAnsi="Old Standard TT"/>
          <w:rtl w:val="0"/>
        </w:rPr>
        <w:t xml:space="preserve"> With task loss computed on the hard-snapped message and gradients passed through the snap as identity, heldout accuracy is 0.000 in all 3 seeds with the countermeasure removed. A stronger relaxation does not change this: a Gumbel-softmax over the vocabulary (τ = 0.5), whose gradients flow through the token choice itself, also ends at 0.000 in all 3 seeds. The vectors still encode the document (a retrained probe reads 0.93–0.98 of digits) but sit far from the vocabulary (cos 0.14–0.17), where the detector flags them; what collapses is the receiver-usable channel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0.002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 by identity straight-through estimator or by Gumbel-softmax relaxation —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(identity or Gumbel-softmax relaxation) — so they bound what a first-order evasion achieves, not what a channel trained against the full stack at once, or with stronger optimisation for the discrete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425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20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and with Gumbel-softmax, 3 seeds each),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min–max over seeds). "Channel": heldout exact match, no countermeasure; "probe": frozen deployed monitor's digit accuracy (chance 0.1); "retrain": probe retrained on 2,000 pairs from the adapted channel; "snap": exact match after full snapping; "cos": mean cosine to the nearest token embedding (text 1.0). Pre-adaptation, 3 checkpoints: channel 0.916–0.966, probe 0.871–0.885, snap 0.000, cos 0.727–0.740. Summarised in Table AD2.</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3474"/>
        <w:gridCol w:w="1228"/>
        <w:gridCol w:w="1228"/>
        <w:gridCol w:w="1228"/>
        <w:gridCol w:w="967"/>
        <w:gridCol w:w="1228"/>
      </w:tblGrid>
      <w:tr>
        <w:tc>
          <w:tcPr>
            <w:tcW w:type="dxa" w:w="3474"/>
          </w:tcPr>
          <w:p>
            <w:pPr>
              <w:spacing w:after="0"/>
            </w:pPr>
            <w:r>
              <w:rPr>
                <w:rFonts w:ascii="Old Standard TT" w:cs="Old Standard TT" w:eastAsia="Old Standard TT" w:hAnsi="Old Standard TT"/>
                <w:rtl w:val="0"/>
                <w:b/>
                <w:sz w:val="16"/>
              </w:rPr>
              <w:t>Run</w:t>
            </w:r>
          </w:p>
        </w:tc>
        <w:tc>
          <w:tcPr>
            <w:tcW w:type="dxa" w:w="1228"/>
          </w:tcPr>
          <w:p>
            <w:pPr>
              <w:spacing w:after="0"/>
            </w:pPr>
            <w:r>
              <w:rPr>
                <w:rFonts w:ascii="Old Standard TT" w:cs="Old Standard TT" w:eastAsia="Old Standard TT" w:hAnsi="Old Standard TT"/>
                <w:rtl w:val="0"/>
                <w:b/>
                <w:sz w:val="16"/>
              </w:rPr>
              <w:t>Channel</w:t>
            </w:r>
          </w:p>
        </w:tc>
        <w:tc>
          <w:tcPr>
            <w:tcW w:type="dxa" w:w="1228"/>
          </w:tcPr>
          <w:p>
            <w:pPr>
              <w:spacing w:after="0"/>
            </w:pPr>
            <w:r>
              <w:rPr>
                <w:rFonts w:ascii="Old Standard TT" w:cs="Old Standard TT" w:eastAsia="Old Standard TT" w:hAnsi="Old Standard TT"/>
                <w:rtl w:val="0"/>
                <w:b/>
                <w:sz w:val="16"/>
              </w:rPr>
              <w:t>Probe</w:t>
            </w:r>
          </w:p>
        </w:tc>
        <w:tc>
          <w:tcPr>
            <w:tcW w:type="dxa" w:w="1228"/>
          </w:tcPr>
          <w:p>
            <w:pPr>
              <w:spacing w:after="0"/>
            </w:pPr>
            <w:r>
              <w:rPr>
                <w:rFonts w:ascii="Old Standard TT" w:cs="Old Standard TT" w:eastAsia="Old Standard TT" w:hAnsi="Old Standard TT"/>
                <w:rtl w:val="0"/>
                <w:b/>
                <w:sz w:val="16"/>
              </w:rPr>
              <w:t>Retrain</w:t>
            </w:r>
          </w:p>
        </w:tc>
        <w:tc>
          <w:tcPr>
            <w:tcW w:type="dxa" w:w="967"/>
          </w:tcPr>
          <w:p>
            <w:pPr>
              <w:spacing w:after="0"/>
            </w:pPr>
            <w:r>
              <w:rPr>
                <w:rFonts w:ascii="Old Standard TT" w:cs="Old Standard TT" w:eastAsia="Old Standard TT" w:hAnsi="Old Standard TT"/>
                <w:rtl w:val="0"/>
                <w:b/>
                <w:sz w:val="16"/>
              </w:rPr>
              <w:t>Snap</w:t>
            </w:r>
          </w:p>
        </w:tc>
        <w:tc>
          <w:tcPr>
            <w:tcW w:type="dxa" w:w="1228"/>
          </w:tcPr>
          <w:p>
            <w:pPr>
              <w:spacing w:after="0"/>
            </w:pPr>
            <w:r>
              <w:rPr>
                <w:rFonts w:ascii="Old Standard TT" w:cs="Old Standard TT" w:eastAsia="Old Standard TT" w:hAnsi="Old Standard TT"/>
                <w:rtl w:val="0"/>
                <w:b/>
                <w:sz w:val="16"/>
              </w:rPr>
              <w:t>Cos</w:t>
            </w:r>
          </w:p>
        </w:tc>
      </w:tr>
      <w:tr>
        <w:tc>
          <w:tcPr>
            <w:tcW w:type="dxa" w:w="3474"/>
          </w:tcPr>
          <w:p>
            <w:pPr>
              <w:spacing w:after="0"/>
            </w:pPr>
            <w:r>
              <w:rPr>
                <w:rFonts w:ascii="Old Standard TT" w:cs="Old Standard TT" w:eastAsia="Old Standard TT" w:hAnsi="Old Standard TT"/>
                <w:rtl w:val="0"/>
                <w:sz w:val="16"/>
              </w:rPr>
              <w:t>Evade probe, λ = 10 (3 seeds)</w:t>
            </w:r>
          </w:p>
        </w:tc>
        <w:tc>
          <w:tcPr>
            <w:tcW w:type="dxa" w:w="1228"/>
          </w:tcPr>
          <w:p>
            <w:pPr>
              <w:spacing w:after="0"/>
            </w:pPr>
            <w:r>
              <w:rPr>
                <w:rFonts w:ascii="Old Standard TT" w:cs="Old Standard TT" w:eastAsia="Old Standard TT" w:hAnsi="Old Standard TT"/>
                <w:rtl w:val="0"/>
                <w:sz w:val="16"/>
              </w:rPr>
              <w:t>0.941–0.978</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0.762–0.797</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0.698–0.717</w:t>
            </w:r>
          </w:p>
        </w:tc>
      </w:tr>
      <w:tr>
        <w:tc>
          <w:tcPr>
            <w:tcW w:type="dxa" w:w="3474"/>
          </w:tcPr>
          <w:p>
            <w:pPr>
              <w:spacing w:after="0"/>
            </w:pPr>
            <w:r>
              <w:rPr>
                <w:rFonts w:ascii="Old Standard TT" w:cs="Old Standard TT" w:eastAsia="Old Standard TT" w:hAnsi="Old Standard TT"/>
                <w:rtl w:val="0"/>
                <w:sz w:val="16"/>
              </w:rPr>
              <w:t>Evade probe, λ = 3</w:t>
            </w:r>
          </w:p>
        </w:tc>
        <w:tc>
          <w:tcPr>
            <w:tcW w:type="dxa" w:w="1228"/>
          </w:tcPr>
          <w:p>
            <w:pPr>
              <w:spacing w:after="0"/>
            </w:pPr>
            <w:r>
              <w:rPr>
                <w:rFonts w:ascii="Old Standard TT" w:cs="Old Standard TT" w:eastAsia="Old Standard TT" w:hAnsi="Old Standard TT"/>
                <w:rtl w:val="0"/>
                <w:sz w:val="16"/>
              </w:rPr>
              <w:t>0.967</w:t>
            </w:r>
          </w:p>
        </w:tc>
        <w:tc>
          <w:tcPr>
            <w:tcW w:type="dxa" w:w="1228"/>
          </w:tcPr>
          <w:p>
            <w:pPr>
              <w:spacing w:after="0"/>
            </w:pPr>
            <w:r>
              <w:rPr>
                <w:rFonts w:ascii="Old Standard TT" w:cs="Old Standard TT" w:eastAsia="Old Standard TT" w:hAnsi="Old Standard TT"/>
                <w:rtl w:val="0"/>
                <w:sz w:val="16"/>
              </w:rPr>
              <w:t>0.140</w:t>
            </w:r>
          </w:p>
        </w:tc>
        <w:tc>
          <w:tcPr>
            <w:tcW w:type="dxa" w:w="1228"/>
          </w:tcPr>
          <w:p>
            <w:pPr>
              <w:spacing w:after="0"/>
            </w:pPr>
            <w:r>
              <w:rPr>
                <w:rFonts w:ascii="Old Standard TT" w:cs="Old Standard TT" w:eastAsia="Old Standard TT" w:hAnsi="Old Standard TT"/>
                <w:rtl w:val="0"/>
                <w:sz w:val="16"/>
              </w:rPr>
              <w:t>0.782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0.710</w:t>
            </w:r>
          </w:p>
        </w:tc>
      </w:tr>
      <w:tr>
        <w:tc>
          <w:tcPr>
            <w:tcW w:type="dxa" w:w="3474"/>
          </w:tcPr>
          <w:p>
            <w:pPr>
              <w:spacing w:after="0"/>
            </w:pPr>
            <w:r>
              <w:rPr>
                <w:rFonts w:ascii="Old Standard TT" w:cs="Old Standard TT" w:eastAsia="Old Standard TT" w:hAnsi="Old Standard TT"/>
                <w:rtl w:val="0"/>
                <w:sz w:val="16"/>
              </w:rPr>
              <w:t>Evade probe, λ = 1</w:t>
            </w:r>
          </w:p>
        </w:tc>
        <w:tc>
          <w:tcPr>
            <w:tcW w:type="dxa" w:w="1228"/>
          </w:tcPr>
          <w:p>
            <w:pPr>
              <w:spacing w:after="0"/>
            </w:pPr>
            <w:r>
              <w:rPr>
                <w:rFonts w:ascii="Old Standard TT" w:cs="Old Standard TT" w:eastAsia="Old Standard TT" w:hAnsi="Old Standard TT"/>
                <w:rtl w:val="0"/>
                <w:sz w:val="16"/>
              </w:rPr>
              <w:t>0.984</w:t>
            </w:r>
          </w:p>
        </w:tc>
        <w:tc>
          <w:tcPr>
            <w:tcW w:type="dxa" w:w="1228"/>
          </w:tcPr>
          <w:p>
            <w:pPr>
              <w:spacing w:after="0"/>
            </w:pPr>
            <w:r>
              <w:rPr>
                <w:rFonts w:ascii="Old Standard TT" w:cs="Old Standard TT" w:eastAsia="Old Standard TT" w:hAnsi="Old Standard TT"/>
                <w:rtl w:val="0"/>
                <w:sz w:val="16"/>
              </w:rPr>
              <w:t>0.192</w:t>
            </w:r>
          </w:p>
        </w:tc>
        <w:tc>
          <w:tcPr>
            <w:tcW w:type="dxa" w:w="1228"/>
          </w:tcPr>
          <w:p>
            <w:pPr>
              <w:spacing w:after="0"/>
            </w:pPr>
            <w:r>
              <w:rPr>
                <w:rFonts w:ascii="Old Standard TT" w:cs="Old Standard TT" w:eastAsia="Old Standard TT" w:hAnsi="Old Standard TT"/>
                <w:rtl w:val="0"/>
                <w:sz w:val="16"/>
              </w:rPr>
              <w:t>0.800</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0.699</w:t>
            </w:r>
          </w:p>
        </w:tc>
      </w:tr>
      <w:tr>
        <w:tc>
          <w:tcPr>
            <w:tcW w:type="dxa" w:w="3474"/>
          </w:tcPr>
          <w:p>
            <w:pPr>
              <w:spacing w:after="0"/>
            </w:pPr>
            <w:r>
              <w:rPr>
                <w:rFonts w:ascii="Old Standard TT" w:cs="Old Standard TT" w:eastAsia="Old Standard TT" w:hAnsi="Old Standard TT"/>
                <w:rtl w:val="0"/>
                <w:sz w:val="16"/>
              </w:rPr>
              <w:t>Mimic tokens, λ = 3</w:t>
            </w:r>
          </w:p>
        </w:tc>
        <w:tc>
          <w:tcPr>
            <w:tcW w:type="dxa" w:w="1228"/>
          </w:tcPr>
          <w:p>
            <w:pPr>
              <w:spacing w:after="0"/>
            </w:pPr>
            <w:r>
              <w:rPr>
                <w:rFonts w:ascii="Old Standard TT" w:cs="Old Standard TT" w:eastAsia="Old Standard TT" w:hAnsi="Old Standard TT"/>
                <w:rtl w:val="0"/>
                <w:sz w:val="16"/>
              </w:rPr>
              <w:t>0.933</w:t>
            </w:r>
          </w:p>
        </w:tc>
        <w:tc>
          <w:tcPr>
            <w:tcW w:type="dxa" w:w="1228"/>
          </w:tcPr>
          <w:p>
            <w:pPr>
              <w:spacing w:after="0"/>
            </w:pPr>
            <w:r>
              <w:rPr>
                <w:rFonts w:ascii="Old Standard TT" w:cs="Old Standard TT" w:eastAsia="Old Standard TT" w:hAnsi="Old Standard TT"/>
                <w:rtl w:val="0"/>
                <w:sz w:val="16"/>
              </w:rPr>
              <w:t>0.600</w:t>
            </w:r>
          </w:p>
        </w:tc>
        <w:tc>
          <w:tcPr>
            <w:tcW w:type="dxa" w:w="1228"/>
          </w:tcPr>
          <w:p>
            <w:pPr>
              <w:spacing w:after="0"/>
            </w:pPr>
            <w:r>
              <w:rPr>
                <w:rFonts w:ascii="Old Standard TT" w:cs="Old Standard TT" w:eastAsia="Old Standard TT" w:hAnsi="Old Standard TT"/>
                <w:rtl w:val="0"/>
                <w:sz w:val="16"/>
              </w:rPr>
              <w:t>0.974</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0.931</w:t>
            </w:r>
          </w:p>
        </w:tc>
      </w:tr>
      <w:tr>
        <w:tc>
          <w:tcPr>
            <w:tcW w:type="dxa" w:w="3474"/>
          </w:tcPr>
          <w:p>
            <w:pPr>
              <w:spacing w:after="0"/>
            </w:pPr>
            <w:r>
              <w:rPr>
                <w:rFonts w:ascii="Old Standard TT" w:cs="Old Standard TT" w:eastAsia="Old Standard TT" w:hAnsi="Old Standard TT"/>
                <w:rtl w:val="0"/>
                <w:sz w:val="16"/>
              </w:rPr>
              <w:t>Mimic tokens, λ = 1 (3 seeds)</w:t>
            </w:r>
          </w:p>
        </w:tc>
        <w:tc>
          <w:tcPr>
            <w:tcW w:type="dxa" w:w="1228"/>
          </w:tcPr>
          <w:p>
            <w:pPr>
              <w:spacing w:after="0"/>
            </w:pPr>
            <w:r>
              <w:rPr>
                <w:rFonts w:ascii="Old Standard TT" w:cs="Old Standard TT" w:eastAsia="Old Standard TT" w:hAnsi="Old Standard TT"/>
                <w:rtl w:val="0"/>
                <w:sz w:val="16"/>
              </w:rPr>
              <w:t>0.961–0.976</w:t>
            </w:r>
          </w:p>
        </w:tc>
        <w:tc>
          <w:tcPr>
            <w:tcW w:type="dxa" w:w="1228"/>
          </w:tcPr>
          <w:p>
            <w:pPr>
              <w:spacing w:after="0"/>
            </w:pPr>
            <w:r>
              <w:rPr>
                <w:rFonts w:ascii="Old Standard TT" w:cs="Old Standard TT" w:eastAsia="Old Standard TT" w:hAnsi="Old Standard TT"/>
                <w:rtl w:val="0"/>
                <w:sz w:val="16"/>
              </w:rPr>
              <w:t>0.645–0.673</w:t>
            </w:r>
          </w:p>
        </w:tc>
        <w:tc>
          <w:tcPr>
            <w:tcW w:type="dxa" w:w="1228"/>
          </w:tcPr>
          <w:p>
            <w:pPr>
              <w:spacing w:after="0"/>
            </w:pPr>
            <w:r>
              <w:rPr>
                <w:rFonts w:ascii="Old Standard TT" w:cs="Old Standard TT" w:eastAsia="Old Standard TT" w:hAnsi="Old Standard TT"/>
                <w:rtl w:val="0"/>
                <w:sz w:val="16"/>
              </w:rPr>
              <w:t>0.932–0.941</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0.901–0.906</w:t>
            </w:r>
          </w:p>
        </w:tc>
      </w:tr>
      <w:tr>
        <w:tc>
          <w:tcPr>
            <w:tcW w:type="dxa" w:w="3474"/>
          </w:tcPr>
          <w:p>
            <w:pPr>
              <w:spacing w:after="0"/>
            </w:pPr>
            <w:r>
              <w:rPr>
                <w:rFonts w:ascii="Old Standard TT" w:cs="Old Standard TT" w:eastAsia="Old Standard TT" w:hAnsi="Old Standard TT"/>
                <w:rtl w:val="0"/>
                <w:sz w:val="16"/>
              </w:rPr>
              <w:t>Train through snap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0.928–0.979</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0.138–0.170</w:t>
            </w:r>
          </w:p>
        </w:tc>
      </w:tr>
      <w:tr>
        <w:tc>
          <w:tcPr>
            <w:tcW w:type="dxa" w:w="3474"/>
          </w:tcPr>
          <w:p>
            <w:pPr>
              <w:spacing w:after="0"/>
            </w:pPr>
            <w:r>
              <w:rPr>
                <w:rFonts w:ascii="Old Standard TT" w:cs="Old Standard TT" w:eastAsia="Old Standard TT" w:hAnsi="Old Standard TT"/>
                <w:rtl w:val="0"/>
                <w:sz w:val="16"/>
              </w:rPr>
              <w:t>Train through snap, Gumbel τ = 0.5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0.099–0.118</w:t>
            </w:r>
          </w:p>
        </w:tc>
        <w:tc>
          <w:tcPr>
            <w:tcW w:type="dxa" w:w="1228"/>
          </w:tcPr>
          <w:p>
            <w:pPr>
              <w:spacing w:after="0"/>
            </w:pPr>
            <w:r>
              <w:rPr>
                <w:rFonts w:ascii="Old Standard TT" w:cs="Old Standard TT" w:eastAsia="Old Standard TT" w:hAnsi="Old Standard TT"/>
                <w:rtl w:val="0"/>
                <w:sz w:val="16"/>
              </w:rPr>
              <w:t>0.945–0.972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0.703–0.817</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