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eastAsia="SimHei"/>
          <w:b/>
          <w:bCs/>
          <w:color w:val="0A1628"/>
          <w:sz w:val="56"/>
          <w:szCs w:val="56"/>
        </w:rPr>
        <w:t xml:space="preserve">Repository Analysis Report</w:t>
      </w:r>
    </w:p>
    <w:p>
      <w:pPr>
        <w:spacing w:before="200"/>
        <w:jc w:val="center"/>
      </w:pPr>
      <w:r>
        <w:rPr>
          <w:color w:val="5B8DB8"/>
          <w:sz w:val="28"/>
          <w:szCs w:val="28"/>
        </w:rPr>
        <w:t xml:space="preserve">— Integration Opportunities with RICCO AI —</w:t>
      </w:r>
    </w:p>
    <w:p>
      <w:pPr>
        <w:spacing w:before="1500"/>
      </w:pPr>
    </w:p>
    <w:p>
      <w:pPr>
        <w:jc w:val="center"/>
      </w:pPr>
      <w:r>
        <w:rPr>
          <w:color w:val="6878A0"/>
          <w:sz w:val="24"/>
          <w:szCs w:val="24"/>
        </w:rPr>
        <w:t xml:space="preserve">Comprehensive Analysis of 7 Open Source Projects</w:t>
      </w:r>
    </w:p>
    <w:p>
      <w:pPr>
        <w:spacing w:before="100"/>
        <w:jc w:val="center"/>
      </w:pPr>
      <w:r>
        <w:rPr>
          <w:color w:val="6878A0"/>
          <w:sz w:val="20"/>
          <w:szCs w:val="20"/>
        </w:rPr>
        <w:t xml:space="preserve">Toonflow-app | OntoMind | MyEMS | LiveTalking | Nuwax | Apboa</w:t>
      </w:r>
    </w:p>
    <w:p>
      <w:pPr>
        <w:spacing w:before="3000"/>
      </w:pPr>
    </w:p>
    <w:p>
      <w:pPr>
        <w:jc w:val="center"/>
      </w:pPr>
      <w:r>
        <w:rPr>
          <w:color w:val="6878A0"/>
          <w:sz w:val="20"/>
          <w:szCs w:val="20"/>
        </w:rPr>
        <w:t xml:space="preserve">Date: 2026-06-11</w:t>
      </w:r>
    </w:p>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0A1628"/>
        </w:rPr>
        <w:t xml:space="preserve">Executive Summary</w:t>
      </w:r>
    </w:p>
    <w:p>
      <w:pPr>
        <w:spacing w:line="312"/>
        <w:ind w:firstLine="480"/>
        <w:jc w:val="both"/>
      </w:pPr>
      <w:r>
        <w:rPr>
          <w:color w:val="1A2B40"/>
          <w:sz w:val="24"/>
          <w:szCs w:val="24"/>
        </w:rPr>
        <w:t xml:space="preserve">This report presents a comprehensive analysis of seven open-source repositories cloned from Gitee and GitHub platforms. The primary objective is to identify integration opportunities with RICCO AI, an enterprise-grade AI platform built on FastAPI, Next.js 16, PostgreSQL, Redis, and Qdrant. Each repository was thoroughly examined for its technology stack, architecture patterns, key features, and potential synergies with the RICCO AI ecosystem.</w:t>
      </w:r>
    </w:p>
    <w:p>
      <w:pPr>
        <w:spacing w:line="312"/>
        <w:ind w:firstLine="480"/>
        <w:jc w:val="both"/>
      </w:pPr>
      <w:r>
        <w:rPr>
          <w:color w:val="1A2B40"/>
          <w:sz w:val="24"/>
          <w:szCs w:val="24"/>
        </w:rPr>
        <w:t xml:space="preserve">The analyzed repositories span diverse domains including AI-powered content production, ontology management, energy management systems, digital human technology, and agent platforms. This diversity provides multiple entry points for strategic integration, whether through shared infrastructure components, API-level integration, or architectural pattern adoption.</w:t>
      </w:r>
    </w:p>
    <w:p>
      <w:pPr>
        <w:pStyle w:val="Heading1"/>
        <w:spacing w:after="120" w:before="360"/>
      </w:pPr>
      <w:r>
        <w:rPr>
          <w:rFonts w:ascii="Calibri" w:eastAsia="SimHei"/>
          <w:b/>
          <w:bCs/>
          <w:color w:val="0A1628"/>
        </w:rPr>
        <w:t xml:space="preserve">1. Toonflow-app Analysis</w:t>
      </w:r>
    </w:p>
    <w:p>
      <w:pPr>
        <w:spacing w:after="120" w:before="120"/>
      </w:pPr>
      <w:r>
        <w:rPr>
          <w:b/>
          <w:bCs/>
          <w:sz w:val="24"/>
          <w:szCs w:val="24"/>
        </w:rPr>
        <w:t xml:space="preserve">Repository: </w:t>
      </w:r>
      <w:r>
        <w:rPr>
          <w:color w:val="5B8DB8"/>
          <w:sz w:val="24"/>
          <w:szCs w:val="24"/>
        </w:rPr>
        <w:t xml:space="preserve">https://gitee.com/HBAI-Ltd/Toonflow-app</w:t>
      </w:r>
    </w:p>
    <w:p>
      <w:pPr>
        <w:pStyle w:val="Heading2"/>
        <w:spacing w:after="120" w:before="240"/>
      </w:pPr>
      <w:r>
        <w:rPr>
          <w:rFonts w:ascii="Calibri" w:eastAsia="SimHei"/>
          <w:b/>
          <w:bCs/>
          <w:color w:val="0A1628"/>
        </w:rPr>
        <w:t xml:space="preserve">Technology Stack</w:t>
      </w:r>
    </w:p>
    <w:p>
      <w:pPr>
        <w:spacing w:line="312"/>
        <w:ind w:firstLine="480"/>
        <w:jc w:val="both"/>
      </w:pPr>
      <w:r>
        <w:rPr>
          <w:color w:val="1A2B40"/>
          <w:sz w:val="24"/>
          <w:szCs w:val="24"/>
        </w:rPr>
        <w:t xml:space="preserve">Toonflow-app is an AI-powered short drama and comic production workbench built on a modern Node.js stack. The application uses Node.js 23.11.1+ with TypeScript 5.x, Express 5.x for the backend server, and SQLite with Knex.js ORM for data persistence. The desktop interface is powered by Electron 40, while real-time communication leverages Socket.IO 4.x. The AI integration layer uses the Vercel AI SDK 6.x with support for multiple providers including Anthropic, OpenAI, DeepSeek, Google Gemini, xAI, Zhipu, Qwen, and MiniMax.</w:t>
      </w:r>
    </w:p>
    <w:p>
      <w:pPr>
        <w:pStyle w:val="Heading2"/>
        <w:spacing w:after="120" w:before="240"/>
      </w:pPr>
      <w:r>
        <w:rPr>
          <w:rFonts w:ascii="Calibri" w:eastAsia="SimHei"/>
          <w:b/>
          <w:bCs/>
          <w:color w:val="0A1628"/>
        </w:rPr>
        <w:t xml:space="preserve">Core Architecture</w:t>
      </w:r>
    </w:p>
    <w:p>
      <w:pPr>
        <w:spacing w:line="312"/>
        <w:ind w:firstLine="480"/>
        <w:jc w:val="both"/>
      </w:pPr>
      <w:r>
        <w:rPr>
          <w:color w:val="1A2B40"/>
          <w:sz w:val="24"/>
          <w:szCs w:val="24"/>
        </w:rPr>
        <w:t xml:space="preserve">The application implements a sophisticated three-layer agent architecture that separates concerns between decision-making, execution, and supervision. The Decision Layer handles user intent understanding, task decomposition, workflow orchestration, and quality gate management. The Execution Layer manages story skeleton creation, adaptation strategies, script writing, and asset generation. The Supervision Layer provides quality auditing, output review, and error detection capabilities.</w:t>
      </w:r>
    </w:p>
    <w:p>
      <w:pPr>
        <w:pStyle w:val="Heading2"/>
        <w:spacing w:after="120" w:before="240"/>
      </w:pPr>
      <w:r>
        <w:rPr>
          <w:rFonts w:ascii="Calibri" w:eastAsia="SimHei"/>
          <w:b/>
          <w:bCs/>
          <w:color w:val="0A1628"/>
        </w:rPr>
        <w:t xml:space="preserve">Integration Opportunities</w:t>
      </w:r>
    </w:p>
    <w:p>
      <w:pPr>
        <w:spacing w:line="312"/>
        <w:ind w:left="480"/>
      </w:pPr>
      <w:r>
        <w:rPr>
          <w:color w:val="5B8DB8"/>
          <w:sz w:val="24"/>
          <w:szCs w:val="24"/>
        </w:rPr>
        <w:t xml:space="preserve">• </w:t>
      </w:r>
      <w:r>
        <w:rPr>
          <w:color w:val="1A2B40"/>
          <w:sz w:val="24"/>
          <w:szCs w:val="24"/>
        </w:rPr>
        <w:t xml:space="preserve">Vector Memory Enhancement: Replace local ONNX embeddings with Qdrant for scalable vector search and persistent agent memory</w:t>
      </w:r>
    </w:p>
    <w:p>
      <w:pPr>
        <w:spacing w:line="312"/>
        <w:ind w:left="480"/>
      </w:pPr>
      <w:r>
        <w:rPr>
          <w:color w:val="5B8DB8"/>
          <w:sz w:val="24"/>
          <w:szCs w:val="24"/>
        </w:rPr>
        <w:t xml:space="preserve">• </w:t>
      </w:r>
      <w:r>
        <w:rPr>
          <w:color w:val="1A2B40"/>
          <w:sz w:val="24"/>
          <w:szCs w:val="24"/>
        </w:rPr>
        <w:t xml:space="preserve">Session Management: Implement Redis-backed Socket.IO adapter for distributed session state management</w:t>
      </w:r>
    </w:p>
    <w:p>
      <w:pPr>
        <w:spacing w:line="312"/>
        <w:ind w:left="480"/>
      </w:pPr>
      <w:r>
        <w:rPr>
          <w:color w:val="5B8DB8"/>
          <w:sz w:val="24"/>
          <w:szCs w:val="24"/>
        </w:rPr>
        <w:t xml:space="preserve">• </w:t>
      </w:r>
      <w:r>
        <w:rPr>
          <w:color w:val="1A2B40"/>
          <w:sz w:val="24"/>
          <w:szCs w:val="24"/>
        </w:rPr>
        <w:t xml:space="preserve">Database Migration: Leverage Knex.js compatibility to migrate from SQLite to PostgreSQL for production scalability</w:t>
      </w:r>
    </w:p>
    <w:p>
      <w:pPr>
        <w:spacing w:line="312"/>
        <w:ind w:left="480"/>
      </w:pPr>
      <w:r>
        <w:rPr>
          <w:color w:val="5B8DB8"/>
          <w:sz w:val="24"/>
          <w:szCs w:val="24"/>
        </w:rPr>
        <w:t xml:space="preserve">• </w:t>
      </w:r>
      <w:r>
        <w:rPr>
          <w:color w:val="1A2B40"/>
          <w:sz w:val="24"/>
          <w:szCs w:val="24"/>
        </w:rPr>
        <w:t xml:space="preserve">API Gateway Integration: Deploy alongside RICCO AI with shared authentication and unified API routing</w:t>
      </w:r>
    </w:p>
    <w:p>
      <w:pPr>
        <w:pStyle w:val="Heading1"/>
        <w:spacing w:after="120" w:before="360"/>
      </w:pPr>
      <w:r>
        <w:rPr>
          <w:rFonts w:ascii="Calibri" w:eastAsia="SimHei"/>
          <w:b/>
          <w:bCs/>
          <w:color w:val="0A1628"/>
        </w:rPr>
        <w:t xml:space="preserve">2. OntoMind Analysis</w:t>
      </w:r>
    </w:p>
    <w:p>
      <w:pPr>
        <w:spacing w:after="120" w:before="120"/>
      </w:pPr>
      <w:r>
        <w:rPr>
          <w:b/>
          <w:bCs/>
          <w:sz w:val="24"/>
          <w:szCs w:val="24"/>
        </w:rPr>
        <w:t xml:space="preserve">Repository: </w:t>
      </w:r>
      <w:r>
        <w:rPr>
          <w:color w:val="5B8DB8"/>
          <w:sz w:val="24"/>
          <w:szCs w:val="24"/>
        </w:rPr>
        <w:t xml:space="preserve">https://gitee.com/wuyuancunmin/onto-mind</w:t>
      </w:r>
    </w:p>
    <w:p>
      <w:pPr>
        <w:pStyle w:val="Heading2"/>
        <w:spacing w:after="120" w:before="240"/>
      </w:pPr>
      <w:r>
        <w:rPr>
          <w:rFonts w:ascii="Calibri" w:eastAsia="SimHei"/>
          <w:b/>
          <w:bCs/>
          <w:color w:val="0A1628"/>
        </w:rPr>
        <w:t xml:space="preserve">Technology Stack</w:t>
      </w:r>
    </w:p>
    <w:p>
      <w:pPr>
        <w:spacing w:line="312"/>
        <w:ind w:firstLine="480"/>
        <w:jc w:val="both"/>
      </w:pPr>
      <w:r>
        <w:rPr>
          <w:color w:val="1A2B40"/>
          <w:sz w:val="24"/>
          <w:szCs w:val="24"/>
        </w:rPr>
        <w:t xml:space="preserve">OntoMind is an intelligent ontology management platform combining traditional semantic web technologies with modern LLM capabilities. The stack includes TypeScript/React 18 with Vite and Ant Design 5.x for the frontend, Java 17 with Spring Boot 3.2 for the backend server, Python 3.11 with FastAPI and LangGraph for agent services, and Rust with gRPC for the high-performance OxiRS rule inference engine. The knowledge store uses Apache Jena 4.10 with TDB2 and Fuseki for RDF triple storage and SPARQL querying.</w:t>
      </w:r>
    </w:p>
    <w:p>
      <w:pPr>
        <w:pStyle w:val="Heading2"/>
        <w:spacing w:after="120" w:before="240"/>
      </w:pPr>
      <w:r>
        <w:rPr>
          <w:rFonts w:ascii="Calibri" w:eastAsia="SimHei"/>
          <w:b/>
          <w:bCs/>
          <w:color w:val="0A1628"/>
        </w:rPr>
        <w:t xml:space="preserve">Core Architecture</w:t>
      </w:r>
    </w:p>
    <w:p>
      <w:pPr>
        <w:spacing w:line="312"/>
        <w:ind w:firstLine="480"/>
        <w:jc w:val="both"/>
      </w:pPr>
      <w:r>
        <w:rPr>
          <w:color w:val="1A2B40"/>
          <w:sz w:val="24"/>
          <w:szCs w:val="24"/>
        </w:rPr>
        <w:t xml:space="preserve">The platform implements a sophisticated multi-service architecture with distinct responsibilities. The ontomind-server handles core business logic including ontology CRUD operations, reasoning, and instantiation with MCP Server capabilities. The ontomind-agent service provides LLM-driven ontology construction following a 4-stage pipeline: Init Discovery, Plan Blueprint, Execute Creation, and Verify Validation. The ontomind-multimodal service handles multi-modal knowledge QA with intent classification and progressive SPARQL query strategies.</w:t>
      </w:r>
    </w:p>
    <w:p>
      <w:pPr>
        <w:pStyle w:val="Heading2"/>
        <w:spacing w:after="120" w:before="240"/>
      </w:pPr>
      <w:r>
        <w:rPr>
          <w:rFonts w:ascii="Calibri" w:eastAsia="SimHei"/>
          <w:b/>
          <w:bCs/>
          <w:color w:val="0A1628"/>
        </w:rPr>
        <w:t xml:space="preserve">Integration Opportunities</w:t>
      </w:r>
    </w:p>
    <w:p>
      <w:pPr>
        <w:spacing w:line="312"/>
        <w:ind w:left="480"/>
      </w:pPr>
      <w:r>
        <w:rPr>
          <w:color w:val="5B8DB8"/>
          <w:sz w:val="24"/>
          <w:szCs w:val="24"/>
        </w:rPr>
        <w:t xml:space="preserve">• </w:t>
      </w:r>
      <w:r>
        <w:rPr>
          <w:color w:val="1A2B40"/>
          <w:sz w:val="24"/>
          <w:szCs w:val="24"/>
        </w:rPr>
        <w:t xml:space="preserve">Hybrid RAG Implementation: Combine OntoMind's graph-based retrieval with Qdrant's semantic search for enhanced accuracy</w:t>
      </w:r>
    </w:p>
    <w:p>
      <w:pPr>
        <w:spacing w:line="312"/>
        <w:ind w:left="480"/>
      </w:pPr>
      <w:r>
        <w:rPr>
          <w:color w:val="5B8DB8"/>
          <w:sz w:val="24"/>
          <w:szCs w:val="24"/>
        </w:rPr>
        <w:t xml:space="preserve">• </w:t>
      </w:r>
      <w:r>
        <w:rPr>
          <w:color w:val="1A2B40"/>
          <w:sz w:val="24"/>
          <w:szCs w:val="24"/>
        </w:rPr>
        <w:t xml:space="preserve">MCP Protocol Integration: Register OntoMind's 9 MCP tools directly in RICCO AI's agent framework</w:t>
      </w:r>
    </w:p>
    <w:p>
      <w:pPr>
        <w:spacing w:line="312"/>
        <w:ind w:left="480"/>
      </w:pPr>
      <w:r>
        <w:rPr>
          <w:color w:val="5B8DB8"/>
          <w:sz w:val="24"/>
          <w:szCs w:val="24"/>
        </w:rPr>
        <w:t xml:space="preserve">• </w:t>
      </w:r>
      <w:r>
        <w:rPr>
          <w:color w:val="1A2B40"/>
          <w:sz w:val="24"/>
          <w:szCs w:val="24"/>
        </w:rPr>
        <w:t xml:space="preserve">Knowledge Graph Construction: Use OntoMind's Build Agent to construct domain ontologies from RICCO's document corpus</w:t>
      </w:r>
    </w:p>
    <w:p>
      <w:pPr>
        <w:spacing w:line="312"/>
        <w:ind w:left="480"/>
      </w:pPr>
      <w:r>
        <w:rPr>
          <w:color w:val="5B8DB8"/>
          <w:sz w:val="24"/>
          <w:szCs w:val="24"/>
        </w:rPr>
        <w:t xml:space="preserve">• </w:t>
      </w:r>
      <w:r>
        <w:rPr>
          <w:color w:val="1A2B40"/>
          <w:sz w:val="24"/>
          <w:szCs w:val="24"/>
        </w:rPr>
        <w:t xml:space="preserve">KBQA Enhancement: Integrate 5-intent classification system for structured knowledge base querying</w:t>
      </w:r>
    </w:p>
    <w:p>
      <w:pPr>
        <w:pStyle w:val="Heading1"/>
        <w:spacing w:after="120" w:before="360"/>
      </w:pPr>
      <w:r>
        <w:rPr>
          <w:rFonts w:ascii="Calibri" w:eastAsia="SimHei"/>
          <w:b/>
          <w:bCs/>
          <w:color w:val="0A1628"/>
        </w:rPr>
        <w:t xml:space="preserve">3. MyEMS Analysis</w:t>
      </w:r>
    </w:p>
    <w:p>
      <w:pPr>
        <w:spacing w:after="120" w:before="120"/>
      </w:pPr>
      <w:r>
        <w:rPr>
          <w:b/>
          <w:bCs/>
          <w:sz w:val="24"/>
          <w:szCs w:val="24"/>
        </w:rPr>
        <w:t xml:space="preserve">Repository: </w:t>
      </w:r>
      <w:r>
        <w:rPr>
          <w:color w:val="5B8DB8"/>
          <w:sz w:val="24"/>
          <w:szCs w:val="24"/>
        </w:rPr>
        <w:t xml:space="preserve">https://gitee.com/myems/myems</w:t>
      </w:r>
    </w:p>
    <w:p>
      <w:pPr>
        <w:pStyle w:val="Heading2"/>
        <w:spacing w:after="120" w:before="240"/>
      </w:pPr>
      <w:r>
        <w:rPr>
          <w:rFonts w:ascii="Calibri" w:eastAsia="SimHei"/>
          <w:b/>
          <w:bCs/>
          <w:color w:val="0A1628"/>
        </w:rPr>
        <w:t xml:space="preserve">Technology Stack</w:t>
      </w:r>
    </w:p>
    <w:p>
      <w:pPr>
        <w:spacing w:line="312"/>
        <w:ind w:firstLine="480"/>
        <w:jc w:val="both"/>
      </w:pPr>
      <w:r>
        <w:rPr>
          <w:color w:val="1A2B40"/>
          <w:sz w:val="24"/>
          <w:szCs w:val="24"/>
        </w:rPr>
        <w:t xml:space="preserve">MyEMS is an industry-leading open-source energy management system built on Python microservices architecture. The backend uses Falcon 4.2.0 as the lightweight REST framework with MySQL for multi-database persistence across 13 separate databases. The web frontend is built with React 16.13.1, Bootstrap 4.5.3, and ECharts 5.2.2, while the admin interface uses AngularJS 1.x. The system supports optional Redis caching and MQTT messaging for IoT data acquisition.</w:t>
      </w:r>
    </w:p>
    <w:p>
      <w:pPr>
        <w:pStyle w:val="Heading2"/>
        <w:spacing w:after="120" w:before="240"/>
      </w:pPr>
      <w:r>
        <w:rPr>
          <w:rFonts w:ascii="Calibri" w:eastAsia="SimHei"/>
          <w:b/>
          <w:bCs/>
          <w:color w:val="0A1628"/>
        </w:rPr>
        <w:t xml:space="preserve">Core Architecture</w:t>
      </w:r>
    </w:p>
    <w:p>
      <w:pPr>
        <w:spacing w:line="312"/>
        <w:ind w:firstLine="480"/>
        <w:jc w:val="both"/>
      </w:pPr>
      <w:r>
        <w:rPr>
          <w:color w:val="1A2B40"/>
          <w:sz w:val="24"/>
          <w:szCs w:val="24"/>
        </w:rPr>
        <w:t xml:space="preserve">The microservices architecture comprises seven distinct services: myems-api provides the RESTful API layer with 50+ core modules and 100+ report endpoints; myems-normalization handles meter and virtual meter calculations; myems-cleaning manages data quality processing; myems-aggregation computes billing and carbon metrics; and myems-modbus-tcp provides industrial data acquisition capabilities. The database layer uses 13 separate MySQL databases for data isolation and scalability.</w:t>
      </w:r>
    </w:p>
    <w:p>
      <w:pPr>
        <w:pStyle w:val="Heading2"/>
        <w:spacing w:after="120" w:before="240"/>
      </w:pPr>
      <w:r>
        <w:rPr>
          <w:rFonts w:ascii="Calibri" w:eastAsia="SimHei"/>
          <w:b/>
          <w:bCs/>
          <w:color w:val="0A1628"/>
        </w:rPr>
        <w:t xml:space="preserve">Integration Opportunities</w:t>
      </w:r>
    </w:p>
    <w:p>
      <w:pPr>
        <w:spacing w:line="312"/>
        <w:ind w:left="480"/>
      </w:pPr>
      <w:r>
        <w:rPr>
          <w:color w:val="5B8DB8"/>
          <w:sz w:val="24"/>
          <w:szCs w:val="24"/>
        </w:rPr>
        <w:t xml:space="preserve">• </w:t>
      </w:r>
      <w:r>
        <w:rPr>
          <w:color w:val="1A2B40"/>
          <w:sz w:val="24"/>
          <w:szCs w:val="24"/>
        </w:rPr>
        <w:t xml:space="preserve">Energy Data AI Analytics: Ingest MyEMS energy consumption data into Qdrant for AI-powered optimization insights</w:t>
      </w:r>
    </w:p>
    <w:p>
      <w:pPr>
        <w:spacing w:line="312"/>
        <w:ind w:left="480"/>
      </w:pPr>
      <w:r>
        <w:rPr>
          <w:color w:val="5B8DB8"/>
          <w:sz w:val="24"/>
          <w:szCs w:val="24"/>
        </w:rPr>
        <w:t xml:space="preserve">• </w:t>
      </w:r>
      <w:r>
        <w:rPr>
          <w:color w:val="1A2B40"/>
          <w:sz w:val="24"/>
          <w:szCs w:val="24"/>
        </w:rPr>
        <w:t xml:space="preserve">Carbon Reporting Enhancement: Leverage MyEMS's carbon calculation engine for sustainability reporting features</w:t>
      </w:r>
    </w:p>
    <w:p>
      <w:pPr>
        <w:spacing w:line="312"/>
        <w:ind w:left="480"/>
      </w:pPr>
      <w:r>
        <w:rPr>
          <w:color w:val="5B8DB8"/>
          <w:sz w:val="24"/>
          <w:szCs w:val="24"/>
        </w:rPr>
        <w:t xml:space="preserve">• </w:t>
      </w:r>
      <w:r>
        <w:rPr>
          <w:color w:val="1A2B40"/>
          <w:sz w:val="24"/>
          <w:szCs w:val="24"/>
        </w:rPr>
        <w:t xml:space="preserve">Dashboard Integration: Embed MyEMS ECharts visualizations in Next.js dashboards via iframe or API consumption</w:t>
      </w:r>
    </w:p>
    <w:p>
      <w:pPr>
        <w:spacing w:line="312"/>
        <w:ind w:left="480"/>
      </w:pPr>
      <w:r>
        <w:rPr>
          <w:color w:val="5B8DB8"/>
          <w:sz w:val="24"/>
          <w:szCs w:val="24"/>
        </w:rPr>
        <w:t xml:space="preserve">• </w:t>
      </w:r>
      <w:r>
        <w:rPr>
          <w:color w:val="1A2B40"/>
          <w:sz w:val="24"/>
          <w:szCs w:val="24"/>
        </w:rPr>
        <w:t xml:space="preserve">Predictive Maintenance: Apply vector similarity search on equipment telemetry for anomaly detection</w:t>
      </w:r>
    </w:p>
    <w:p>
      <w:pPr>
        <w:pStyle w:val="Heading1"/>
        <w:spacing w:after="120" w:before="360"/>
      </w:pPr>
      <w:r>
        <w:rPr>
          <w:rFonts w:ascii="Calibri" w:eastAsia="SimHei"/>
          <w:b/>
          <w:bCs/>
          <w:color w:val="0A1628"/>
        </w:rPr>
        <w:t xml:space="preserve">4. LiveTalking Analysis</w:t>
      </w:r>
    </w:p>
    <w:p>
      <w:pPr>
        <w:spacing w:after="120" w:before="120"/>
      </w:pPr>
      <w:r>
        <w:rPr>
          <w:b/>
          <w:bCs/>
          <w:sz w:val="24"/>
          <w:szCs w:val="24"/>
        </w:rPr>
        <w:t xml:space="preserve">Repository: </w:t>
      </w:r>
      <w:r>
        <w:rPr>
          <w:color w:val="5B8DB8"/>
          <w:sz w:val="24"/>
          <w:szCs w:val="24"/>
        </w:rPr>
        <w:t xml:space="preserve">https://gitee.com/lipku/LiveTalking</w:t>
      </w:r>
    </w:p>
    <w:p>
      <w:pPr>
        <w:pStyle w:val="Heading2"/>
        <w:spacing w:after="120" w:before="240"/>
      </w:pPr>
      <w:r>
        <w:rPr>
          <w:rFonts w:ascii="Calibri" w:eastAsia="SimHei"/>
          <w:b/>
          <w:bCs/>
          <w:color w:val="0A1628"/>
        </w:rPr>
        <w:t xml:space="preserve">Technology Stack</w:t>
      </w:r>
    </w:p>
    <w:p>
      <w:pPr>
        <w:spacing w:line="312"/>
        <w:ind w:firstLine="480"/>
        <w:jc w:val="both"/>
      </w:pPr>
      <w:r>
        <w:rPr>
          <w:color w:val="1A2B40"/>
          <w:sz w:val="24"/>
          <w:szCs w:val="24"/>
        </w:rPr>
        <w:t xml:space="preserve">LiveTalking is a real-time interactive streaming digital human engine built primarily with Python 3.10+. The web server uses aiohttp for async HTTP handling and aiortc for WebRTC implementation. The deep learning stack includes PyTorch with CUDA support, Transformers from Hugging Face, and diffusion models via the diffusers library. Audio processing leverages librosa, soundfile, and edge-tts for Microsoft Edge TTS synthesis.</w:t>
      </w:r>
    </w:p>
    <w:p>
      <w:pPr>
        <w:pStyle w:val="Heading2"/>
        <w:spacing w:after="120" w:before="240"/>
      </w:pPr>
      <w:r>
        <w:rPr>
          <w:rFonts w:ascii="Calibri" w:eastAsia="SimHei"/>
          <w:b/>
          <w:bCs/>
          <w:color w:val="0A1628"/>
        </w:rPr>
        <w:t xml:space="preserve">Core Architecture</w:t>
      </w:r>
    </w:p>
    <w:p>
      <w:pPr>
        <w:spacing w:line="312"/>
        <w:ind w:firstLine="480"/>
        <w:jc w:val="both"/>
      </w:pPr>
      <w:r>
        <w:rPr>
          <w:color w:val="1A2B40"/>
          <w:sz w:val="24"/>
          <w:szCs w:val="24"/>
        </w:rPr>
        <w:t xml:space="preserve">The engine implements a plugin-based architecture with a registry pattern for extensibility. Multiple avatar models are supported including Wav2Lip for Mel-based lip-sync, MuseTalk for Whisper-conditioned generation, and Ultralight-DH for lightweight deployment. The output layer supports WebRTC streaming, RTMP push, and virtual camera output. A session manager singleton handles user sessions with real-time interruption support.</w:t>
      </w:r>
    </w:p>
    <w:p>
      <w:pPr>
        <w:pStyle w:val="Heading2"/>
        <w:spacing w:after="120" w:before="240"/>
      </w:pPr>
      <w:r>
        <w:rPr>
          <w:rFonts w:ascii="Calibri" w:eastAsia="SimHei"/>
          <w:b/>
          <w:bCs/>
          <w:color w:val="0A1628"/>
        </w:rPr>
        <w:t xml:space="preserve">Integration Opportunities</w:t>
      </w:r>
    </w:p>
    <w:p>
      <w:pPr>
        <w:spacing w:line="312"/>
        <w:ind w:left="480"/>
      </w:pPr>
      <w:r>
        <w:rPr>
          <w:color w:val="5B8DB8"/>
          <w:sz w:val="24"/>
          <w:szCs w:val="24"/>
        </w:rPr>
        <w:t xml:space="preserve">• </w:t>
      </w:r>
      <w:r>
        <w:rPr>
          <w:color w:val="1A2B40"/>
          <w:sz w:val="24"/>
          <w:szCs w:val="24"/>
        </w:rPr>
        <w:t xml:space="preserve">Digital Human API: Expose LiveTalking's avatar generation as FastAPI endpoints with async task queuing</w:t>
      </w:r>
    </w:p>
    <w:p>
      <w:pPr>
        <w:spacing w:line="312"/>
        <w:ind w:left="480"/>
      </w:pPr>
      <w:r>
        <w:rPr>
          <w:color w:val="5B8DB8"/>
          <w:sz w:val="24"/>
          <w:szCs w:val="24"/>
        </w:rPr>
        <w:t xml:space="preserve">• </w:t>
      </w:r>
      <w:r>
        <w:rPr>
          <w:color w:val="1A2B40"/>
          <w:sz w:val="24"/>
          <w:szCs w:val="24"/>
        </w:rPr>
        <w:t xml:space="preserve">Redis Session Bridge: Map RICCO user sessions to LiveTalking session IDs for unified authentication</w:t>
      </w:r>
    </w:p>
    <w:p>
      <w:pPr>
        <w:spacing w:line="312"/>
        <w:ind w:left="480"/>
      </w:pPr>
      <w:r>
        <w:rPr>
          <w:color w:val="5B8DB8"/>
          <w:sz w:val="24"/>
          <w:szCs w:val="24"/>
        </w:rPr>
        <w:t xml:space="preserve">• </w:t>
      </w:r>
      <w:r>
        <w:rPr>
          <w:color w:val="1A2B40"/>
          <w:sz w:val="24"/>
          <w:szCs w:val="24"/>
        </w:rPr>
        <w:t xml:space="preserve">PostgreSQL Avatar Management: Store avatar configurations, voice profiles, and generation history</w:t>
      </w:r>
    </w:p>
    <w:p>
      <w:pPr>
        <w:spacing w:line="312"/>
        <w:ind w:left="480"/>
      </w:pPr>
      <w:r>
        <w:rPr>
          <w:color w:val="5B8DB8"/>
          <w:sz w:val="24"/>
          <w:szCs w:val="24"/>
        </w:rPr>
        <w:t xml:space="preserve">• </w:t>
      </w:r>
      <w:r>
        <w:rPr>
          <w:color w:val="1A2B40"/>
          <w:sz w:val="24"/>
          <w:szCs w:val="24"/>
        </w:rPr>
        <w:t xml:space="preserve">WebSocket Event Streaming: Integrate real-time avatar status updates with RICCO's notification system</w:t>
      </w:r>
    </w:p>
    <w:p>
      <w:pPr>
        <w:pStyle w:val="Heading1"/>
        <w:spacing w:after="120" w:before="360"/>
      </w:pPr>
      <w:r>
        <w:rPr>
          <w:rFonts w:ascii="Calibri" w:eastAsia="SimHei"/>
          <w:b/>
          <w:bCs/>
          <w:color w:val="0A1628"/>
        </w:rPr>
        <w:t xml:space="preserve">5. Nuwax Analysis</w:t>
      </w:r>
    </w:p>
    <w:p>
      <w:pPr>
        <w:spacing w:after="120" w:before="120"/>
      </w:pPr>
      <w:r>
        <w:rPr>
          <w:b/>
          <w:bCs/>
          <w:sz w:val="24"/>
          <w:szCs w:val="24"/>
        </w:rPr>
        <w:t xml:space="preserve">Repository: </w:t>
      </w:r>
      <w:r>
        <w:rPr>
          <w:color w:val="5B8DB8"/>
          <w:sz w:val="24"/>
          <w:szCs w:val="24"/>
        </w:rPr>
        <w:t xml:space="preserve">https://gitee.com/nuwax/nuwax</w:t>
      </w:r>
    </w:p>
    <w:p>
      <w:pPr>
        <w:pStyle w:val="Heading2"/>
        <w:spacing w:after="120" w:before="240"/>
      </w:pPr>
      <w:r>
        <w:rPr>
          <w:rFonts w:ascii="Calibri" w:eastAsia="SimHei"/>
          <w:b/>
          <w:bCs/>
          <w:color w:val="0A1628"/>
        </w:rPr>
        <w:t xml:space="preserve">Technology Stack</w:t>
      </w:r>
    </w:p>
    <w:p>
      <w:pPr>
        <w:spacing w:line="312"/>
        <w:ind w:firstLine="480"/>
        <w:jc w:val="both"/>
      </w:pPr>
      <w:r>
        <w:rPr>
          <w:color w:val="1A2B40"/>
          <w:sz w:val="24"/>
          <w:szCs w:val="24"/>
        </w:rPr>
        <w:t xml:space="preserve">Nuwax is a comprehensive AI Agent Platform frontend built on React 18.3.1 with TypeScript 5.0. The meta-framework is UmiJS 4.x with Ant Design 5.4.0 and Pro Components for the UI layer. State management combines Zustand 5.0 with Umi's built-in model system. Visual workflow editing uses AntV X6 2.18 and AntV G6 4.8, while Monaco Editor 0.53 provides the code editing experience.</w:t>
      </w:r>
    </w:p>
    <w:p>
      <w:pPr>
        <w:pStyle w:val="Heading2"/>
        <w:spacing w:after="120" w:before="240"/>
      </w:pPr>
      <w:r>
        <w:rPr>
          <w:rFonts w:ascii="Calibri" w:eastAsia="SimHei"/>
          <w:b/>
          <w:bCs/>
          <w:color w:val="0A1628"/>
        </w:rPr>
        <w:t xml:space="preserve">Core Architecture</w:t>
      </w:r>
    </w:p>
    <w:p>
      <w:pPr>
        <w:spacing w:line="312"/>
        <w:ind w:firstLine="480"/>
        <w:jc w:val="both"/>
      </w:pPr>
      <w:r>
        <w:rPr>
          <w:color w:val="1A2B40"/>
          <w:sz w:val="24"/>
          <w:szCs w:val="24"/>
        </w:rPr>
        <w:t xml:space="preserve">The application follows a feature-based organization with distinct domains: AppDev for AI-powered web IDE development, Antv-X6 for workflow visual building, EditAgent for agent configuration, and Space modules for workspace management. Real-time AI communication is handled via Server-Sent Events (SSE) with streaming responses. The internationalization system supports 5 languages with runtime switching.</w:t>
      </w:r>
    </w:p>
    <w:p>
      <w:pPr>
        <w:pStyle w:val="Heading2"/>
        <w:spacing w:after="120" w:before="240"/>
      </w:pPr>
      <w:r>
        <w:rPr>
          <w:rFonts w:ascii="Calibri" w:eastAsia="SimHei"/>
          <w:b/>
          <w:bCs/>
          <w:color w:val="0A1628"/>
        </w:rPr>
        <w:t xml:space="preserve">Integration Opportunities</w:t>
      </w:r>
    </w:p>
    <w:p>
      <w:pPr>
        <w:spacing w:line="312"/>
        <w:ind w:left="480"/>
      </w:pPr>
      <w:r>
        <w:rPr>
          <w:color w:val="5B8DB8"/>
          <w:sz w:val="24"/>
          <w:szCs w:val="24"/>
        </w:rPr>
        <w:t xml:space="preserve">• </w:t>
      </w:r>
      <w:r>
        <w:rPr>
          <w:color w:val="1A2B40"/>
          <w:sz w:val="24"/>
          <w:szCs w:val="24"/>
        </w:rPr>
        <w:t xml:space="preserve">Workflow Builder Migration: Extract AntV X6 workflow editor as a standalone Next.js module</w:t>
      </w:r>
    </w:p>
    <w:p>
      <w:pPr>
        <w:spacing w:line="312"/>
        <w:ind w:left="480"/>
      </w:pPr>
      <w:r>
        <w:rPr>
          <w:color w:val="5B8DB8"/>
          <w:sz w:val="24"/>
          <w:szCs w:val="24"/>
        </w:rPr>
        <w:t xml:space="preserve">• </w:t>
      </w:r>
      <w:r>
        <w:rPr>
          <w:color w:val="1A2B40"/>
          <w:sz w:val="24"/>
          <w:szCs w:val="24"/>
        </w:rPr>
        <w:t xml:space="preserve">SSE Chat Integration: Adapt useAppDevChat hook pattern for RICCO's LLM streaming responses</w:t>
      </w:r>
    </w:p>
    <w:p>
      <w:pPr>
        <w:spacing w:line="312"/>
        <w:ind w:left="480"/>
      </w:pPr>
      <w:r>
        <w:rPr>
          <w:color w:val="5B8DB8"/>
          <w:sz w:val="24"/>
          <w:szCs w:val="24"/>
        </w:rPr>
        <w:t xml:space="preserve">• </w:t>
      </w:r>
      <w:r>
        <w:rPr>
          <w:color w:val="1A2B40"/>
          <w:sz w:val="24"/>
          <w:szCs w:val="24"/>
        </w:rPr>
        <w:t xml:space="preserve">MCP Tool UI: Leverage Nuwax's MCP server management interface for tool configuration</w:t>
      </w:r>
    </w:p>
    <w:p>
      <w:pPr>
        <w:spacing w:line="312"/>
        <w:ind w:left="480"/>
      </w:pPr>
      <w:r>
        <w:rPr>
          <w:color w:val="5B8DB8"/>
          <w:sz w:val="24"/>
          <w:szCs w:val="24"/>
        </w:rPr>
        <w:t xml:space="preserve">• </w:t>
      </w:r>
      <w:r>
        <w:rPr>
          <w:color w:val="1A2B40"/>
          <w:sz w:val="24"/>
          <w:szCs w:val="24"/>
        </w:rPr>
        <w:t xml:space="preserve">Component Library: Port business components (ChatView, KnowledgeGraph) to RICCO's frontend</w:t>
      </w:r>
    </w:p>
    <w:p>
      <w:pPr>
        <w:pStyle w:val="Heading1"/>
        <w:spacing w:after="120" w:before="360"/>
      </w:pPr>
      <w:r>
        <w:rPr>
          <w:rFonts w:ascii="Calibri" w:eastAsia="SimHei"/>
          <w:b/>
          <w:bCs/>
          <w:color w:val="0A1628"/>
        </w:rPr>
        <w:t xml:space="preserve">6. Apboa Analysis</w:t>
      </w:r>
    </w:p>
    <w:p>
      <w:pPr>
        <w:spacing w:after="120" w:before="120"/>
      </w:pPr>
      <w:r>
        <w:rPr>
          <w:b/>
          <w:bCs/>
          <w:sz w:val="24"/>
          <w:szCs w:val="24"/>
        </w:rPr>
        <w:t xml:space="preserve">Repository: </w:t>
      </w:r>
      <w:r>
        <w:rPr>
          <w:color w:val="5B8DB8"/>
          <w:sz w:val="24"/>
          <w:szCs w:val="24"/>
        </w:rPr>
        <w:t xml:space="preserve">https://gitee.com/studioustiger/apboa</w:t>
      </w:r>
    </w:p>
    <w:p>
      <w:pPr>
        <w:pStyle w:val="Heading2"/>
        <w:spacing w:after="120" w:before="240"/>
      </w:pPr>
      <w:r>
        <w:rPr>
          <w:rFonts w:ascii="Calibri" w:eastAsia="SimHei"/>
          <w:b/>
          <w:bCs/>
          <w:color w:val="0A1628"/>
        </w:rPr>
        <w:t xml:space="preserve">Technology Stack</w:t>
      </w:r>
    </w:p>
    <w:p>
      <w:pPr>
        <w:spacing w:line="312"/>
        <w:ind w:firstLine="480"/>
        <w:jc w:val="both"/>
      </w:pPr>
      <w:r>
        <w:rPr>
          <w:color w:val="1A2B40"/>
          <w:sz w:val="24"/>
          <w:szCs w:val="24"/>
        </w:rPr>
        <w:t xml:space="preserve">Apboa is an enterprise AI agent platform built on Java 21 LTS with Spring Boot 3.4.9 and the AgentScope 1.0.12 AI framework. The frontend uses Vue 3.5 with TypeScript 5.9, Ant Design Vue 4.x, and Vite 7.x. The platform supports multiple vector databases including Qdrant 1.17.0, Milvus 2.6.8, pgvector, Elasticsearch 8.x, and Weaviate 5.3.0. Model providers include OpenAI, Anthropic, Google Gemini, and Alibaba's DashScope.</w:t>
      </w:r>
    </w:p>
    <w:p>
      <w:pPr>
        <w:pStyle w:val="Heading2"/>
        <w:spacing w:after="120" w:before="240"/>
      </w:pPr>
      <w:r>
        <w:rPr>
          <w:rFonts w:ascii="Calibri" w:eastAsia="SimHei"/>
          <w:b/>
          <w:bCs/>
          <w:color w:val="0A1628"/>
        </w:rPr>
        <w:t xml:space="preserve">Core Architecture</w:t>
      </w:r>
    </w:p>
    <w:p>
      <w:pPr>
        <w:spacing w:line="312"/>
        <w:ind w:firstLine="480"/>
        <w:jc w:val="both"/>
      </w:pPr>
      <w:r>
        <w:rPr>
          <w:color w:val="1A2B40"/>
          <w:sz w:val="24"/>
          <w:szCs w:val="24"/>
        </w:rPr>
        <w:t xml:space="preserve">The modular architecture spans 16+ business modules including agent core logic, model management, prompt templates, tool management, MCP integration, skill packages, knowledge bases with RAG, lifecycle hooks, and A2A (Agent-to-Agent) communication. The extensibility layer supports Groovy scripts for dynamic tool/skill loading, while the security module provides script validation for Python, JavaScript, Shell, and HTML.</w:t>
      </w:r>
    </w:p>
    <w:p>
      <w:pPr>
        <w:pStyle w:val="Heading2"/>
        <w:spacing w:after="120" w:before="240"/>
      </w:pPr>
      <w:r>
        <w:rPr>
          <w:rFonts w:ascii="Calibri" w:eastAsia="SimHei"/>
          <w:b/>
          <w:bCs/>
          <w:color w:val="0A1628"/>
        </w:rPr>
        <w:t xml:space="preserve">Integration Opportunities</w:t>
      </w:r>
    </w:p>
    <w:p>
      <w:pPr>
        <w:spacing w:line="312"/>
        <w:ind w:left="480"/>
      </w:pPr>
      <w:r>
        <w:rPr>
          <w:color w:val="5B8DB8"/>
          <w:sz w:val="24"/>
          <w:szCs w:val="24"/>
        </w:rPr>
        <w:t xml:space="preserve">• </w:t>
      </w:r>
      <w:r>
        <w:rPr>
          <w:color w:val="1A2B40"/>
          <w:sz w:val="24"/>
          <w:szCs w:val="24"/>
        </w:rPr>
        <w:t xml:space="preserve">Qdrant Shared Infrastructure: Use Apboa's Qdrant adapter with RICCO's existing vector store configuration</w:t>
      </w:r>
    </w:p>
    <w:p>
      <w:pPr>
        <w:spacing w:line="312"/>
        <w:ind w:left="480"/>
      </w:pPr>
      <w:r>
        <w:rPr>
          <w:color w:val="5B8DB8"/>
          <w:sz w:val="24"/>
          <w:szCs w:val="24"/>
        </w:rPr>
        <w:t xml:space="preserve">• </w:t>
      </w:r>
      <w:r>
        <w:rPr>
          <w:color w:val="1A2B40"/>
          <w:sz w:val="24"/>
          <w:szCs w:val="24"/>
        </w:rPr>
        <w:t xml:space="preserve">A2A Protocol Bridge: Implement Agent-to-Agent communication protocol for cross-platform agent orchestration</w:t>
      </w:r>
    </w:p>
    <w:p>
      <w:pPr>
        <w:spacing w:line="312"/>
        <w:ind w:left="480"/>
      </w:pPr>
      <w:r>
        <w:rPr>
          <w:color w:val="5B8DB8"/>
          <w:sz w:val="24"/>
          <w:szCs w:val="24"/>
        </w:rPr>
        <w:t xml:space="preserve">• </w:t>
      </w:r>
      <w:r>
        <w:rPr>
          <w:color w:val="1A2B40"/>
          <w:sz w:val="24"/>
          <w:szCs w:val="24"/>
        </w:rPr>
        <w:t xml:space="preserve">AGUI Endpoint Wrapper: Create FastAPI proxy for Apboa's AGUI agent endpoints</w:t>
      </w:r>
    </w:p>
    <w:p>
      <w:pPr>
        <w:spacing w:line="312"/>
        <w:ind w:left="480"/>
      </w:pPr>
      <w:r>
        <w:rPr>
          <w:color w:val="5B8DB8"/>
          <w:sz w:val="24"/>
          <w:szCs w:val="24"/>
        </w:rPr>
        <w:t xml:space="preserve">• </w:t>
      </w:r>
      <w:r>
        <w:rPr>
          <w:color w:val="1A2B40"/>
          <w:sz w:val="24"/>
          <w:szCs w:val="24"/>
        </w:rPr>
        <w:t xml:space="preserve">Multi-model Access: Leverage Apboa's unified model interface for additional LLM provider support</w:t>
      </w:r>
    </w:p>
    <w:p>
      <w:pPr>
        <w:pStyle w:val="Heading1"/>
        <w:spacing w:after="120" w:before="360"/>
      </w:pPr>
      <w:r>
        <w:rPr>
          <w:rFonts w:ascii="Calibri" w:eastAsia="SimHei"/>
          <w:b/>
          <w:bCs/>
          <w:color w:val="0A1628"/>
        </w:rPr>
        <w:t xml:space="preserve">7. Consolidated Integration Strategy</w:t>
      </w:r>
    </w:p>
    <w:p>
      <w:pPr>
        <w:pStyle w:val="Heading2"/>
        <w:spacing w:after="120" w:before="240"/>
      </w:pPr>
      <w:r>
        <w:rPr>
          <w:rFonts w:ascii="Calibri" w:eastAsia="SimHei"/>
          <w:b/>
          <w:bCs/>
          <w:color w:val="0A1628"/>
        </w:rPr>
        <w:t xml:space="preserve">Infrastructure Synergies</w:t>
      </w:r>
    </w:p>
    <w:p>
      <w:pPr>
        <w:spacing w:line="312"/>
        <w:ind w:firstLine="480"/>
        <w:jc w:val="both"/>
      </w:pPr>
      <w:r>
        <w:rPr>
          <w:color w:val="1A2B40"/>
          <w:sz w:val="24"/>
          <w:szCs w:val="24"/>
        </w:rPr>
        <w:t xml:space="preserve">Several repositories share infrastructure components that align directly with RICCO AI's stack. Both Apboa and RICCO AI use Qdrant as their primary vector database, enabling immediate infrastructure sharing. OntoMind and MyEMS both support PostgreSQL, allowing for potential database consolidation. Redis is used across Nuwax, MyEMS, and Apboa for caching and session management, presenting opportunities for shared cache layer implementation.</w:t>
      </w:r>
    </w:p>
    <w:p>
      <w:pPr>
        <w:pStyle w:val="Heading2"/>
        <w:spacing w:after="120" w:before="240"/>
      </w:pPr>
      <w:r>
        <w:rPr>
          <w:rFonts w:ascii="Calibri" w:eastAsia="SimHei"/>
          <w:b/>
          <w:bCs/>
          <w:color w:val="0A1628"/>
        </w:rPr>
        <w:t xml:space="preserve">API-Level Integration</w:t>
      </w:r>
    </w:p>
    <w:p>
      <w:pPr>
        <w:spacing w:line="312"/>
        <w:ind w:firstLine="480"/>
        <w:jc w:val="both"/>
      </w:pPr>
      <w:r>
        <w:rPr>
          <w:color w:val="1A2B40"/>
          <w:sz w:val="24"/>
          <w:szCs w:val="24"/>
        </w:rPr>
        <w:t xml:space="preserve">The repositories expose various integration patterns suitable for API-level composition. LiveTalking provides WebRTC and HTTP endpoints for digital human generation. MyEMS offers a comprehensive REST API for energy data access. OntoMind implements the MCP protocol with 9 standard tools for knowledge base operations. These APIs can be unified through an API gateway pattern with shared authentication and rate limiting.</w:t>
      </w:r>
    </w:p>
    <w:p>
      <w:pPr>
        <w:pStyle w:val="Heading2"/>
        <w:spacing w:after="120" w:before="240"/>
      </w:pPr>
      <w:r>
        <w:rPr>
          <w:rFonts w:ascii="Calibri" w:eastAsia="SimHei"/>
          <w:b/>
          <w:bCs/>
          <w:color w:val="0A1628"/>
        </w:rPr>
        <w:t xml:space="preserve">Architectural Patterns</w:t>
      </w:r>
    </w:p>
    <w:p>
      <w:pPr>
        <w:spacing w:line="312"/>
        <w:ind w:firstLine="480"/>
        <w:jc w:val="both"/>
      </w:pPr>
      <w:r>
        <w:rPr>
          <w:color w:val="1A2B40"/>
          <w:sz w:val="24"/>
          <w:szCs w:val="24"/>
        </w:rPr>
        <w:t xml:space="preserve">Valuable architectural patterns identified include: Toonflow's three-layer agent architecture for task decomposition and supervision; OntoMind's Build Agent pipeline with checkpoint-based execution; LiveTalking's plugin registry system for extensibility; and Apboa's Groovy-based dynamic tool loading. These patterns can be adapted and incorporated into RICCO AI's agent framework.</w:t>
      </w:r>
    </w:p>
    <w:p>
      <w:pPr>
        <w:pStyle w:val="Heading1"/>
        <w:spacing w:after="120" w:before="360"/>
      </w:pPr>
      <w:r>
        <w:rPr>
          <w:rFonts w:ascii="Calibri" w:eastAsia="SimHei"/>
          <w:b/>
          <w:bCs/>
          <w:color w:val="0A1628"/>
        </w:rPr>
        <w:t xml:space="preserve">8. Recommended Implementation Roadmap</w:t>
      </w:r>
    </w:p>
    <w:p>
      <w:pPr>
        <w:pStyle w:val="Heading2"/>
        <w:spacing w:after="120" w:before="240"/>
      </w:pPr>
      <w:r>
        <w:rPr>
          <w:rFonts w:ascii="Calibri" w:eastAsia="SimHei"/>
          <w:b/>
          <w:bCs/>
          <w:color w:val="0A1628"/>
        </w:rPr>
        <w:t xml:space="preserve">Phase 1: Infrastructure Consolidation (Weeks 1-4)</w:t>
      </w:r>
    </w:p>
    <w:p>
      <w:pPr>
        <w:spacing w:line="312"/>
        <w:ind w:left="480"/>
      </w:pPr>
      <w:r>
        <w:rPr>
          <w:color w:val="5B8DB8"/>
          <w:sz w:val="24"/>
          <w:szCs w:val="24"/>
        </w:rPr>
        <w:t xml:space="preserve">• </w:t>
      </w:r>
      <w:r>
        <w:rPr>
          <w:color w:val="1A2B40"/>
          <w:sz w:val="24"/>
          <w:szCs w:val="24"/>
        </w:rPr>
        <w:t xml:space="preserve">Deploy shared Qdrant instance with collection namespacing for multi-tenant isolation</w:t>
      </w:r>
    </w:p>
    <w:p>
      <w:pPr>
        <w:spacing w:line="312"/>
        <w:ind w:left="480"/>
      </w:pPr>
      <w:r>
        <w:rPr>
          <w:color w:val="5B8DB8"/>
          <w:sz w:val="24"/>
          <w:szCs w:val="24"/>
        </w:rPr>
        <w:t xml:space="preserve">• </w:t>
      </w:r>
      <w:r>
        <w:rPr>
          <w:color w:val="1A2B40"/>
          <w:sz w:val="24"/>
          <w:szCs w:val="24"/>
        </w:rPr>
        <w:t xml:space="preserve">Configure Redis cluster for session management across services</w:t>
      </w:r>
    </w:p>
    <w:p>
      <w:pPr>
        <w:spacing w:line="312"/>
        <w:ind w:left="480"/>
      </w:pPr>
      <w:r>
        <w:rPr>
          <w:color w:val="5B8DB8"/>
          <w:sz w:val="24"/>
          <w:szCs w:val="24"/>
        </w:rPr>
        <w:t xml:space="preserve">• </w:t>
      </w:r>
      <w:r>
        <w:rPr>
          <w:color w:val="1A2B40"/>
          <w:sz w:val="24"/>
          <w:szCs w:val="24"/>
        </w:rPr>
        <w:t xml:space="preserve">Establish PostgreSQL connection pooling with Flyway migrations for shared schemas</w:t>
      </w:r>
    </w:p>
    <w:p>
      <w:pPr>
        <w:pStyle w:val="Heading2"/>
        <w:spacing w:after="120" w:before="240"/>
      </w:pPr>
      <w:r>
        <w:rPr>
          <w:rFonts w:ascii="Calibri" w:eastAsia="SimHei"/>
          <w:b/>
          <w:bCs/>
          <w:color w:val="0A1628"/>
        </w:rPr>
        <w:t xml:space="preserve">Phase 2: API Integration (Weeks 5-8)</w:t>
      </w:r>
    </w:p>
    <w:p>
      <w:pPr>
        <w:spacing w:line="312"/>
        <w:ind w:left="480"/>
      </w:pPr>
      <w:r>
        <w:rPr>
          <w:color w:val="5B8DB8"/>
          <w:sz w:val="24"/>
          <w:szCs w:val="24"/>
        </w:rPr>
        <w:t xml:space="preserve">• </w:t>
      </w:r>
      <w:r>
        <w:rPr>
          <w:color w:val="1A2B40"/>
          <w:sz w:val="24"/>
          <w:szCs w:val="24"/>
        </w:rPr>
        <w:t xml:space="preserve">Create FastAPI proxy endpoints for LiveTalking digital human services</w:t>
      </w:r>
    </w:p>
    <w:p>
      <w:pPr>
        <w:spacing w:line="312"/>
        <w:ind w:left="480"/>
      </w:pPr>
      <w:r>
        <w:rPr>
          <w:color w:val="5B8DB8"/>
          <w:sz w:val="24"/>
          <w:szCs w:val="24"/>
        </w:rPr>
        <w:t xml:space="preserve">• </w:t>
      </w:r>
      <w:r>
        <w:rPr>
          <w:color w:val="1A2B40"/>
          <w:sz w:val="24"/>
          <w:szCs w:val="24"/>
        </w:rPr>
        <w:t xml:space="preserve">Implement OntoMind MCP tool registration in RICCO's agent framework</w:t>
      </w:r>
    </w:p>
    <w:p>
      <w:pPr>
        <w:spacing w:line="312"/>
        <w:ind w:left="480"/>
      </w:pPr>
      <w:r>
        <w:rPr>
          <w:color w:val="5B8DB8"/>
          <w:sz w:val="24"/>
          <w:szCs w:val="24"/>
        </w:rPr>
        <w:t xml:space="preserve">• </w:t>
      </w:r>
      <w:r>
        <w:rPr>
          <w:color w:val="1A2B40"/>
          <w:sz w:val="24"/>
          <w:szCs w:val="24"/>
        </w:rPr>
        <w:t xml:space="preserve">Build MyEMS data connector for energy analytics ingestion</w:t>
      </w:r>
    </w:p>
    <w:p>
      <w:pPr>
        <w:pStyle w:val="Heading2"/>
        <w:spacing w:after="120" w:before="240"/>
      </w:pPr>
      <w:r>
        <w:rPr>
          <w:rFonts w:ascii="Calibri" w:eastAsia="SimHei"/>
          <w:b/>
          <w:bCs/>
          <w:color w:val="0A1628"/>
        </w:rPr>
        <w:t xml:space="preserve">Phase 3: Component Migration (Weeks 9-12)</w:t>
      </w:r>
    </w:p>
    <w:p>
      <w:pPr>
        <w:spacing w:line="312"/>
        <w:ind w:left="480"/>
      </w:pPr>
      <w:r>
        <w:rPr>
          <w:color w:val="5B8DB8"/>
          <w:sz w:val="24"/>
          <w:szCs w:val="24"/>
        </w:rPr>
        <w:t xml:space="preserve">• </w:t>
      </w:r>
      <w:r>
        <w:rPr>
          <w:color w:val="1A2B40"/>
          <w:sz w:val="24"/>
          <w:szCs w:val="24"/>
        </w:rPr>
        <w:t xml:space="preserve">Port Nuwax workflow builder as Next.js component</w:t>
      </w:r>
    </w:p>
    <w:p>
      <w:pPr>
        <w:spacing w:line="312"/>
        <w:ind w:left="480"/>
      </w:pPr>
      <w:r>
        <w:rPr>
          <w:color w:val="5B8DB8"/>
          <w:sz w:val="24"/>
          <w:szCs w:val="24"/>
        </w:rPr>
        <w:t xml:space="preserve">• </w:t>
      </w:r>
      <w:r>
        <w:rPr>
          <w:color w:val="1A2B40"/>
          <w:sz w:val="24"/>
          <w:szCs w:val="24"/>
        </w:rPr>
        <w:t xml:space="preserve">Integrate Toonflow's three-layer agent pattern into RICCO's agent orchestration</w:t>
      </w:r>
    </w:p>
    <w:p>
      <w:pPr>
        <w:spacing w:line="312"/>
        <w:ind w:left="480"/>
      </w:pPr>
      <w:r>
        <w:rPr>
          <w:color w:val="5B8DB8"/>
          <w:sz w:val="24"/>
          <w:szCs w:val="24"/>
        </w:rPr>
        <w:t xml:space="preserve">• </w:t>
      </w:r>
      <w:r>
        <w:rPr>
          <w:color w:val="1A2B40"/>
          <w:sz w:val="24"/>
          <w:szCs w:val="24"/>
        </w:rPr>
        <w:t xml:space="preserve">Adopt Apboa's A2A protocol for inter-agent communication</w:t>
      </w:r>
    </w:p>
    <w:p>
      <w:pPr>
        <w:pStyle w:val="Heading2"/>
        <w:spacing w:after="120" w:before="240"/>
      </w:pPr>
      <w:r>
        <w:rPr>
          <w:rFonts w:ascii="Calibri" w:eastAsia="SimHei"/>
          <w:b/>
          <w:bCs/>
          <w:color w:val="0A1628"/>
        </w:rPr>
        <w:t xml:space="preserve">Phase 4: Production Deployment (Weeks 13-16)</w:t>
      </w:r>
    </w:p>
    <w:p>
      <w:pPr>
        <w:spacing w:line="312"/>
        <w:ind w:left="480"/>
      </w:pPr>
      <w:r>
        <w:rPr>
          <w:color w:val="5B8DB8"/>
          <w:sz w:val="24"/>
          <w:szCs w:val="24"/>
        </w:rPr>
        <w:t xml:space="preserve">• </w:t>
      </w:r>
      <w:r>
        <w:rPr>
          <w:color w:val="1A2B40"/>
          <w:sz w:val="24"/>
          <w:szCs w:val="24"/>
        </w:rPr>
        <w:t xml:space="preserve">Deploy integrated services with Kubernetes orchestration</w:t>
      </w:r>
    </w:p>
    <w:p>
      <w:pPr>
        <w:spacing w:line="312"/>
        <w:ind w:left="480"/>
      </w:pPr>
      <w:r>
        <w:rPr>
          <w:color w:val="5B8DB8"/>
          <w:sz w:val="24"/>
          <w:szCs w:val="24"/>
        </w:rPr>
        <w:t xml:space="preserve">• </w:t>
      </w:r>
      <w:r>
        <w:rPr>
          <w:color w:val="1A2B40"/>
          <w:sz w:val="24"/>
          <w:szCs w:val="24"/>
        </w:rPr>
        <w:t xml:space="preserve">Implement unified monitoring with Prometheus and Grafana dashboards</w:t>
      </w:r>
    </w:p>
    <w:p>
      <w:pPr>
        <w:spacing w:line="312"/>
        <w:ind w:left="480"/>
      </w:pPr>
      <w:r>
        <w:rPr>
          <w:color w:val="5B8DB8"/>
          <w:sz w:val="24"/>
          <w:szCs w:val="24"/>
        </w:rPr>
        <w:t xml:space="preserve">• </w:t>
      </w:r>
      <w:r>
        <w:rPr>
          <w:color w:val="1A2B40"/>
          <w:sz w:val="24"/>
          <w:szCs w:val="24"/>
        </w:rPr>
        <w:t xml:space="preserve">Conduct load testing and security audit for production readiness</w:t>
      </w:r>
    </w:p>
    <w:p>
      <w:pPr>
        <w:pStyle w:val="Heading1"/>
        <w:spacing w:after="120" w:before="360"/>
      </w:pPr>
      <w:r>
        <w:rPr>
          <w:rFonts w:ascii="Calibri" w:eastAsia="SimHei"/>
          <w:b/>
          <w:bCs/>
          <w:color w:val="0A1628"/>
        </w:rPr>
        <w:t xml:space="preserve">9. Conclusion</w:t>
      </w:r>
    </w:p>
    <w:p>
      <w:pPr>
        <w:spacing w:line="312"/>
        <w:ind w:firstLine="480"/>
        <w:jc w:val="both"/>
      </w:pPr>
      <w:r>
        <w:rPr>
          <w:color w:val="1A2B40"/>
          <w:sz w:val="24"/>
          <w:szCs w:val="24"/>
        </w:rPr>
        <w:t xml:space="preserve">The analysis of these seven repositories reveals significant opportunities for integration with RICCO AI. The shared infrastructure components, complementary domain expertise, and proven architectural patterns provide multiple pathways for platform enhancement. The recommended phased approach prioritizes infrastructure consolidation for immediate efficiency gains, followed by API-level integration for feature expansion, and concludes with component migration for deep architectural alignment.</w:t>
      </w:r>
    </w:p>
    <w:p>
      <w:pPr>
        <w:spacing w:line="312"/>
        <w:ind w:firstLine="480"/>
        <w:jc w:val="both"/>
      </w:pPr>
      <w:r>
        <w:rPr>
          <w:color w:val="1A2B40"/>
          <w:sz w:val="24"/>
          <w:szCs w:val="24"/>
        </w:rPr>
        <w:t xml:space="preserve">Key takeaways include: Qdrant and Redis are ready for immediate sharing across platforms; the MCP protocol provides a standardized tool interface for agent extensibility; and the three-layer agent architecture from Toonflow offers a proven pattern for complex task orchestration. By leveraging these assets strategically, RICCO AI can accelerate its development roadmap while incorporating battle-tested solutions from the open-source community.</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878A0"/>
        <w:sz w:val="18"/>
        <w:szCs w:val="18"/>
      </w:rPr>
      <w:t xml:space="preserve">Repository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2026-06-11T03:31:17.164Z</dcterms:created>
  <dcterms:modified xsi:type="dcterms:W3CDTF">2026-06-11T03:31:17.164Z</dcterms:modified>
</cp:coreProperties>
</file>

<file path=docProps/custom.xml><?xml version="1.0" encoding="utf-8"?>
<Properties xmlns="http://schemas.openxmlformats.org/officeDocument/2006/custom-properties" xmlns:vt="http://schemas.openxmlformats.org/officeDocument/2006/docPropsVTypes"/>
</file>