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63" w:rsidRPr="00870A63" w:rsidRDefault="00870A63" w:rsidP="00870A6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870A63">
        <w:rPr>
          <w:rFonts w:ascii="Verdana" w:eastAsia="宋体" w:hAnsi="Verdana" w:cs="宋体"/>
          <w:b/>
          <w:bCs/>
          <w:color w:val="000000"/>
          <w:kern w:val="36"/>
          <w:szCs w:val="21"/>
        </w:rPr>
        <w:t>[</w:t>
      </w:r>
      <w:proofErr w:type="spellStart"/>
      <w:r w:rsidRPr="00870A63">
        <w:rPr>
          <w:rFonts w:ascii="Verdana" w:eastAsia="宋体" w:hAnsi="Verdana" w:cs="宋体"/>
          <w:b/>
          <w:bCs/>
          <w:color w:val="000000"/>
          <w:kern w:val="36"/>
          <w:szCs w:val="21"/>
        </w:rPr>
        <w:t>iBoard</w:t>
      </w:r>
      <w:proofErr w:type="spellEnd"/>
      <w:r w:rsidRPr="00870A63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870A63">
        <w:rPr>
          <w:rFonts w:ascii="Verdana" w:eastAsia="宋体" w:hAnsi="Verdana" w:cs="宋体"/>
          <w:b/>
          <w:bCs/>
          <w:color w:val="000000"/>
          <w:kern w:val="36"/>
          <w:szCs w:val="21"/>
        </w:rPr>
        <w:t>电子学堂</w:t>
      </w:r>
      <w:r w:rsidRPr="00870A63">
        <w:rPr>
          <w:rFonts w:ascii="Verdana" w:eastAsia="宋体" w:hAnsi="Verdana" w:cs="宋体"/>
          <w:b/>
          <w:bCs/>
          <w:color w:val="000000"/>
          <w:kern w:val="36"/>
          <w:szCs w:val="21"/>
        </w:rPr>
        <w:t>]</w:t>
      </w:r>
      <w:bookmarkStart w:id="0" w:name="_GoBack"/>
      <w:r w:rsidRPr="00870A63">
        <w:rPr>
          <w:rFonts w:ascii="Verdana" w:eastAsia="宋体" w:hAnsi="Verdana" w:cs="宋体"/>
          <w:b/>
          <w:bCs/>
          <w:color w:val="000000"/>
          <w:kern w:val="36"/>
          <w:szCs w:val="21"/>
        </w:rPr>
        <w:t>[</w:t>
      </w:r>
      <w:r w:rsidRPr="00870A63">
        <w:rPr>
          <w:rFonts w:ascii="Verdana" w:eastAsia="宋体" w:hAnsi="Verdana" w:cs="宋体"/>
          <w:b/>
          <w:bCs/>
          <w:color w:val="000000"/>
          <w:kern w:val="36"/>
          <w:szCs w:val="21"/>
        </w:rPr>
        <w:t>第八卷</w:t>
      </w:r>
      <w:r w:rsidRPr="00870A63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870A63">
        <w:rPr>
          <w:rFonts w:ascii="Verdana" w:eastAsia="宋体" w:hAnsi="Verdana" w:cs="宋体"/>
          <w:b/>
          <w:bCs/>
          <w:color w:val="000000"/>
          <w:kern w:val="36"/>
          <w:szCs w:val="21"/>
        </w:rPr>
        <w:t>设计任意波发生器</w:t>
      </w:r>
      <w:r w:rsidRPr="00870A63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] </w:t>
      </w:r>
      <w:r w:rsidRPr="00870A63">
        <w:rPr>
          <w:rFonts w:ascii="Verdana" w:eastAsia="宋体" w:hAnsi="Verdana" w:cs="宋体"/>
          <w:b/>
          <w:bCs/>
          <w:color w:val="000000"/>
          <w:kern w:val="36"/>
          <w:szCs w:val="21"/>
        </w:rPr>
        <w:t>第五篇</w:t>
      </w:r>
      <w:r w:rsidRPr="00870A63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870A63">
        <w:rPr>
          <w:rFonts w:ascii="Verdana" w:eastAsia="宋体" w:hAnsi="Verdana" w:cs="宋体"/>
          <w:b/>
          <w:bCs/>
          <w:color w:val="000000"/>
          <w:kern w:val="36"/>
          <w:szCs w:val="21"/>
        </w:rPr>
        <w:t>高速</w:t>
      </w:r>
      <w:proofErr w:type="spellStart"/>
      <w:r w:rsidRPr="00870A63">
        <w:rPr>
          <w:rFonts w:ascii="Verdana" w:eastAsia="宋体" w:hAnsi="Verdana" w:cs="宋体"/>
          <w:b/>
          <w:bCs/>
          <w:color w:val="000000"/>
          <w:kern w:val="36"/>
          <w:szCs w:val="21"/>
        </w:rPr>
        <w:t>TxDAC</w:t>
      </w:r>
      <w:proofErr w:type="spellEnd"/>
      <w:r w:rsidRPr="00870A63">
        <w:rPr>
          <w:rFonts w:ascii="Verdana" w:eastAsia="宋体" w:hAnsi="Verdana" w:cs="宋体"/>
          <w:b/>
          <w:bCs/>
          <w:color w:val="000000"/>
          <w:kern w:val="36"/>
          <w:szCs w:val="21"/>
        </w:rPr>
        <w:t>—AD9708</w:t>
      </w:r>
      <w:bookmarkEnd w:id="0"/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一、权电流型DAC原理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权电流型DAC是一种高性能DAC结构，这种构架不但精度高，而且转换速度快。常用于实现高速、高精度DA转换器。4位权电流DAC模型如图一所示。它包含四路恒流源，电流分别定义为具有加权性质的 I/2、I/4、I/8和 I/16，其分别受控于DAC输入线D[3]~D[0]。 IOUT为主电流输出，</w:t>
      </w: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333375" cy="266700"/>
            <wp:effectExtent l="0" t="0" r="9525" b="0"/>
            <wp:docPr id="8" name="图片 8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为互补电流输出。当D[n]为高电平时，开关切换到 ，当D[n]为低电平时，开关切换到</w:t>
      </w: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333375" cy="266700"/>
            <wp:effectExtent l="0" t="0" r="9525" b="0"/>
            <wp:docPr id="7" name="图片 7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。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5267325" cy="3590925"/>
            <wp:effectExtent l="0" t="0" r="9525" b="9525"/>
            <wp:docPr id="6" name="图片 6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图一 四位权电流型DAC结构示意图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根据加权规则， IOUT输出公式推导过程如下：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lastRenderedPageBreak/>
        <w:drawing>
          <wp:inline distT="0" distB="0" distL="0" distR="0">
            <wp:extent cx="5067300" cy="2486025"/>
            <wp:effectExtent l="0" t="0" r="0" b="9525"/>
            <wp:docPr id="5" name="图片 5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5153025" cy="466725"/>
            <wp:effectExtent l="0" t="0" r="9525" b="9525"/>
            <wp:docPr id="4" name="图片 4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二、高速</w:t>
      </w:r>
      <w:proofErr w:type="spellStart"/>
      <w:r w:rsidRPr="00870A63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TxDAC</w:t>
      </w:r>
      <w:proofErr w:type="spellEnd"/>
      <w:r w:rsidRPr="00870A63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 xml:space="preserve"> —— AD9708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1、AD9708简介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AD9708是Analog Device(ADI)公司</w:t>
      </w:r>
      <w:proofErr w:type="spellStart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TxDAC</w:t>
      </w:r>
      <w:proofErr w:type="spellEnd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™ 中的一员，</w:t>
      </w:r>
      <w:proofErr w:type="spellStart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TxDAC</w:t>
      </w:r>
      <w:proofErr w:type="spellEnd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™系列由引脚兼容的8、10、12、14位DAC组成，并专门针对通信系统的发射信号路径进行了优化。所有器件都采用相同的接口选项、小型封装和引脚排列，因而可以根据性能、分辨率和成本，向上或向下选择适合的器件。AD9708提供出色的交流和直流性能，同时支持最高125 MSPS的更新速率。AD9708具有灵活的单电源工作电压范围（2.7 V至5.5 V）和低功耗特性，非常适合便携式和低功耗应用。通过降低满量程电流输出，可以将功耗进一步降至45 </w:t>
      </w:r>
      <w:proofErr w:type="spellStart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mW</w:t>
      </w:r>
      <w:proofErr w:type="spellEnd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，而性能不会明显下降。此外，在省电模式下，待机功耗可降至约20 </w:t>
      </w:r>
      <w:proofErr w:type="spellStart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mW</w:t>
      </w:r>
      <w:proofErr w:type="spellEnd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。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AD9708采用先进的CMOS工艺制造。分段电流源架构与专有开关技术相结合，可减小杂散分量，并增强了动态性能。该器件还集成边沿触发式输入锁存器和一</w:t>
      </w: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个温度补偿带隙基准电压源，可提供一个完整的单芯片DAC解决方案。灵活的电源选项支持+3 V和+5 V CMOS逻辑系列。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TxDAC</w:t>
      </w:r>
      <w:proofErr w:type="spellEnd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™ 采用业界兼容的引脚封装，如图二所示。ADI公司 AD974X、AD975X、AD976X与其兼容，TI 公司 DAC900、DAC902及DAC904与其兼容。</w:t>
      </w:r>
      <w:proofErr w:type="spellStart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Intersil</w:t>
      </w:r>
      <w:proofErr w:type="spellEnd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公司ISL5761、ISL5861及ISL5961与其兼容。这就使得我们很方便的进行升级或替换。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2381250" cy="3286125"/>
            <wp:effectExtent l="0" t="0" r="0" b="9525"/>
            <wp:docPr id="3" name="图片 3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图二 AD9708 引脚分布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2、AD9708 模拟输出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AD9708是一款电流输出DAC，标称满量程输出电流为20 mA，输出阻抗大于100 </w:t>
      </w:r>
      <w:proofErr w:type="spellStart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kΩ</w:t>
      </w:r>
      <w:proofErr w:type="spellEnd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。它提供差分电流输出，以支持单端或差分应用。电流输出可以直接连至一个输出电阻，以提供两路互补的单端电压输出。可兼容输出电压范围为1.25 V。AD9708内置一个1.2 V片内基准电压源和基准电压控制放大器，只需用单</w:t>
      </w: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个电阻便可轻松设置满量程输出电流。该器件可以采用多种外部基准电压驱动。其满量程电流可以在2 mA至20 mA范围内调节，动态性能不受影响。因此，AD9708能够以低功耗水平工作，或在20 dB范围内进行调节，进一步提供增益范围调整能力。，通过 1:1 RF 变压器输出原理示意图如图三所示。通过运算放大器的差分放大模式示意图如图四所示。</w:t>
      </w:r>
      <w:proofErr w:type="spellStart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任意波发生器采用此原理。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4733925" cy="1676400"/>
            <wp:effectExtent l="0" t="0" r="9525" b="0"/>
            <wp:docPr id="2" name="图片 2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A63" w:rsidRPr="00870A63" w:rsidRDefault="00870A63" w:rsidP="00870A63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图三 变压器耦合输出模式示意图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drawing>
          <wp:inline distT="0" distB="0" distL="0" distR="0">
            <wp:extent cx="5267325" cy="1933575"/>
            <wp:effectExtent l="0" t="0" r="9525" b="9525"/>
            <wp:docPr id="1" name="图片 1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图四 差分放大输出模式示意图</w:t>
      </w:r>
    </w:p>
    <w:p w:rsidR="00870A63" w:rsidRPr="00870A63" w:rsidRDefault="00870A63" w:rsidP="00870A63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870A63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_____________________________________</w:t>
      </w:r>
    </w:p>
    <w:p w:rsidR="003D0B33" w:rsidRDefault="003D0B33"/>
    <w:sectPr w:rsidR="003D0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63"/>
    <w:rsid w:val="003D0B33"/>
    <w:rsid w:val="00870A63"/>
    <w:rsid w:val="00DF05ED"/>
    <w:rsid w:val="00E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0A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A6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70A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0A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0A63"/>
    <w:rPr>
      <w:b/>
      <w:bCs/>
    </w:rPr>
  </w:style>
  <w:style w:type="character" w:customStyle="1" w:styleId="apple-converted-space">
    <w:name w:val="apple-converted-space"/>
    <w:basedOn w:val="a0"/>
    <w:rsid w:val="00870A63"/>
  </w:style>
  <w:style w:type="paragraph" w:styleId="a6">
    <w:name w:val="Balloon Text"/>
    <w:basedOn w:val="a"/>
    <w:link w:val="Char"/>
    <w:uiPriority w:val="99"/>
    <w:semiHidden/>
    <w:unhideWhenUsed/>
    <w:rsid w:val="00870A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70A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0A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A6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70A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0A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0A63"/>
    <w:rPr>
      <w:b/>
      <w:bCs/>
    </w:rPr>
  </w:style>
  <w:style w:type="character" w:customStyle="1" w:styleId="apple-converted-space">
    <w:name w:val="apple-converted-space"/>
    <w:basedOn w:val="a0"/>
    <w:rsid w:val="00870A63"/>
  </w:style>
  <w:style w:type="paragraph" w:styleId="a6">
    <w:name w:val="Balloon Text"/>
    <w:basedOn w:val="a"/>
    <w:link w:val="Char"/>
    <w:uiPriority w:val="99"/>
    <w:semiHidden/>
    <w:unhideWhenUsed/>
    <w:rsid w:val="00870A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70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xiaomagee/201203/201203252225585676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images.cnblogs.com/cnblogs_com/xiaomagee/201203/201203252226025247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mages.cnblogs.com/cnblogs_com/xiaomagee/201203/201203252225574936.png" TargetMode="External"/><Relationship Id="rId12" Type="http://schemas.openxmlformats.org/officeDocument/2006/relationships/hyperlink" Target="http://images.cnblogs.com/cnblogs_com/xiaomagee/201203/201203252226001574.png" TargetMode="External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hyperlink" Target="http://images.cnblogs.com/cnblogs_com/xiaomagee/201203/20120325222601852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images.cnblogs.com/cnblogs_com/xiaomagee/201203/2012032522255651.png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images.cnblogs.com/cnblogs_com/xiaomagee/201203/201203252225592196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images.cnblogs.com/cnblogs_com/xiaomagee/201203/201203252226017887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wzp</dc:creator>
  <cp:lastModifiedBy>wzp</cp:lastModifiedBy>
  <cp:revision>1</cp:revision>
  <dcterms:created xsi:type="dcterms:W3CDTF">2012-07-20T02:13:00Z</dcterms:created>
  <dcterms:modified xsi:type="dcterms:W3CDTF">2012-07-20T02:14:00Z</dcterms:modified>
</cp:coreProperties>
</file>