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2025: Fundraising &amp; Strategic Milestones — U.S. AI Inference Providers</w:t>
      </w:r>
    </w:p>
    <w:p>
      <w:r>
        <w:t>This report covers key 2025 capital events and strategic agreements for leading U.S. AI inference / accelerator firms: Groq, Cerebras, SambaNova, Positron, and Etched. The focus is on publicly confirmed deals, valuations, and business implications.</w:t>
      </w:r>
    </w:p>
    <w:p>
      <w:pPr>
        <w:pStyle w:val="Heading2"/>
      </w:pPr>
      <w:r>
        <w:t>Groq</w:t>
      </w:r>
    </w:p>
    <w:p>
      <w:r>
        <w:t>February 10, 2025 — Groq and the Kingdom of Saudi Arabia announce a $1.5 billion commitment for deployment of Groq’s LPU-based inference infrastructure in Saudi Arabia (not equity financing).</w:t>
      </w:r>
    </w:p>
    <w:p>
      <w:r>
        <w:t>• This is a revenue / deployment contract rather than a fundraising round.</w:t>
      </w:r>
    </w:p>
    <w:p>
      <w:r>
        <w:t>• Groq has indicated expectation of generating ~$500 million in 2025 from this commitment.</w:t>
      </w:r>
    </w:p>
    <w:p>
      <w:r>
        <w:t>• The deal aligns with Saudi Arabia’s Vision 2030 push to build AI infrastructure.</w:t>
      </w:r>
    </w:p>
    <w:p>
      <w:r>
        <w:t>September 2025 — Groq secures a $750 million equity financing, pushing its post-money valuation to $6.9 billion.</w:t>
      </w:r>
    </w:p>
    <w:p>
      <w:r>
        <w:t>• The raise roughly more than doubles its prior valuation.</w:t>
      </w:r>
    </w:p>
    <w:p>
      <w:r>
        <w:t>• Investors included Disruptive, BlackRock, Neuberger Berman, Deutsche Telekom Capital Partners, Samsung, Cisco, Altimeter, 1789 Capital, and Infinitum.</w:t>
      </w:r>
    </w:p>
    <w:p>
      <w:r>
        <w:t>Analyst Take: Groq’s 2025 is characterized by a dual track: (1) a major infrastructure contract in Saudi Arabia that positions it as a global deployer of inference hardware, and (2) a sizable equity raise that underscores investor confidence in its growth and valuation trajectory. The Saudi deal provides a near-term anchor to support scale, while the funding underpins expansion of infrastructure and R&amp;D.</w:t>
      </w:r>
    </w:p>
    <w:p>
      <w:pPr>
        <w:pStyle w:val="Heading2"/>
      </w:pPr>
      <w:r>
        <w:t>Cerebras</w:t>
      </w:r>
    </w:p>
    <w:p>
      <w:r>
        <w:t>September 30, 2025 — Cerebras announces an oversubscribed Series G round of $1.1 billion, valuing the company at $8.1 billion post-money.</w:t>
      </w:r>
    </w:p>
    <w:p>
      <w:r>
        <w:t>• The round was led by Fidelity Management &amp; Research and Atreides Management, with participation from Tiger Global, Valor Equity Partners, 1789 Capital, Altimeter, Alpha Wave, and Benchmark.</w:t>
      </w:r>
    </w:p>
    <w:p>
      <w:r>
        <w:t>• Funds are earmarked to expand AI processor / system research, U.S. manufacturing, and data center capacity.</w:t>
      </w:r>
    </w:p>
    <w:p>
      <w:r>
        <w:t>April 2025 — Cerebras, in partnership with Canadian chip firm Ranovus, secures a $45 million DARPA / U.S. military contract to accelerate chip interconnect capabilities.</w:t>
      </w:r>
    </w:p>
    <w:p>
      <w:r>
        <w:t>October 2025 (after Series G) — The company files to withdraw its planned U.S. IPO, citing its recent large financing round as a key motive for postponement.</w:t>
      </w:r>
    </w:p>
    <w:p>
      <w:r>
        <w:t>Analyst Take: Cerebras’ 2025 fundraising and contract landscape reflect a maturing business model: deep capital infusion to scale operations and infrastructure, paired with government / defense engagements to anchor longer-term revenue. Its decision to pull back from an IPO post-Series G suggests a preference to expand privately until further scale is achieved.</w:t>
      </w:r>
    </w:p>
    <w:p>
      <w:pPr>
        <w:pStyle w:val="Heading2"/>
      </w:pPr>
      <w:r>
        <w:t>SambaNova</w:t>
      </w:r>
    </w:p>
    <w:p>
      <w:r>
        <w:t>2025 — No new publicly disclosed equity rounds.</w:t>
      </w:r>
    </w:p>
    <w:p>
      <w:r>
        <w:t>The company continues product development and deployment of inference infrastructure and API / cloud offerings, competing in the “token speed / latency / cost-efficiency” arena.</w:t>
      </w:r>
    </w:p>
    <w:p>
      <w:r>
        <w:t>Analyst Take: SambaNova appears to emphasize execution, customer acquisition, and platform deployment rather than fresh fundraising in 2025. Its stability without new rounds may reflect sufficient capital buffer or a strategic shift to monetization.</w:t>
      </w:r>
    </w:p>
    <w:p>
      <w:pPr>
        <w:pStyle w:val="Heading2"/>
      </w:pPr>
      <w:r>
        <w:t>Positron</w:t>
      </w:r>
    </w:p>
    <w:p>
      <w:r>
        <w:t>February 2025 — Positron raises $23.5 million (seed) to scale U.S.-manufactured inference accelerator production.</w:t>
      </w:r>
    </w:p>
    <w:p>
      <w:r>
        <w:t>July 2025 — Positron completes a $51.6 million Series A (oversubscribed), intended for field deployment of its first-generation accelerator (Atlas) and R&amp;D toward its next generation (Asimov).</w:t>
      </w:r>
    </w:p>
    <w:p>
      <w:r>
        <w:t>Analyst Take: Positron is highly active in 2025, advancing from seed to growth funding within the year. Its capital plan is geared toward executing a hardware roadmap and entering production / deployment phases rapidly, positioning itself as a rising competitor in the inference hardware landscape.</w:t>
      </w:r>
    </w:p>
    <w:p>
      <w:pPr>
        <w:pStyle w:val="Heading2"/>
      </w:pPr>
      <w:r>
        <w:t>Etched</w:t>
      </w:r>
    </w:p>
    <w:p>
      <w:r>
        <w:t>April 2025 — Etched secured $85 million in an A1 series round, valuing the company at $1.5 billion, a significant jump from its series A valuation.</w:t>
      </w:r>
    </w:p>
    <w:p>
      <w:r>
        <w:t>The firm persists in developing its specialized transformer-focused ASIC (codenamed “Sohu”) and refining architecture / system stacks for inference workloads.</w:t>
      </w:r>
    </w:p>
    <w:p>
      <w:r>
        <w:t>Analyst Take: Etched remains in a stealth / development-heavy stage. While smaller in scale than Groq, Cerebras, and SambaNova, the firm’s narrow architectural focus could pay off if execution and yield scale accordingly.</w:t>
      </w:r>
    </w:p>
    <w:p>
      <w:pPr>
        <w:pStyle w:val="Heading2"/>
      </w:pPr>
      <w:r>
        <w:t>Comparative Insights &amp; Strategic Themes (2025)</w:t>
      </w:r>
    </w:p>
    <w:p>
      <w:r>
        <w:t>1. Capital Leaders:</w:t>
      </w:r>
    </w:p>
    <w:p>
      <w:r>
        <w:t xml:space="preserve">   - Cerebras’ $1.1B Series G and Groq’s $750M raise are the largest disclosed equity infusions in 2025.</w:t>
      </w:r>
    </w:p>
    <w:p>
      <w:r>
        <w:t xml:space="preserve">   - Positron’s paired seed + Series A indicates strong investor conviction in new entrants.</w:t>
      </w:r>
    </w:p>
    <w:p>
      <w:r>
        <w:t>2. Revenue / Deployment Deals:</w:t>
      </w:r>
    </w:p>
    <w:p>
      <w:r>
        <w:t xml:space="preserve">   - Groq’s $1.5B Saudi commitment stands out as a non-dilutive infrastructure agreement, anchoring its deployment confidence in a regionally strategic market.</w:t>
      </w:r>
    </w:p>
    <w:p>
      <w:r>
        <w:t xml:space="preserve">   - Cerebras’ DARPA contract offers balance between commercial and government-tied revenue streams.</w:t>
      </w:r>
    </w:p>
    <w:p>
      <w:r>
        <w:t>3. Valuation Momentum &amp; Investor Confidence:</w:t>
      </w:r>
    </w:p>
    <w:p>
      <w:r>
        <w:t xml:space="preserve">   - Groq’s valuation doubling (to $6.9B) reflects aggressive growth expectations.</w:t>
      </w:r>
    </w:p>
    <w:p>
      <w:r>
        <w:t xml:space="preserve">   - Cerebras’ $8.1B post-money valuation cements its status among the top-valued inference infrastructure players.</w:t>
      </w:r>
    </w:p>
    <w:p>
      <w:r>
        <w:t>4. IPO / Exit Postures:</w:t>
      </w:r>
    </w:p>
    <w:p>
      <w:r>
        <w:t xml:space="preserve">   - Cerebras postponing its IPO after a major private raise suggests a deliberate approach to scaling privately first.</w:t>
      </w:r>
    </w:p>
    <w:p>
      <w:r>
        <w:t xml:space="preserve">   - Groq has not yet publicly filed for listing, likely continuing private growth for now.</w:t>
      </w:r>
    </w:p>
    <w:p>
      <w:r>
        <w:t>5. Execution over Fundraising for Some:</w:t>
      </w:r>
    </w:p>
    <w:p>
      <w:r>
        <w:t xml:space="preserve">   - SambaNova’s quieter capital presence suggests a prioritization of deployment, product maturation, or conservatism in valuation timing.</w:t>
      </w:r>
    </w:p>
    <w:p>
      <w:r>
        <w:t>6. Inference as the Differentiator:</w:t>
      </w:r>
    </w:p>
    <w:p>
      <w:r>
        <w:t xml:space="preserve">   - The narrative across all players emphasizes inference (token throughput, energy / latency efficiency, cost-per-inference) over general-purpose compute or training.</w:t>
      </w:r>
    </w:p>
    <w:p>
      <w:r>
        <w:t xml:space="preserve">   - The arms race is in throughput, power efficiency, latency, and deployability—not raw FLOPS alone.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