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Times New Roman" w:cs="Times New Roman" w:eastAsia="Times New Roman" w:hAnsi="Times New Roman"/>
          <w:b/>
          <w:bCs/>
          <w:sz w:val="34"/>
          <w:szCs w:val="34"/>
        </w:rPr>
        <w:t xml:space="preserve">Can a Prostitution Ban Move the Money?</w:t>
      </w:r>
    </w:p>
    <w:p>
      <w:pPr>
        <w:spacing w:after="320"/>
        <w:jc w:val="center"/>
      </w:pPr>
      <w:r>
        <w:rPr>
          <w:rFonts w:ascii="Times New Roman" w:cs="Times New Roman" w:eastAsia="Times New Roman" w:hAnsi="Times New Roman"/>
          <w:sz w:val="26"/>
          <w:szCs w:val="26"/>
        </w:rPr>
        <w:t xml:space="preserve">Output, Velocity and the Money Multiplier around Twenty Legal Regime Changes, 1999–2022</w:t>
      </w:r>
    </w:p>
    <w:p>
      <w:pPr>
        <w:spacing w:after="60"/>
        <w:jc w:val="center"/>
      </w:pPr>
      <w:r>
        <w:rPr>
          <w:rFonts w:ascii="Times New Roman" w:cs="Times New Roman" w:eastAsia="Times New Roman" w:hAnsi="Times New Roman"/>
          <w:sz w:val="22"/>
          <w:szCs w:val="22"/>
        </w:rPr>
        <w:t xml:space="preserve">[Author]</w:t>
      </w:r>
    </w:p>
    <w:p>
      <w:pPr>
        <w:spacing w:after="360"/>
        <w:jc w:val="center"/>
      </w:pPr>
      <w:r>
        <w:rPr>
          <w:rFonts w:ascii="Times New Roman" w:cs="Times New Roman" w:eastAsia="Times New Roman" w:hAnsi="Times New Roman"/>
          <w:sz w:val="20"/>
          <w:szCs w:val="20"/>
        </w:rPr>
        <w:t xml:space="preserve">[Affiliation]  ·  This version: 1 November 2026</w:t>
      </w:r>
    </w:p>
    <w:p>
      <w:pPr>
        <w:spacing w:after="120"/>
        <w:jc w:val="center"/>
      </w:pPr>
      <w:r>
        <w:rPr>
          <w:rFonts w:ascii="Times New Roman" w:cs="Times New Roman" w:eastAsia="Times New Roman" w:hAnsi="Times New Roman"/>
          <w:b/>
          <w:bCs/>
          <w:sz w:val="22"/>
          <w:szCs w:val="22"/>
        </w:rPr>
        <w:t xml:space="preserve">Abstract</w:t>
      </w:r>
    </w:p>
    <w:p>
      <w:pPr>
        <w:spacing w:after="200" w:line="280"/>
        <w:ind w:left="720" w:right="720"/>
        <w:jc w:val="both"/>
      </w:pPr>
      <w:r>
        <w:rPr>
          <w:rFonts w:ascii="Times New Roman" w:cs="Times New Roman" w:eastAsia="Times New Roman" w:hAnsi="Times New Roman"/>
          <w:sz w:val="20"/>
          <w:szCs w:val="20"/>
        </w:rPr>
        <w:t xml:space="preserve">Advocates and opponents of prostitution law reform both make macroeconomic claims, usually about money circulating faster or more slowly rather than about output alone. This paper tests those claims directly. I assemble 20 dated changes in prostitution law across 18 jurisdictions between 1999 and 2022 (12 prohibitions or tightenings, 8 legalisations or decriminalisations) and merge them with a 214-country annual macroeconomic panel for 1960–2020. Because the exercise needs a measured sector, a dated reform, and national monetary aggregates simultaneously, I first rank jurisdictions on a transparent data-abundance index; the United Kingdom scores highest, South Korea carries by far the largest shock. The central result is established before any regression. A prohibition that suppressed half of the United Kingdom's measured prostitution sector would move GDP by 0.185%, against a 3.25% standard deviation of the annual idiosyncratic surprise in real GDP per capita among advanced economies; the currency-drain channel into the money multiplier is one to two orders of magnitude smaller still, in every jurisdiction including Korea. Estimation confirms what that arithmetic implies. Across 11 outcome-by-direction combinations, using two-way fixed-effects event studies and the Callaway–Sant'Anna group-time estimator with not-yet-treated comparisons, 10 are statistically indistinguishable from zero under randomization inference; the single exception rests on two countries and is 643 times larger than the sector could produce if it vanished outright. 5 of 11 point estimates carry the sign opposite to the mechanism. Both synthetic controls attaining conventional significance collapse when the donor pool is tightened. The contribution is therefore a bound rather than a discovery, and the bound is informative: effects of the magnitude this sector can generate are undetectable in annual macroeconomic data, and any detectable effect must originate elsewhere.</w:t>
      </w:r>
    </w:p>
    <w:p>
      <w:pPr>
        <w:spacing w:after="80"/>
        <w:ind w:left="720" w:right="720"/>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prostitution policy; informal economy; national accounts; velocity of money; money multiplier; difference-in-differences; statistical power.</w:t>
      </w:r>
    </w:p>
    <w:p>
      <w:pPr>
        <w:spacing w:after="200"/>
        <w:ind w:left="720" w:right="720"/>
      </w:pPr>
      <w:r>
        <w:rPr>
          <w:rFonts w:ascii="Times New Roman" w:cs="Times New Roman" w:eastAsia="Times New Roman" w:hAnsi="Times New Roman"/>
          <w:b/>
          <w:bCs/>
          <w:sz w:val="20"/>
          <w:szCs w:val="20"/>
        </w:rPr>
        <w:t xml:space="preserve">JEL codes: </w:t>
      </w:r>
      <w:r>
        <w:rPr>
          <w:rFonts w:ascii="Times New Roman" w:cs="Times New Roman" w:eastAsia="Times New Roman" w:hAnsi="Times New Roman"/>
          <w:sz w:val="20"/>
          <w:szCs w:val="20"/>
        </w:rPr>
        <w:t xml:space="preserve">E41, E26, K42, C23, O17.</w:t>
      </w:r>
    </w:p>
    <w:p>
      <w:r>
        <w:br w:type="page"/>
      </w:r>
    </w:p>
    <w:p>
      <w:pPr>
        <w:pStyle w:val="Heading1"/>
        <w:spacing w:after="150" w:before="320"/>
      </w:pPr>
      <w:r>
        <w:rPr>
          <w:rFonts w:ascii="Times New Roman" w:cs="Times New Roman" w:eastAsia="Times New Roman" w:hAnsi="Times New Roman"/>
          <w:b/>
          <w:bCs/>
          <w:color w:val="000000"/>
          <w:sz w:val="26"/>
          <w:szCs w:val="26"/>
        </w:rPr>
        <w:t xml:space="preserve">1. Introduction</w:t>
      </w:r>
    </w:p>
    <w:p>
      <w:pPr>
        <w:spacing w:after="140" w:before="0" w:line="320"/>
        <w:jc w:val="both"/>
      </w:pPr>
      <w:r>
        <w:rPr>
          <w:rFonts w:ascii="Times New Roman" w:cs="Times New Roman" w:eastAsia="Times New Roman" w:hAnsi="Times New Roman"/>
          <w:sz w:val="22"/>
          <w:szCs w:val="22"/>
        </w:rPr>
        <w:t xml:space="preserve">Prostitution law changes often, and the arguments made for and against change are frequently economic. Prohibition is said to shrink a market; legalisation is said to bring one into the daylight, onto tax rolls and into the national accounts. A recurring and more specific claim concerns money rather than output: that a banned trade is a cash trade, that cash drains from the banking system, and that the circulation of money slows as a result. These are testable propositions about velocity and the money multiplier, not merely about gross domestic product, and they have not to my knowledge been tested.</w:t>
      </w:r>
    </w:p>
    <w:p>
      <w:pPr>
        <w:spacing w:after="140" w:before="0" w:line="320"/>
        <w:jc w:val="both"/>
      </w:pPr>
      <w:r>
        <w:rPr>
          <w:rFonts w:ascii="Times New Roman" w:cs="Times New Roman" w:eastAsia="Times New Roman" w:hAnsi="Times New Roman"/>
          <w:sz w:val="22"/>
          <w:szCs w:val="22"/>
        </w:rPr>
        <w:t xml:space="preserve">This paper tests them. The research design is conventional — a staggered difference-in-differences panel with event-study dynamics, supplemented by synthetic controls — but the paper's organising decision is unconventional in one respect: the magnitudes are computed before the estimates. Prostitution is a small sector almost everywhere it is measured. If a reform cannot plausibly move the outcome by more than a few hundredths of a percentage point, and the outcome's own annual variability is several percentage points, then the econometrics cannot settle the question whatever it returns, and a null result carries no information unless it is accompanied by the bound that generated it.</w:t>
      </w:r>
    </w:p>
    <w:p>
      <w:pPr>
        <w:spacing w:after="140" w:before="0" w:line="320"/>
        <w:jc w:val="both"/>
      </w:pPr>
      <w:r>
        <w:rPr>
          <w:rFonts w:ascii="Times New Roman" w:cs="Times New Roman" w:eastAsia="Times New Roman" w:hAnsi="Times New Roman"/>
          <w:sz w:val="22"/>
          <w:szCs w:val="22"/>
        </w:rPr>
        <w:t xml:space="preserve">Three contributions follow. First, I assemble and publish a dated panel of prostitution regime changes with sources, together with every quantitative measurement of sector size I could locate from official statistical agencies. Second, I propose a data-abundance index that makes explicit the fact that answering this question requires several kinds of data at once, and I use it to select the jurisdictions on which the question can be asked at all. Third, I report the test and, more usefully, the minimum effect it could have detected — which turns out to exceed the maximum effect the sector could supply by one to three orders of magnitude.</w:t>
      </w:r>
    </w:p>
    <w:p>
      <w:pPr>
        <w:spacing w:after="140" w:before="0" w:line="320"/>
        <w:jc w:val="both"/>
      </w:pPr>
      <w:r>
        <w:rPr>
          <w:rFonts w:ascii="Times New Roman" w:cs="Times New Roman" w:eastAsia="Times New Roman" w:hAnsi="Times New Roman"/>
          <w:sz w:val="22"/>
          <w:szCs w:val="22"/>
        </w:rPr>
        <w:t xml:space="preserve">The negative result is not a failure of the design but a property of the object. It also has a constructive corollary. Because the arithmetic locates precisely where the question becomes answerable — a large sector, a sharp reform, high-frequency monetary data — it identifies the research designs that would work: South Korea's 2004 prohibition at monthly or quarterly frequency, and sub-national natural experiments such as Rhode Island's accidental decriminalisation between 2003 and 2009 or the Northern Ireland sex-purchase offence of 2015, both of which sit inside statistical systems that publish regional and county detail.</w:t>
      </w:r>
    </w:p>
    <w:p>
      <w:pPr>
        <w:pStyle w:val="Heading1"/>
        <w:spacing w:after="150" w:before="320"/>
      </w:pPr>
      <w:r>
        <w:rPr>
          <w:rFonts w:ascii="Times New Roman" w:cs="Times New Roman" w:eastAsia="Times New Roman" w:hAnsi="Times New Roman"/>
          <w:b/>
          <w:bCs/>
          <w:color w:val="000000"/>
          <w:sz w:val="26"/>
          <w:szCs w:val="26"/>
        </w:rPr>
        <w:t xml:space="preserve">2. Background and related literature</w:t>
      </w:r>
    </w:p>
    <w:p>
      <w:pPr>
        <w:spacing w:after="140" w:before="0" w:line="320"/>
        <w:jc w:val="both"/>
      </w:pPr>
      <w:r>
        <w:rPr>
          <w:rFonts w:ascii="Times New Roman" w:cs="Times New Roman" w:eastAsia="Times New Roman" w:hAnsi="Times New Roman"/>
          <w:sz w:val="22"/>
          <w:szCs w:val="22"/>
        </w:rPr>
        <w:t xml:space="preserve">The economics of prostitution has an established microeconomic literature. Edlund and Korn (2002) model the wage premium in commercial sex as compensation for forgone marriage-market prospects. Gertler, Shah and Bertozzi (2005) estimate the price of unprotected sex. Cunningham and Shah (2018) exploit Rhode Island's inadvertent decriminalisation of indoor prostitution to show reductions in reported rape and in gonorrhoea incidence. Bisschop, Kastoryano and van der Klaauw (2017) find that opening designated street prostitution zones in Dutch cities reduced sexual abuse and rape. A parallel literature studies the relationship between legal regime and human trafficking, with Cho, Dreher and Neumayer (2013) and Jakobsson and Kotsadam (2013) reporting that legalisation is associated with larger reported inflows, and Lee and Persson (2022) providing a theoretical account of why voluntary and coerced supply may not be substitutes.</w:t>
      </w:r>
    </w:p>
    <w:p>
      <w:pPr>
        <w:spacing w:after="140" w:before="0" w:line="320"/>
        <w:jc w:val="both"/>
      </w:pPr>
      <w:r>
        <w:rPr>
          <w:rFonts w:ascii="Times New Roman" w:cs="Times New Roman" w:eastAsia="Times New Roman" w:hAnsi="Times New Roman"/>
          <w:sz w:val="22"/>
          <w:szCs w:val="22"/>
        </w:rPr>
        <w:t xml:space="preserve">What this literature does not contain is a macroeconomic evaluation. That gap is partly explained by measurement. Until recently most national accounts simply excluded the sector. The European System of Accounts 2010 changed this for the European Union by requiring member states to include illegal but consensual production, and from September 2014 prostitution entered official GDP across the Union. The Office for National Statistics (2014) documented the United Kingdom's implementation and published a prostitution series back to 1997; Statistics Netherlands (2024) describes the Dutch estimates. In the United States, by contrast, Soloveichik (2021) produced estimates of illegal prostitution expenditure from 1965 in a research satellite account that remains outside headline GDP.</w:t>
      </w:r>
    </w:p>
    <w:p>
      <w:pPr>
        <w:spacing w:after="140" w:before="0" w:line="320"/>
        <w:jc w:val="both"/>
      </w:pPr>
      <w:r>
        <w:rPr>
          <w:rFonts w:ascii="Times New Roman" w:cs="Times New Roman" w:eastAsia="Times New Roman" w:hAnsi="Times New Roman"/>
          <w:sz w:val="22"/>
          <w:szCs w:val="22"/>
        </w:rPr>
        <w:t xml:space="preserve">The monetary side of the claim connects to an older literature on currency demand and the shadow economy, in which the ratio of currency to deposits is used to infer unobserved activity (Schneider and Enste, 2000) and in which cash is understood as the settlement medium of choice for transactions that participants wish to keep unobserved (Rogoff, 2016). The mechanism is standard: if a prohibition drives a trade into cash, the currency-to-deposit ratio rises and the money multiplier falls. The question this paper asks is whether the sector is large enough for that mechanism to register.</w:t>
      </w:r>
    </w:p>
    <w:p>
      <w:pPr>
        <w:pStyle w:val="Heading1"/>
        <w:spacing w:after="150" w:before="320"/>
      </w:pPr>
      <w:r>
        <w:rPr>
          <w:rFonts w:ascii="Times New Roman" w:cs="Times New Roman" w:eastAsia="Times New Roman" w:hAnsi="Times New Roman"/>
          <w:b/>
          <w:bCs/>
          <w:color w:val="000000"/>
          <w:sz w:val="26"/>
          <w:szCs w:val="26"/>
        </w:rPr>
        <w:t xml:space="preserve">3. Conceptual framework</w:t>
      </w:r>
    </w:p>
    <w:p>
      <w:pPr>
        <w:spacing w:after="140" w:before="0" w:line="320"/>
        <w:jc w:val="both"/>
      </w:pPr>
      <w:r>
        <w:rPr>
          <w:rFonts w:ascii="Times New Roman" w:cs="Times New Roman" w:eastAsia="Times New Roman" w:hAnsi="Times New Roman"/>
          <w:sz w:val="22"/>
          <w:szCs w:val="22"/>
        </w:rPr>
        <w:t xml:space="preserve">Let the sector's gross output be a share s of GDP and let a reform suppress a fraction φ of it. Three channels follow, each with a signed prediction fixed before estimation.</w:t>
      </w:r>
    </w:p>
    <w:p>
      <w:pPr>
        <w:pStyle w:val="Heading2"/>
        <w:spacing w:after="110" w:before="240"/>
      </w:pPr>
      <w:r>
        <w:rPr>
          <w:rFonts w:ascii="Times New Roman" w:cs="Times New Roman" w:eastAsia="Times New Roman" w:hAnsi="Times New Roman"/>
          <w:b/>
          <w:bCs/>
          <w:color w:val="000000"/>
          <w:sz w:val="23"/>
          <w:szCs w:val="23"/>
        </w:rPr>
        <w:t xml:space="preserve">3.1 Output</w:t>
      </w:r>
    </w:p>
    <w:p>
      <w:pPr>
        <w:spacing w:after="140" w:before="0" w:line="320"/>
        <w:jc w:val="both"/>
      </w:pPr>
      <w:r>
        <w:rPr>
          <w:rFonts w:ascii="Times New Roman" w:cs="Times New Roman" w:eastAsia="Times New Roman" w:hAnsi="Times New Roman"/>
          <w:sz w:val="22"/>
          <w:szCs w:val="22"/>
        </w:rPr>
        <w:t xml:space="preserve">Measured output falls one-for-one with the suppressed share:</w:t>
      </w:r>
    </w:p>
    <w:p>
      <w:pPr>
        <w:spacing w:after="100" w:before="100"/>
        <w:jc w:val="center"/>
      </w:pPr>
      <w:r>
        <w:rPr>
          <w:rFonts w:ascii="Times New Roman" w:cs="Times New Roman" w:eastAsia="Times New Roman" w:hAnsi="Times New Roman"/>
          <w:i/>
          <w:iCs/>
          <w:sz w:val="23"/>
          <w:szCs w:val="23"/>
        </w:rPr>
        <w:t xml:space="preserve">Δ ln Y = − φ · s</w:t>
      </w:r>
      <w:r>
        <w:rPr>
          <w:rFonts w:ascii="Times New Roman" w:cs="Times New Roman" w:eastAsia="Times New Roman" w:hAnsi="Times New Roman"/>
          <w:sz w:val="20"/>
          <w:szCs w:val="20"/>
        </w:rPr>
        <w:t xml:space="preserve">     (1)</w:t>
      </w:r>
    </w:p>
    <w:p>
      <w:pPr>
        <w:spacing w:after="140" w:before="0" w:line="320"/>
        <w:jc w:val="both"/>
      </w:pPr>
      <w:r>
        <w:rPr>
          <w:rFonts w:ascii="Times New Roman" w:cs="Times New Roman" w:eastAsia="Times New Roman" w:hAnsi="Times New Roman"/>
          <w:sz w:val="22"/>
          <w:szCs w:val="22"/>
        </w:rPr>
        <w:t xml:space="preserve">A reinstatement reverses the sign and may, in addition, raise measured GDP mechanically rather than behaviourally, by moving activity from the unobserved to the observed economy. This accounting channel is neutralised within the European Union after 2014, when illegal production entered the accounts whatever its legal status, but it is live for reforms before that date.</w:t>
      </w:r>
    </w:p>
    <w:p>
      <w:pPr>
        <w:pStyle w:val="Heading2"/>
        <w:spacing w:after="110" w:before="240"/>
      </w:pPr>
      <w:r>
        <w:rPr>
          <w:rFonts w:ascii="Times New Roman" w:cs="Times New Roman" w:eastAsia="Times New Roman" w:hAnsi="Times New Roman"/>
          <w:b/>
          <w:bCs/>
          <w:color w:val="000000"/>
          <w:sz w:val="23"/>
          <w:szCs w:val="23"/>
        </w:rPr>
        <w:t xml:space="preserve">3.2 Velocity</w:t>
      </w:r>
    </w:p>
    <w:p>
      <w:pPr>
        <w:spacing w:after="140" w:before="0" w:line="320"/>
        <w:jc w:val="both"/>
      </w:pPr>
      <w:r>
        <w:rPr>
          <w:rFonts w:ascii="Times New Roman" w:cs="Times New Roman" w:eastAsia="Times New Roman" w:hAnsi="Times New Roman"/>
          <w:sz w:val="22"/>
          <w:szCs w:val="22"/>
        </w:rPr>
        <w:t xml:space="preserve">With velocity defined from the quantity identity as V = PY/M, and with the money stock set by the central bank rather than by the sex trade, a first-order change in measured output passes straight through:</w:t>
      </w:r>
    </w:p>
    <w:p>
      <w:pPr>
        <w:spacing w:after="100" w:before="100"/>
        <w:jc w:val="center"/>
      </w:pPr>
      <w:r>
        <w:rPr>
          <w:rFonts w:ascii="Times New Roman" w:cs="Times New Roman" w:eastAsia="Times New Roman" w:hAnsi="Times New Roman"/>
          <w:i/>
          <w:iCs/>
          <w:sz w:val="23"/>
          <w:szCs w:val="23"/>
        </w:rPr>
        <w:t xml:space="preserve">Δ ln V ≈ Δ ln Y = − φ · s</w:t>
      </w:r>
      <w:r>
        <w:rPr>
          <w:rFonts w:ascii="Times New Roman" w:cs="Times New Roman" w:eastAsia="Times New Roman" w:hAnsi="Times New Roman"/>
          <w:sz w:val="20"/>
          <w:szCs w:val="20"/>
        </w:rPr>
        <w:t xml:space="preserve">     (2)</w:t>
      </w:r>
    </w:p>
    <w:p>
      <w:pPr>
        <w:spacing w:after="140" w:before="0" w:line="320"/>
        <w:jc w:val="both"/>
      </w:pPr>
      <w:r>
        <w:rPr>
          <w:rFonts w:ascii="Times New Roman" w:cs="Times New Roman" w:eastAsia="Times New Roman" w:hAnsi="Times New Roman"/>
          <w:sz w:val="22"/>
          <w:szCs w:val="22"/>
        </w:rPr>
        <w:t xml:space="preserve">Prohibition should therefore lower measured velocity and liberalisation should raise it. Because MV = PY is an identity, the adjustment must also appear in prices or in money growth if it appears at all, which is why inflation and broad money growth are carried as outcomes alongside velocity.</w:t>
      </w:r>
    </w:p>
    <w:p>
      <w:pPr>
        <w:pStyle w:val="Heading2"/>
        <w:spacing w:after="110" w:before="240"/>
      </w:pPr>
      <w:r>
        <w:rPr>
          <w:rFonts w:ascii="Times New Roman" w:cs="Times New Roman" w:eastAsia="Times New Roman" w:hAnsi="Times New Roman"/>
          <w:b/>
          <w:bCs/>
          <w:color w:val="000000"/>
          <w:sz w:val="23"/>
          <w:szCs w:val="23"/>
        </w:rPr>
        <w:t xml:space="preserve">3.3 The money multiplier</w:t>
      </w:r>
    </w:p>
    <w:p>
      <w:pPr>
        <w:spacing w:after="140" w:before="0" w:line="320"/>
        <w:jc w:val="both"/>
      </w:pPr>
      <w:r>
        <w:rPr>
          <w:rFonts w:ascii="Times New Roman" w:cs="Times New Roman" w:eastAsia="Times New Roman" w:hAnsi="Times New Roman"/>
          <w:sz w:val="22"/>
          <w:szCs w:val="22"/>
        </w:rPr>
        <w:t xml:space="preserve">The multiplier channel runs through a different door. Writing c for the currency-to-deposit ratio and r for reserves to deposits, with M2 = C + D and the monetary base MB = C + R, the textbook multiplier and its derivative are</w:t>
      </w:r>
    </w:p>
    <w:p>
      <w:pPr>
        <w:spacing w:after="100" w:before="100"/>
        <w:jc w:val="center"/>
      </w:pPr>
      <w:r>
        <w:rPr>
          <w:rFonts w:ascii="Times New Roman" w:cs="Times New Roman" w:eastAsia="Times New Roman" w:hAnsi="Times New Roman"/>
          <w:i/>
          <w:iCs/>
          <w:sz w:val="23"/>
          <w:szCs w:val="23"/>
        </w:rPr>
        <w:t xml:space="preserve">m = (1 + c)/(r + c),     ∂m/∂c = (r − 1)/(r + c)² &lt; 0</w:t>
      </w:r>
      <w:r>
        <w:rPr>
          <w:rFonts w:ascii="Times New Roman" w:cs="Times New Roman" w:eastAsia="Times New Roman" w:hAnsi="Times New Roman"/>
          <w:sz w:val="20"/>
          <w:szCs w:val="20"/>
        </w:rPr>
        <w:t xml:space="preserve">     (3)</w:t>
      </w:r>
    </w:p>
    <w:p>
      <w:pPr>
        <w:spacing w:after="140" w:before="0" w:line="320"/>
        <w:jc w:val="both"/>
      </w:pPr>
      <w:r>
        <w:rPr>
          <w:rFonts w:ascii="Times New Roman" w:cs="Times New Roman" w:eastAsia="Times New Roman" w:hAnsi="Times New Roman"/>
          <w:sz w:val="22"/>
          <w:szCs w:val="22"/>
        </w:rPr>
        <w:t xml:space="preserve">A prohibition that pushes the trade into cash raises c and therefore lowers m. If the suppressed turnover is φ·T and a unit of currency is re-spent n times a year, the additional currency that must be held is φ·T/n, so Δc = (φ·T/n)/D. Since prostitution is close to a pure labour service, gross output is a reasonable proxy for turnover, and T ≈ s·GDP.</w:t>
      </w:r>
    </w:p>
    <w:p>
      <w:pPr>
        <w:spacing w:after="140" w:before="0" w:line="320"/>
        <w:jc w:val="both"/>
      </w:pPr>
      <w:r>
        <w:rPr>
          <w:rFonts w:ascii="Times New Roman" w:cs="Times New Roman" w:eastAsia="Times New Roman" w:hAnsi="Times New Roman"/>
          <w:sz w:val="22"/>
          <w:szCs w:val="22"/>
        </w:rPr>
        <w:t xml:space="preserve">The pre-registered prediction is thus a clean triplet: prohibition lowers output, velocity and the multiplier and raises prices; reinstatement reverses all four. An estimate bearing the wrong sign, or one far larger than the sector can mechanically supply, is evidence of confounding rather than of effect.</w:t>
      </w:r>
    </w:p>
    <w:p>
      <w:pPr>
        <w:pStyle w:val="Heading1"/>
        <w:spacing w:after="150" w:before="320"/>
      </w:pPr>
      <w:r>
        <w:rPr>
          <w:rFonts w:ascii="Times New Roman" w:cs="Times New Roman" w:eastAsia="Times New Roman" w:hAnsi="Times New Roman"/>
          <w:b/>
          <w:bCs/>
          <w:color w:val="000000"/>
          <w:sz w:val="26"/>
          <w:szCs w:val="26"/>
        </w:rPr>
        <w:t xml:space="preserve">4. Data</w:t>
      </w:r>
    </w:p>
    <w:p>
      <w:pPr>
        <w:pStyle w:val="Heading2"/>
        <w:spacing w:after="110" w:before="240"/>
      </w:pPr>
      <w:r>
        <w:rPr>
          <w:rFonts w:ascii="Times New Roman" w:cs="Times New Roman" w:eastAsia="Times New Roman" w:hAnsi="Times New Roman"/>
          <w:b/>
          <w:bCs/>
          <w:color w:val="000000"/>
          <w:sz w:val="23"/>
          <w:szCs w:val="23"/>
        </w:rPr>
        <w:t xml:space="preserve">4.1 Legal regime changes</w:t>
      </w:r>
    </w:p>
    <w:p>
      <w:pPr>
        <w:spacing w:after="140" w:before="0" w:line="320"/>
        <w:jc w:val="both"/>
      </w:pPr>
      <w:r>
        <w:rPr>
          <w:rFonts w:ascii="Times New Roman" w:cs="Times New Roman" w:eastAsia="Times New Roman" w:hAnsi="Times New Roman"/>
          <w:sz w:val="22"/>
          <w:szCs w:val="22"/>
        </w:rPr>
        <w:t xml:space="preserve">I compiled 20 dated changes in prostitution law between 1999 and 2022 across 18 jurisdictions, 12 of them prohibitions or tightenings and 8 legalisations, decriminalisations or formal regulation. Each is recorded with its in-force date, the instrument, and a source; the full list appears in Appendix Table A1. 17 are national and three are sub-national: the Northern Ireland sex-purchase offence of 1 June 2015, and the two Rhode Island events that bracket the de facto decriminalisation of indoor prostitution between 2003 and 2009.</w:t>
      </w:r>
    </w:p>
    <w:p>
      <w:pPr>
        <w:spacing w:after="140" w:before="0" w:line="320"/>
        <w:jc w:val="both"/>
      </w:pPr>
      <w:r>
        <w:rPr>
          <w:rFonts w:ascii="Times New Roman" w:cs="Times New Roman" w:eastAsia="Times New Roman" w:hAnsi="Times New Roman"/>
          <w:sz w:val="22"/>
          <w:szCs w:val="22"/>
        </w:rPr>
        <w:t xml:space="preserve">Coding the date of a reform is not always straightforward, and I use the date on which the operative provision came into force rather than the date of passage. Israel is the clearest case: the statute was adopted on 31 December 2018, published on 10 January 2019 and came into force on 10 July 2020, which leaves it with no post-reform years inside the estimation window.</w:t>
      </w:r>
    </w:p>
    <w:p>
      <w:pPr>
        <w:pStyle w:val="Heading2"/>
        <w:spacing w:after="110" w:before="240"/>
      </w:pPr>
      <w:r>
        <w:rPr>
          <w:rFonts w:ascii="Times New Roman" w:cs="Times New Roman" w:eastAsia="Times New Roman" w:hAnsi="Times New Roman"/>
          <w:b/>
          <w:bCs/>
          <w:color w:val="000000"/>
          <w:sz w:val="23"/>
          <w:szCs w:val="23"/>
        </w:rPr>
        <w:t xml:space="preserve">4.2 Measurement of the sector</w:t>
      </w:r>
    </w:p>
    <w:p>
      <w:pPr>
        <w:spacing w:after="140" w:before="0" w:line="320"/>
        <w:jc w:val="both"/>
      </w:pPr>
      <w:r>
        <w:rPr>
          <w:rFonts w:ascii="Times New Roman" w:cs="Times New Roman" w:eastAsia="Times New Roman" w:hAnsi="Times New Roman"/>
          <w:sz w:val="22"/>
          <w:szCs w:val="22"/>
        </w:rPr>
        <w:t xml:space="preserve">Appendix Table A2 lists every quantitative measurement of sector size I could source. Two features deserve emphasis. First, the dispersion across statistical agencies is large: the ONS places UK prostitution at roughly 0.37% of GDP while Statistics Netherlands places the Dutch sector at about 0.08%, a fivefold divergence between two neighbouring agencies working under the same ESA 2010 obligation. Part of any measured movement in GDP around a reform is therefore the accounting treatment changing rather than behaviour. Second, South Korea is an outlier by two orders of magnitude: the Korean Institute of Criminology put the 2002 sex trade at 24 trillion won, approximately 4.1% of GDP, and the Korea Women's Development Institute reported 14 trillion won for 2007, with transactions falling from 170 million to 94 million over the same period.</w:t>
      </w:r>
    </w:p>
    <w:p>
      <w:pPr>
        <w:pStyle w:val="Heading2"/>
        <w:spacing w:after="110" w:before="240"/>
      </w:pPr>
      <w:r>
        <w:rPr>
          <w:rFonts w:ascii="Times New Roman" w:cs="Times New Roman" w:eastAsia="Times New Roman" w:hAnsi="Times New Roman"/>
          <w:b/>
          <w:bCs/>
          <w:color w:val="000000"/>
          <w:sz w:val="23"/>
          <w:szCs w:val="23"/>
        </w:rPr>
        <w:t xml:space="preserve">4.3 Macroeconomic panel</w:t>
      </w:r>
    </w:p>
    <w:p>
      <w:pPr>
        <w:spacing w:after="140" w:before="0" w:line="320"/>
        <w:jc w:val="both"/>
      </w:pPr>
      <w:r>
        <w:rPr>
          <w:rFonts w:ascii="Times New Roman" w:cs="Times New Roman" w:eastAsia="Times New Roman" w:hAnsi="Times New Roman"/>
          <w:sz w:val="22"/>
          <w:szCs w:val="22"/>
        </w:rPr>
        <w:t xml:space="preserve">Macroeconomic series come from the World Bank's World Development Indicators for 1960–2020, covering 214 countries: GDP in current and constant local currency, GDP per capita, the GDP deflator, broad money in current local currency and as a share of GDP, the ratio of bank liquid reserves to bank assets, domestic credit to the private sector, net domestic credit and consumer prices. Velocity is constructed as nominal GDP divided by broad money. Two multiplier proxies are used: a credit multiplier, private credit divided by broad money, and a bank liquidity multiplier, the inverse of the liquid-reserves-to-assets ratio.</w:t>
      </w:r>
    </w:p>
    <w:p>
      <w:pPr>
        <w:spacing w:after="140" w:before="0" w:line="320"/>
        <w:jc w:val="both"/>
      </w:pPr>
      <w:r>
        <w:rPr>
          <w:rFonts w:ascii="Times New Roman" w:cs="Times New Roman" w:eastAsia="Times New Roman" w:hAnsi="Times New Roman"/>
          <w:sz w:val="22"/>
          <w:szCs w:val="22"/>
        </w:rPr>
        <w:t xml:space="preserve">The textbook M2/M0 multiplier cannot be constructed here, because no reachable source carries monetary base or M1 for a country panel. This is a genuine limitation and the paper is explicit about it: equation (3) is evaluated analytically using the reserve ratio observed in the data and a parameterised currency ratio, while the two observable ratios serve as the empirical multiplier outcomes.</w:t>
      </w:r>
    </w:p>
    <w:p>
      <w:pPr>
        <w:pStyle w:val="Heading2"/>
        <w:spacing w:after="110" w:before="240"/>
      </w:pPr>
      <w:r>
        <w:rPr>
          <w:rFonts w:ascii="Times New Roman" w:cs="Times New Roman" w:eastAsia="Times New Roman" w:hAnsi="Times New Roman"/>
          <w:b/>
          <w:bCs/>
          <w:color w:val="000000"/>
          <w:sz w:val="23"/>
          <w:szCs w:val="23"/>
        </w:rPr>
        <w:t xml:space="preserve">4.4 A data-abundance index</w:t>
      </w:r>
    </w:p>
    <w:p>
      <w:pPr>
        <w:spacing w:after="140" w:before="0" w:line="320"/>
        <w:jc w:val="both"/>
      </w:pPr>
      <w:r>
        <w:rPr>
          <w:rFonts w:ascii="Times New Roman" w:cs="Times New Roman" w:eastAsia="Times New Roman" w:hAnsi="Times New Roman"/>
          <w:sz w:val="22"/>
          <w:szCs w:val="22"/>
        </w:rPr>
        <w:t xml:space="preserve">The question requires four things at once: a measured sector (L1), a reform that is testable in the sense of having at least three years either side within the window and a money stock that exists over it (L2), monetary aggregates (L3), and national accounts (L4). A jurisdiction lacking any one of them cannot answer the question, so the composite is the geometric mean of the four normalised legs, which a zero on any leg drives to zero. Table 1 reports the ranking.</w:t>
      </w:r>
    </w:p>
    <w:p>
      <w:pPr>
        <w:spacing w:after="70" w:before="140"/>
        <w:jc w:val="left"/>
      </w:pPr>
      <w:r>
        <w:rPr>
          <w:rFonts w:ascii="Times New Roman" w:cs="Times New Roman" w:eastAsia="Times New Roman" w:hAnsi="Times New Roman"/>
          <w:sz w:val="19"/>
          <w:szCs w:val="19"/>
        </w:rPr>
        <w:t xml:space="preserve">Table 1. Data-abundance index, leading jurisdictions.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820"/>
        <w:gridCol w:w="720"/>
        <w:gridCol w:w="720"/>
        <w:gridCol w:w="720"/>
        <w:gridCol w:w="720"/>
        <w:gridCol w:w="1180"/>
        <w:gridCol w:w="1300"/>
        <w:gridCol w:w="1080"/>
      </w:tblGrid>
      <w:tr>
        <w:trPr>
          <w:cantSplit/>
          <w:tblHeader/>
        </w:trPr>
        <w:tc>
          <w:tcPr>
            <w:tcW w:type="dxa" w:w="210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b/>
                <w:bCs/>
                <w:sz w:val="18"/>
                <w:szCs w:val="18"/>
              </w:rPr>
              <w:t xml:space="preserve">Jurisdiction</w:t>
            </w:r>
          </w:p>
        </w:tc>
        <w:tc>
          <w:tcPr>
            <w:tcW w:type="dxa" w:w="82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b/>
                <w:bCs/>
                <w:sz w:val="18"/>
                <w:szCs w:val="18"/>
              </w:rPr>
              <w:t xml:space="preserve">Score</w:t>
            </w:r>
          </w:p>
        </w:tc>
        <w:tc>
          <w:tcPr>
            <w:tcW w:type="dxa" w:w="72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b/>
                <w:bCs/>
                <w:sz w:val="18"/>
                <w:szCs w:val="18"/>
              </w:rPr>
              <w:t xml:space="preserve">L1</w:t>
            </w:r>
          </w:p>
        </w:tc>
        <w:tc>
          <w:tcPr>
            <w:tcW w:type="dxa" w:w="72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b/>
                <w:bCs/>
                <w:sz w:val="18"/>
                <w:szCs w:val="18"/>
              </w:rPr>
              <w:t xml:space="preserve">L2</w:t>
            </w:r>
          </w:p>
        </w:tc>
        <w:tc>
          <w:tcPr>
            <w:tcW w:type="dxa" w:w="72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b/>
                <w:bCs/>
                <w:sz w:val="18"/>
                <w:szCs w:val="18"/>
              </w:rPr>
              <w:t xml:space="preserve">L3</w:t>
            </w:r>
          </w:p>
        </w:tc>
        <w:tc>
          <w:tcPr>
            <w:tcW w:type="dxa" w:w="72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b/>
                <w:bCs/>
                <w:sz w:val="18"/>
                <w:szCs w:val="18"/>
              </w:rPr>
              <w:t xml:space="preserve">L4</w:t>
            </w:r>
          </w:p>
        </w:tc>
        <w:tc>
          <w:tcPr>
            <w:tcW w:type="dxa" w:w="118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b/>
                <w:bCs/>
                <w:sz w:val="18"/>
                <w:szCs w:val="18"/>
              </w:rPr>
              <w:t xml:space="preserve">Official yrs</w:t>
            </w:r>
          </w:p>
        </w:tc>
        <w:tc>
          <w:tcPr>
            <w:tcW w:type="dxa" w:w="130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b/>
                <w:bCs/>
                <w:sz w:val="18"/>
                <w:szCs w:val="18"/>
              </w:rPr>
              <w:t xml:space="preserve">Sector, % GDP</w:t>
            </w:r>
          </w:p>
        </w:tc>
        <w:tc>
          <w:tcPr>
            <w:tcW w:type="dxa" w:w="108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b/>
                <w:bCs/>
                <w:sz w:val="18"/>
                <w:szCs w:val="18"/>
              </w:rPr>
              <w:t xml:space="preserve">Velocity yrs</w:t>
            </w:r>
          </w:p>
        </w:tc>
      </w:tr>
      <w:tr>
        <w:trPr>
          <w:cantSplit/>
        </w:trPr>
        <w:tc>
          <w:tcPr>
            <w:tcW w:type="dxa" w:w="21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1. United Kingdom</w:t>
            </w:r>
          </w:p>
        </w:tc>
        <w:tc>
          <w:tcPr>
            <w:tcW w:type="dxa" w:w="8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0.911</w:t>
            </w:r>
          </w:p>
        </w:tc>
        <w:tc>
          <w:tcPr>
            <w:tcW w:type="dxa" w:w="7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0.76</w:t>
            </w:r>
          </w:p>
        </w:tc>
        <w:tc>
          <w:tcPr>
            <w:tcW w:type="dxa" w:w="7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1.00</w:t>
            </w:r>
          </w:p>
        </w:tc>
        <w:tc>
          <w:tcPr>
            <w:tcW w:type="dxa" w:w="7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0.90</w:t>
            </w:r>
          </w:p>
        </w:tc>
        <w:tc>
          <w:tcPr>
            <w:tcW w:type="dxa" w:w="7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1.00</w:t>
            </w:r>
          </w:p>
        </w:tc>
        <w:tc>
          <w:tcPr>
            <w:tcW w:type="dxa" w:w="11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24</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0.37</w:t>
            </w:r>
          </w:p>
        </w:tc>
        <w:tc>
          <w:tcPr>
            <w:tcW w:type="dxa" w:w="10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61</w:t>
            </w:r>
          </w:p>
        </w:tc>
      </w:tr>
      <w:tr>
        <w:trPr>
          <w:cantSplit/>
        </w:trPr>
        <w:tc>
          <w:tcPr>
            <w:tcW w:type="dxa" w:w="21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2. United States</w:t>
            </w:r>
          </w:p>
        </w:tc>
        <w:tc>
          <w:tcPr>
            <w:tcW w:type="dxa" w:w="8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0.904</w:t>
            </w:r>
          </w:p>
        </w:tc>
        <w:tc>
          <w:tcPr>
            <w:tcW w:type="dxa" w:w="7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1.00</w:t>
            </w:r>
          </w:p>
        </w:tc>
        <w:tc>
          <w:tcPr>
            <w:tcW w:type="dxa" w:w="7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0.67</w:t>
            </w:r>
          </w:p>
        </w:tc>
        <w:tc>
          <w:tcPr>
            <w:tcW w:type="dxa" w:w="7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1.00</w:t>
            </w:r>
          </w:p>
        </w:tc>
        <w:tc>
          <w:tcPr>
            <w:tcW w:type="dxa" w:w="7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1.00</w:t>
            </w:r>
          </w:p>
        </w:tc>
        <w:tc>
          <w:tcPr>
            <w:tcW w:type="dxa" w:w="11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53</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0.02</w:t>
            </w:r>
          </w:p>
        </w:tc>
        <w:tc>
          <w:tcPr>
            <w:tcW w:type="dxa" w:w="10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61</w:t>
            </w:r>
          </w:p>
        </w:tc>
      </w:tr>
      <w:tr>
        <w:trPr>
          <w:cantSplit/>
        </w:trPr>
        <w:tc>
          <w:tcPr>
            <w:tcW w:type="dxa" w:w="21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3. Sweden</w:t>
            </w:r>
          </w:p>
        </w:tc>
        <w:tc>
          <w:tcPr>
            <w:tcW w:type="dxa" w:w="8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0.625</w:t>
            </w:r>
          </w:p>
        </w:tc>
        <w:tc>
          <w:tcPr>
            <w:tcW w:type="dxa" w:w="7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0.23</w:t>
            </w:r>
          </w:p>
        </w:tc>
        <w:tc>
          <w:tcPr>
            <w:tcW w:type="dxa" w:w="7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0.67</w:t>
            </w:r>
          </w:p>
        </w:tc>
        <w:tc>
          <w:tcPr>
            <w:tcW w:type="dxa" w:w="7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1.00</w:t>
            </w:r>
          </w:p>
        </w:tc>
        <w:tc>
          <w:tcPr>
            <w:tcW w:type="dxa" w:w="7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1.00</w:t>
            </w:r>
          </w:p>
        </w:tc>
        <w:tc>
          <w:tcPr>
            <w:tcW w:type="dxa" w:w="11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7</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0.10</w:t>
            </w:r>
          </w:p>
        </w:tc>
        <w:tc>
          <w:tcPr>
            <w:tcW w:type="dxa" w:w="10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61</w:t>
            </w:r>
          </w:p>
        </w:tc>
      </w:tr>
      <w:tr>
        <w:trPr>
          <w:cantSplit/>
        </w:trPr>
        <w:tc>
          <w:tcPr>
            <w:tcW w:type="dxa" w:w="21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4. South Korea</w:t>
            </w:r>
          </w:p>
        </w:tc>
        <w:tc>
          <w:tcPr>
            <w:tcW w:type="dxa" w:w="8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0.607</w:t>
            </w:r>
          </w:p>
        </w:tc>
        <w:tc>
          <w:tcPr>
            <w:tcW w:type="dxa" w:w="7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0.20</w:t>
            </w:r>
          </w:p>
        </w:tc>
        <w:tc>
          <w:tcPr>
            <w:tcW w:type="dxa" w:w="7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0.67</w:t>
            </w:r>
          </w:p>
        </w:tc>
        <w:tc>
          <w:tcPr>
            <w:tcW w:type="dxa" w:w="7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1.00</w:t>
            </w:r>
          </w:p>
        </w:tc>
        <w:tc>
          <w:tcPr>
            <w:tcW w:type="dxa" w:w="7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1.00</w:t>
            </w:r>
          </w:p>
        </w:tc>
        <w:tc>
          <w:tcPr>
            <w:tcW w:type="dxa" w:w="11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4.10</w:t>
            </w:r>
          </w:p>
        </w:tc>
        <w:tc>
          <w:tcPr>
            <w:tcW w:type="dxa" w:w="10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61</w:t>
            </w:r>
          </w:p>
        </w:tc>
      </w:tr>
      <w:tr>
        <w:trPr>
          <w:cantSplit/>
        </w:trPr>
        <w:tc>
          <w:tcPr>
            <w:tcW w:type="dxa" w:w="21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5. Denmark</w:t>
            </w:r>
          </w:p>
        </w:tc>
        <w:tc>
          <w:tcPr>
            <w:tcW w:type="dxa" w:w="8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0.408</w:t>
            </w:r>
          </w:p>
        </w:tc>
        <w:tc>
          <w:tcPr>
            <w:tcW w:type="dxa" w:w="7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0.05</w:t>
            </w:r>
          </w:p>
        </w:tc>
        <w:tc>
          <w:tcPr>
            <w:tcW w:type="dxa" w:w="7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0.67</w:t>
            </w:r>
          </w:p>
        </w:tc>
        <w:tc>
          <w:tcPr>
            <w:tcW w:type="dxa" w:w="7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0.91</w:t>
            </w:r>
          </w:p>
        </w:tc>
        <w:tc>
          <w:tcPr>
            <w:tcW w:type="dxa" w:w="7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0.90</w:t>
            </w:r>
          </w:p>
        </w:tc>
        <w:tc>
          <w:tcPr>
            <w:tcW w:type="dxa" w:w="11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0.10</w:t>
            </w:r>
          </w:p>
        </w:tc>
        <w:tc>
          <w:tcPr>
            <w:tcW w:type="dxa" w:w="10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55</w:t>
            </w:r>
          </w:p>
        </w:tc>
      </w:tr>
      <w:tr>
        <w:trPr>
          <w:cantSplit/>
        </w:trPr>
        <w:tc>
          <w:tcPr>
            <w:tcW w:type="dxa" w:w="21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6. Norway</w:t>
            </w:r>
          </w:p>
        </w:tc>
        <w:tc>
          <w:tcPr>
            <w:tcW w:type="dxa" w:w="8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0.406</w:t>
            </w:r>
          </w:p>
        </w:tc>
        <w:tc>
          <w:tcPr>
            <w:tcW w:type="dxa" w:w="7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0.05</w:t>
            </w:r>
          </w:p>
        </w:tc>
        <w:tc>
          <w:tcPr>
            <w:tcW w:type="dxa" w:w="7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0.67</w:t>
            </w:r>
          </w:p>
        </w:tc>
        <w:tc>
          <w:tcPr>
            <w:tcW w:type="dxa" w:w="7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0.80</w:t>
            </w:r>
          </w:p>
        </w:tc>
        <w:tc>
          <w:tcPr>
            <w:tcW w:type="dxa" w:w="7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1.00</w:t>
            </w:r>
          </w:p>
        </w:tc>
        <w:tc>
          <w:tcPr>
            <w:tcW w:type="dxa" w:w="11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0.10</w:t>
            </w:r>
          </w:p>
        </w:tc>
        <w:tc>
          <w:tcPr>
            <w:tcW w:type="dxa" w:w="10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61</w:t>
            </w:r>
          </w:p>
        </w:tc>
      </w:tr>
      <w:tr>
        <w:trPr>
          <w:cantSplit/>
        </w:trPr>
        <w:tc>
          <w:tcPr>
            <w:tcW w:type="dxa" w:w="21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7. New Zealand</w:t>
            </w:r>
          </w:p>
        </w:tc>
        <w:tc>
          <w:tcPr>
            <w:tcW w:type="dxa" w:w="8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0.382</w:t>
            </w:r>
          </w:p>
        </w:tc>
        <w:tc>
          <w:tcPr>
            <w:tcW w:type="dxa" w:w="7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0.05</w:t>
            </w:r>
          </w:p>
        </w:tc>
        <w:tc>
          <w:tcPr>
            <w:tcW w:type="dxa" w:w="7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0.67</w:t>
            </w:r>
          </w:p>
        </w:tc>
        <w:tc>
          <w:tcPr>
            <w:tcW w:type="dxa" w:w="7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0.64</w:t>
            </w:r>
          </w:p>
        </w:tc>
        <w:tc>
          <w:tcPr>
            <w:tcW w:type="dxa" w:w="7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0.98</w:t>
            </w:r>
          </w:p>
        </w:tc>
        <w:tc>
          <w:tcPr>
            <w:tcW w:type="dxa" w:w="11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0.20</w:t>
            </w:r>
          </w:p>
        </w:tc>
        <w:tc>
          <w:tcPr>
            <w:tcW w:type="dxa" w:w="10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58</w:t>
            </w:r>
          </w:p>
        </w:tc>
      </w:tr>
      <w:tr>
        <w:trPr>
          <w:cantSplit/>
        </w:trPr>
        <w:tc>
          <w:tcPr>
            <w:tcW w:type="dxa" w:w="21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8. Hungary</w:t>
            </w:r>
          </w:p>
        </w:tc>
        <w:tc>
          <w:tcPr>
            <w:tcW w:type="dxa" w:w="8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0.308</w:t>
            </w:r>
          </w:p>
        </w:tc>
        <w:tc>
          <w:tcPr>
            <w:tcW w:type="dxa" w:w="7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0.05</w:t>
            </w:r>
          </w:p>
        </w:tc>
        <w:tc>
          <w:tcPr>
            <w:tcW w:type="dxa" w:w="7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0.67</w:t>
            </w:r>
          </w:p>
        </w:tc>
        <w:tc>
          <w:tcPr>
            <w:tcW w:type="dxa" w:w="7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0.54</w:t>
            </w:r>
          </w:p>
        </w:tc>
        <w:tc>
          <w:tcPr>
            <w:tcW w:type="dxa" w:w="7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0.49</w:t>
            </w:r>
          </w:p>
        </w:tc>
        <w:tc>
          <w:tcPr>
            <w:tcW w:type="dxa" w:w="11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0.15</w:t>
            </w:r>
          </w:p>
        </w:tc>
        <w:tc>
          <w:tcPr>
            <w:tcW w:type="dxa" w:w="10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30</w:t>
            </w:r>
          </w:p>
        </w:tc>
      </w:tr>
      <w:tr>
        <w:trPr>
          <w:cantSplit/>
        </w:trPr>
        <w:tc>
          <w:tcPr>
            <w:tcW w:type="dxa" w:w="21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9. Iceland</w:t>
            </w:r>
          </w:p>
        </w:tc>
        <w:tc>
          <w:tcPr>
            <w:tcW w:type="dxa" w:w="8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0.161</w:t>
            </w:r>
          </w:p>
        </w:tc>
        <w:tc>
          <w:tcPr>
            <w:tcW w:type="dxa" w:w="7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0.00</w:t>
            </w:r>
          </w:p>
        </w:tc>
        <w:tc>
          <w:tcPr>
            <w:tcW w:type="dxa" w:w="7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0.67</w:t>
            </w:r>
          </w:p>
        </w:tc>
        <w:tc>
          <w:tcPr>
            <w:tcW w:type="dxa" w:w="7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1.00</w:t>
            </w:r>
          </w:p>
        </w:tc>
        <w:tc>
          <w:tcPr>
            <w:tcW w:type="dxa" w:w="7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1.00</w:t>
            </w:r>
          </w:p>
        </w:tc>
        <w:tc>
          <w:tcPr>
            <w:tcW w:type="dxa" w:w="11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0.10</w:t>
            </w:r>
          </w:p>
        </w:tc>
        <w:tc>
          <w:tcPr>
            <w:tcW w:type="dxa" w:w="10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61</w:t>
            </w:r>
          </w:p>
        </w:tc>
      </w:tr>
      <w:tr>
        <w:trPr>
          <w:cantSplit/>
        </w:trPr>
        <w:tc>
          <w:tcPr>
            <w:tcW w:type="dxa" w:w="210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10. Australia</w:t>
            </w:r>
          </w:p>
        </w:tc>
        <w:tc>
          <w:tcPr>
            <w:tcW w:type="dxa" w:w="82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0.084</w:t>
            </w:r>
          </w:p>
        </w:tc>
        <w:tc>
          <w:tcPr>
            <w:tcW w:type="dxa" w:w="72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0.05</w:t>
            </w:r>
          </w:p>
        </w:tc>
        <w:tc>
          <w:tcPr>
            <w:tcW w:type="dxa" w:w="72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0.00</w:t>
            </w:r>
          </w:p>
        </w:tc>
        <w:tc>
          <w:tcPr>
            <w:tcW w:type="dxa" w:w="72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1.00</w:t>
            </w:r>
          </w:p>
        </w:tc>
        <w:tc>
          <w:tcPr>
            <w:tcW w:type="dxa" w:w="72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1.00</w:t>
            </w:r>
          </w:p>
        </w:tc>
        <w:tc>
          <w:tcPr>
            <w:tcW w:type="dxa" w:w="118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w:t>
            </w:r>
          </w:p>
        </w:tc>
        <w:tc>
          <w:tcPr>
            <w:tcW w:type="dxa" w:w="130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0.20</w:t>
            </w:r>
          </w:p>
        </w:tc>
        <w:tc>
          <w:tcPr>
            <w:tcW w:type="dxa" w:w="108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61</w:t>
            </w:r>
          </w:p>
        </w:tc>
      </w:tr>
    </w:tbl>
    <w:p>
      <w:pPr>
        <w:spacing w:after="190" w:before="60"/>
        <w:jc w:val="both"/>
      </w:pPr>
      <w:r>
        <w:rPr>
          <w:rFonts w:ascii="Times New Roman" w:cs="Times New Roman" w:eastAsia="Times New Roman" w:hAnsi="Times New Roman"/>
          <w:sz w:val="18"/>
          <w:szCs w:val="18"/>
        </w:rPr>
        <w:t xml:space="preserve">Notes: Geometric mean of four normalised legs — L1 measured sector, L2 testable reforms, L3 monetary aggregates, L4 national accounts. "Official yrs" counts years for which a statistical agency publishes a prostitution-specific output figure. Full table in the replication materials.</w:t>
      </w:r>
    </w:p>
    <w:p>
      <w:pPr>
        <w:spacing w:after="140" w:before="0" w:line="320"/>
        <w:jc w:val="both"/>
      </w:pPr>
      <w:r>
        <w:rPr>
          <w:rFonts w:ascii="Times New Roman" w:cs="Times New Roman" w:eastAsia="Times New Roman" w:hAnsi="Times New Roman"/>
          <w:sz w:val="22"/>
          <w:szCs w:val="22"/>
        </w:rPr>
        <w:t xml:space="preserve">The United Kingdom ranks first at 0.911, and is the only jurisdiction strong on all four legs: 24 years of prostitution output inside official GDP, a national reform in 2010, a within-country reform in Northern Ireland in 2015 that leaves Great Britain as a control group, and 61 unbroken years of its own broad money. The United States ranks second at 0.904 and wins the measurement leg outright with 53 years of BEA estimates, but those sit in a satellite account rather than in GDP, the sector is measured at only 0.02% of GDP, and there has never been a national reform to test. South Korea ranks fourth yet matters more than its rank implies, because its sector is the only one large enough to give the question any statistical power.</w:t>
      </w:r>
    </w:p>
    <w:p>
      <w:pPr>
        <w:spacing w:after="140" w:before="0" w:line="320"/>
        <w:jc w:val="both"/>
      </w:pPr>
      <w:r>
        <w:rPr>
          <w:rFonts w:ascii="Times New Roman" w:cs="Times New Roman" w:eastAsia="Times New Roman" w:hAnsi="Times New Roman"/>
          <w:sz w:val="22"/>
          <w:szCs w:val="22"/>
        </w:rPr>
        <w:t xml:space="preserve">Euro-area members cluster at the bottom, and not because their prostitution data is poor — the Netherlands and Italy publish more of it than most. Monetary union erased their national money stocks, so their velocity and multiplier legs are exactly zero. This removes the Netherlands 2000 brothel-ban repeal, Germany 2002 and 2017, France 2016 and Ireland 2017 from every monetary test. Canada is lost for a different reason: its broad-money series ends in 2008, six years before the Protection of Communities and Exploited Persons Act.</w:t>
      </w:r>
    </w:p>
    <w:p>
      <w:pPr>
        <w:pStyle w:val="Heading1"/>
        <w:spacing w:after="150" w:before="320"/>
      </w:pPr>
      <w:r>
        <w:rPr>
          <w:rFonts w:ascii="Times New Roman" w:cs="Times New Roman" w:eastAsia="Times New Roman" w:hAnsi="Times New Roman"/>
          <w:b/>
          <w:bCs/>
          <w:color w:val="000000"/>
          <w:sz w:val="26"/>
          <w:szCs w:val="26"/>
        </w:rPr>
        <w:t xml:space="preserve">5. The magnitude problem</w:t>
      </w:r>
    </w:p>
    <w:p>
      <w:pPr>
        <w:spacing w:after="140" w:before="0" w:line="320"/>
        <w:jc w:val="both"/>
      </w:pPr>
      <w:r>
        <w:rPr>
          <w:rFonts w:ascii="Times New Roman" w:cs="Times New Roman" w:eastAsia="Times New Roman" w:hAnsi="Times New Roman"/>
          <w:sz w:val="22"/>
          <w:szCs w:val="22"/>
        </w:rPr>
        <w:t xml:space="preserve">Table 2 evaluates equations (1) to (3) at φ = 0.5, c = 0.05 and n = 20, using the observed reserve ratio and broad-money share for each jurisdiction in its reform year. The final column divides the standard deviation of a one-year idiosyncratic surprise in real GDP per capita among advanced economies, 3.25% after removing the common year effect, by the mechanical effect.</w:t>
      </w:r>
    </w:p>
    <w:p>
      <w:pPr>
        <w:spacing w:after="70" w:before="140"/>
        <w:jc w:val="left"/>
      </w:pPr>
      <w:r>
        <w:rPr>
          <w:rFonts w:ascii="Times New Roman" w:cs="Times New Roman" w:eastAsia="Times New Roman" w:hAnsi="Times New Roman"/>
          <w:sz w:val="19"/>
          <w:szCs w:val="19"/>
        </w:rPr>
        <w:t xml:space="preserve">Table 2. Mechanical effect of suppressing half the measured sector, against the noise floor.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60"/>
        <w:gridCol w:w="1050"/>
        <w:gridCol w:w="820"/>
        <w:gridCol w:w="700"/>
        <w:gridCol w:w="640"/>
        <w:gridCol w:w="860"/>
        <w:gridCol w:w="860"/>
        <w:gridCol w:w="980"/>
        <w:gridCol w:w="1190"/>
      </w:tblGrid>
      <w:tr>
        <w:trPr>
          <w:cantSplit/>
          <w:tblHeader/>
        </w:trPr>
        <w:tc>
          <w:tcPr>
            <w:tcW w:type="dxa" w:w="150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b/>
                <w:bCs/>
                <w:sz w:val="18"/>
                <w:szCs w:val="18"/>
              </w:rPr>
              <w:t xml:space="preserve">Jurisdiction</w:t>
            </w:r>
          </w:p>
        </w:tc>
        <w:tc>
          <w:tcPr>
            <w:tcW w:type="dxa" w:w="76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b/>
                <w:bCs/>
                <w:sz w:val="18"/>
                <w:szCs w:val="18"/>
              </w:rPr>
              <w:t xml:space="preserve">Reform</w:t>
            </w:r>
          </w:p>
        </w:tc>
        <w:tc>
          <w:tcPr>
            <w:tcW w:type="dxa" w:w="105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b/>
                <w:bCs/>
                <w:sz w:val="18"/>
                <w:szCs w:val="18"/>
              </w:rPr>
              <w:t xml:space="preserve">Sector, % GDP</w:t>
            </w:r>
          </w:p>
        </w:tc>
        <w:tc>
          <w:tcPr>
            <w:tcW w:type="dxa" w:w="82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b/>
                <w:bCs/>
                <w:sz w:val="18"/>
                <w:szCs w:val="18"/>
              </w:rPr>
              <w:t xml:space="preserve">M2/GDP</w:t>
            </w:r>
          </w:p>
        </w:tc>
        <w:tc>
          <w:tcPr>
            <w:tcW w:type="dxa" w:w="70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b/>
                <w:bCs/>
                <w:sz w:val="18"/>
                <w:szCs w:val="18"/>
              </w:rPr>
              <w:t xml:space="preserve">V</w:t>
            </w:r>
          </w:p>
        </w:tc>
        <w:tc>
          <w:tcPr>
            <w:tcW w:type="dxa" w:w="64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b/>
                <w:bCs/>
                <w:sz w:val="18"/>
                <w:szCs w:val="18"/>
              </w:rPr>
              <w:t xml:space="preserve">r</w:t>
            </w:r>
          </w:p>
        </w:tc>
        <w:tc>
          <w:tcPr>
            <w:tcW w:type="dxa" w:w="86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b/>
                <w:bCs/>
                <w:sz w:val="18"/>
                <w:szCs w:val="18"/>
              </w:rPr>
              <w:t xml:space="preserve">Δ ln Y</w:t>
            </w:r>
          </w:p>
        </w:tc>
        <w:tc>
          <w:tcPr>
            <w:tcW w:type="dxa" w:w="86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b/>
                <w:bCs/>
                <w:sz w:val="18"/>
                <w:szCs w:val="18"/>
              </w:rPr>
              <w:t xml:space="preserve">Δ ln V</w:t>
            </w:r>
          </w:p>
        </w:tc>
        <w:tc>
          <w:tcPr>
            <w:tcW w:type="dxa" w:w="98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b/>
                <w:bCs/>
                <w:sz w:val="18"/>
                <w:szCs w:val="18"/>
              </w:rPr>
              <w:t xml:space="preserve">Δ ln m</w:t>
            </w:r>
          </w:p>
        </w:tc>
        <w:tc>
          <w:tcPr>
            <w:tcW w:type="dxa" w:w="119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b/>
                <w:bCs/>
                <w:sz w:val="18"/>
                <w:szCs w:val="18"/>
              </w:rPr>
              <w:t xml:space="preserve">Noise/signal</w:t>
            </w:r>
          </w:p>
        </w:tc>
      </w:tr>
      <w:tr>
        <w:trPr>
          <w:cantSplit/>
        </w:trPr>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United Kingdom</w:t>
            </w:r>
          </w:p>
        </w:tc>
        <w:tc>
          <w:tcPr>
            <w:tcW w:type="dxa" w:w="7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2010</w:t>
            </w:r>
          </w:p>
        </w:tc>
        <w:tc>
          <w:tcPr>
            <w:tcW w:type="dxa" w:w="105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0.37</w:t>
            </w:r>
          </w:p>
        </w:tc>
        <w:tc>
          <w:tcPr>
            <w:tcW w:type="dxa" w:w="8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164%</w:t>
            </w:r>
          </w:p>
        </w:tc>
        <w:tc>
          <w:tcPr>
            <w:tcW w:type="dxa" w:w="7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0.611</w:t>
            </w:r>
          </w:p>
        </w:tc>
        <w:tc>
          <w:tcPr>
            <w:tcW w:type="dxa" w:w="6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5.1%</w:t>
            </w:r>
          </w:p>
        </w:tc>
        <w:tc>
          <w:tcPr>
            <w:tcW w:type="dxa" w:w="8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-0.185%</w:t>
            </w:r>
          </w:p>
        </w:tc>
        <w:tc>
          <w:tcPr>
            <w:tcW w:type="dxa" w:w="8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-0.185%</w:t>
            </w:r>
          </w:p>
        </w:tc>
        <w:tc>
          <w:tcPr>
            <w:tcW w:type="dxa" w:w="9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-0.0531%</w:t>
            </w:r>
          </w:p>
        </w:tc>
        <w:tc>
          <w:tcPr>
            <w:tcW w:type="dxa" w:w="119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18×</w:t>
            </w:r>
          </w:p>
        </w:tc>
      </w:tr>
      <w:tr>
        <w:trPr>
          <w:cantSplit/>
        </w:trPr>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Sweden</w:t>
            </w:r>
          </w:p>
        </w:tc>
        <w:tc>
          <w:tcPr>
            <w:tcW w:type="dxa" w:w="7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1999</w:t>
            </w:r>
          </w:p>
        </w:tc>
        <w:tc>
          <w:tcPr>
            <w:tcW w:type="dxa" w:w="105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0.10</w:t>
            </w:r>
          </w:p>
        </w:tc>
        <w:tc>
          <w:tcPr>
            <w:tcW w:type="dxa" w:w="8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39%</w:t>
            </w:r>
          </w:p>
        </w:tc>
        <w:tc>
          <w:tcPr>
            <w:tcW w:type="dxa" w:w="7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2.537</w:t>
            </w:r>
          </w:p>
        </w:tc>
        <w:tc>
          <w:tcPr>
            <w:tcW w:type="dxa" w:w="6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3.0%</w:t>
            </w:r>
          </w:p>
        </w:tc>
        <w:tc>
          <w:tcPr>
            <w:tcW w:type="dxa" w:w="8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-0.050%</w:t>
            </w:r>
          </w:p>
        </w:tc>
        <w:tc>
          <w:tcPr>
            <w:tcW w:type="dxa" w:w="8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-0.050%</w:t>
            </w:r>
          </w:p>
        </w:tc>
        <w:tc>
          <w:tcPr>
            <w:tcW w:type="dxa" w:w="9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-0.0769%</w:t>
            </w:r>
          </w:p>
        </w:tc>
        <w:tc>
          <w:tcPr>
            <w:tcW w:type="dxa" w:w="119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65×</w:t>
            </w:r>
          </w:p>
        </w:tc>
      </w:tr>
      <w:tr>
        <w:trPr>
          <w:cantSplit/>
        </w:trPr>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South Korea</w:t>
            </w:r>
          </w:p>
        </w:tc>
        <w:tc>
          <w:tcPr>
            <w:tcW w:type="dxa" w:w="7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2004</w:t>
            </w:r>
          </w:p>
        </w:tc>
        <w:tc>
          <w:tcPr>
            <w:tcW w:type="dxa" w:w="105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4.10</w:t>
            </w:r>
          </w:p>
        </w:tc>
        <w:tc>
          <w:tcPr>
            <w:tcW w:type="dxa" w:w="8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105%</w:t>
            </w:r>
          </w:p>
        </w:tc>
        <w:tc>
          <w:tcPr>
            <w:tcW w:type="dxa" w:w="7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0.952</w:t>
            </w:r>
          </w:p>
        </w:tc>
        <w:tc>
          <w:tcPr>
            <w:tcW w:type="dxa" w:w="6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10.6%</w:t>
            </w:r>
          </w:p>
        </w:tc>
        <w:tc>
          <w:tcPr>
            <w:tcW w:type="dxa" w:w="8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-2.050%</w:t>
            </w:r>
          </w:p>
        </w:tc>
        <w:tc>
          <w:tcPr>
            <w:tcW w:type="dxa" w:w="8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-2.050%</w:t>
            </w:r>
          </w:p>
        </w:tc>
        <w:tc>
          <w:tcPr>
            <w:tcW w:type="dxa" w:w="9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-0.5593%</w:t>
            </w:r>
          </w:p>
        </w:tc>
        <w:tc>
          <w:tcPr>
            <w:tcW w:type="dxa" w:w="119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2×</w:t>
            </w:r>
          </w:p>
        </w:tc>
      </w:tr>
      <w:tr>
        <w:trPr>
          <w:cantSplit/>
        </w:trPr>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Norway</w:t>
            </w:r>
          </w:p>
        </w:tc>
        <w:tc>
          <w:tcPr>
            <w:tcW w:type="dxa" w:w="7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2009</w:t>
            </w:r>
          </w:p>
        </w:tc>
        <w:tc>
          <w:tcPr>
            <w:tcW w:type="dxa" w:w="105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0.10</w:t>
            </w:r>
          </w:p>
        </w:tc>
        <w:tc>
          <w:tcPr>
            <w:tcW w:type="dxa" w:w="8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59%</w:t>
            </w:r>
          </w:p>
        </w:tc>
        <w:tc>
          <w:tcPr>
            <w:tcW w:type="dxa" w:w="7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1.694</w:t>
            </w:r>
          </w:p>
        </w:tc>
        <w:tc>
          <w:tcPr>
            <w:tcW w:type="dxa" w:w="6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2.2%</w:t>
            </w:r>
          </w:p>
        </w:tc>
        <w:tc>
          <w:tcPr>
            <w:tcW w:type="dxa" w:w="8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-0.050%</w:t>
            </w:r>
          </w:p>
        </w:tc>
        <w:tc>
          <w:tcPr>
            <w:tcW w:type="dxa" w:w="8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-0.050%</w:t>
            </w:r>
          </w:p>
        </w:tc>
        <w:tc>
          <w:tcPr>
            <w:tcW w:type="dxa" w:w="9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-0.0574%</w:t>
            </w:r>
          </w:p>
        </w:tc>
        <w:tc>
          <w:tcPr>
            <w:tcW w:type="dxa" w:w="119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65×</w:t>
            </w:r>
          </w:p>
        </w:tc>
      </w:tr>
      <w:tr>
        <w:trPr>
          <w:cantSplit/>
        </w:trPr>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Denmark</w:t>
            </w:r>
          </w:p>
        </w:tc>
        <w:tc>
          <w:tcPr>
            <w:tcW w:type="dxa" w:w="7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1999</w:t>
            </w:r>
          </w:p>
        </w:tc>
        <w:tc>
          <w:tcPr>
            <w:tcW w:type="dxa" w:w="105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0.10</w:t>
            </w:r>
          </w:p>
        </w:tc>
        <w:tc>
          <w:tcPr>
            <w:tcW w:type="dxa" w:w="8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55%</w:t>
            </w:r>
          </w:p>
        </w:tc>
        <w:tc>
          <w:tcPr>
            <w:tcW w:type="dxa" w:w="7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1.826</w:t>
            </w:r>
          </w:p>
        </w:tc>
        <w:tc>
          <w:tcPr>
            <w:tcW w:type="dxa" w:w="6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3.0%</w:t>
            </w:r>
          </w:p>
        </w:tc>
        <w:tc>
          <w:tcPr>
            <w:tcW w:type="dxa" w:w="8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-0.050%</w:t>
            </w:r>
          </w:p>
        </w:tc>
        <w:tc>
          <w:tcPr>
            <w:tcW w:type="dxa" w:w="8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-0.050%</w:t>
            </w:r>
          </w:p>
        </w:tc>
        <w:tc>
          <w:tcPr>
            <w:tcW w:type="dxa" w:w="9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-0.0553%</w:t>
            </w:r>
          </w:p>
        </w:tc>
        <w:tc>
          <w:tcPr>
            <w:tcW w:type="dxa" w:w="119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65×</w:t>
            </w:r>
          </w:p>
        </w:tc>
      </w:tr>
      <w:tr>
        <w:trPr>
          <w:cantSplit/>
        </w:trPr>
        <w:tc>
          <w:tcPr>
            <w:tcW w:type="dxa" w:w="150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New Zealand</w:t>
            </w:r>
          </w:p>
        </w:tc>
        <w:tc>
          <w:tcPr>
            <w:tcW w:type="dxa" w:w="76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2003</w:t>
            </w:r>
          </w:p>
        </w:tc>
        <w:tc>
          <w:tcPr>
            <w:tcW w:type="dxa" w:w="105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0.20</w:t>
            </w:r>
          </w:p>
        </w:tc>
        <w:tc>
          <w:tcPr>
            <w:tcW w:type="dxa" w:w="82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78%</w:t>
            </w:r>
          </w:p>
        </w:tc>
        <w:tc>
          <w:tcPr>
            <w:tcW w:type="dxa" w:w="70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1.277</w:t>
            </w:r>
          </w:p>
        </w:tc>
        <w:tc>
          <w:tcPr>
            <w:tcW w:type="dxa" w:w="64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3.8%</w:t>
            </w:r>
          </w:p>
        </w:tc>
        <w:tc>
          <w:tcPr>
            <w:tcW w:type="dxa" w:w="86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-0.100%</w:t>
            </w:r>
          </w:p>
        </w:tc>
        <w:tc>
          <w:tcPr>
            <w:tcW w:type="dxa" w:w="86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-0.100%</w:t>
            </w:r>
          </w:p>
        </w:tc>
        <w:tc>
          <w:tcPr>
            <w:tcW w:type="dxa" w:w="98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-0.0698%</w:t>
            </w:r>
          </w:p>
        </w:tc>
        <w:tc>
          <w:tcPr>
            <w:tcW w:type="dxa" w:w="119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32×</w:t>
            </w:r>
          </w:p>
        </w:tc>
      </w:tr>
    </w:tbl>
    <w:p>
      <w:pPr>
        <w:spacing w:after="190" w:before="60"/>
        <w:jc w:val="both"/>
      </w:pPr>
      <w:r>
        <w:rPr>
          <w:rFonts w:ascii="Times New Roman" w:cs="Times New Roman" w:eastAsia="Times New Roman" w:hAnsi="Times New Roman"/>
          <w:sz w:val="18"/>
          <w:szCs w:val="18"/>
        </w:rPr>
        <w:t xml:space="preserve">Notes: Δ ln m evaluated at c = 0.05, n = 20. r is the WDI ratio of bank liquid reserves to bank assets in the reform year where reported; the United Kingdom and New Zealand do not report it, so the advanced-economy median for that year is substituted. Noise is 3.25% for real GDP per capita, 7.31% for velocity and 8.23% for the credit multiplier.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120"/>
              <w:left w:type="dxa" w:w="0"/>
              <w:bottom w:type="dxa" w:w="160"/>
              <w:right w:type="dxa" w:w="0"/>
            </w:tcMar>
          </w:tcPr>
          <w:p>
            <w:pPr>
              <w:spacing w:after="90" w:before="0"/>
              <w:jc w:val="center"/>
            </w:pPr>
            <w:r>
              <w:drawing>
                <wp:inline distT="0" distB="0" distL="0" distR="0">
                  <wp:extent cx="5669280" cy="26974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9280" cy="2697480"/>
                          </a:xfrm>
                          <a:prstGeom prst="rect">
                            <a:avLst/>
                          </a:prstGeom>
                        </pic:spPr>
                      </pic:pic>
                    </a:graphicData>
                  </a:graphic>
                </wp:inline>
              </w:drawing>
            </w:r>
          </w:p>
          <w:p>
            <w:pPr>
              <w:spacing w:after="0" w:before="0"/>
              <w:jc w:val="left"/>
            </w:pPr>
            <w:r>
              <w:rPr>
                <w:rFonts w:ascii="Times New Roman" w:cs="Times New Roman" w:eastAsia="Times New Roman" w:hAnsi="Times New Roman"/>
                <w:sz w:val="18"/>
                <w:szCs w:val="18"/>
              </w:rPr>
              <w:t xml:space="preserve">Figure 1. Mechanical effect of suppressing half the measured prostitution sector, against the one-year idiosyncratic surprise in real GDP per capita. Log scale; the right-hand annotation is the ratio of noise to signal.</w:t>
            </w:r>
          </w:p>
        </w:tc>
      </w:tr>
    </w:tbl>
    <w:p>
      <w:pPr>
        <w:spacing w:after="140" w:before="0" w:line="320"/>
        <w:jc w:val="both"/>
      </w:pPr>
      <w:r>
        <w:rPr>
          <w:rFonts w:ascii="Times New Roman" w:cs="Times New Roman" w:eastAsia="Times New Roman" w:hAnsi="Times New Roman"/>
          <w:sz w:val="22"/>
          <w:szCs w:val="22"/>
        </w:rPr>
        <w:t xml:space="preserve">The result is stark and it does not depend on any econometric choice. For the United Kingdom the noise is 18 times the signal; for the Nordic cases it is 65 times. South Korea is the only jurisdiction where the ratio falls below an order of magnitude, at roughly 2 to one. The multiplier channel fares worse against its own noise than output does. The largest currency-drain effect anywhere in the table is Korea's at -0.559%; set against a credit-multiplier surprise of 8.23%, that is a ratio of roughly 15 to one, where Korea's output ratio was only 2 to one. For the United Kingdom the multiplier ratio is about 155 to one. On the arithmetic alone, the multiplier channel is not merely unproven but undetectable in annual data.</w:t>
      </w:r>
    </w:p>
    <w:p>
      <w:pPr>
        <w:pStyle w:val="Heading1"/>
        <w:spacing w:after="150" w:before="320"/>
      </w:pPr>
      <w:r>
        <w:rPr>
          <w:rFonts w:ascii="Times New Roman" w:cs="Times New Roman" w:eastAsia="Times New Roman" w:hAnsi="Times New Roman"/>
          <w:b/>
          <w:bCs/>
          <w:color w:val="000000"/>
          <w:sz w:val="26"/>
          <w:szCs w:val="26"/>
        </w:rPr>
        <w:t xml:space="preserve">6. Econometric strategy</w:t>
      </w:r>
    </w:p>
    <w:p>
      <w:pPr>
        <w:spacing w:after="140" w:before="0" w:line="320"/>
        <w:jc w:val="both"/>
      </w:pPr>
      <w:r>
        <w:rPr>
          <w:rFonts w:ascii="Times New Roman" w:cs="Times New Roman" w:eastAsia="Times New Roman" w:hAnsi="Times New Roman"/>
          <w:sz w:val="22"/>
          <w:szCs w:val="22"/>
        </w:rPr>
        <w:t xml:space="preserve">The panel has staggered adoption in two directions, so I estimate prohibitions and liberalisations as separate arms, taking the first event of each sign per country and censoring the post-window at any subsequent opposite-signed reform. Germany, which liberalised in 2002 and tightened in 2017, is the binding case.</w:t>
      </w:r>
    </w:p>
    <w:p>
      <w:pPr>
        <w:spacing w:after="140" w:before="0" w:line="320"/>
        <w:jc w:val="both"/>
      </w:pPr>
      <w:r>
        <w:rPr>
          <w:rFonts w:ascii="Times New Roman" w:cs="Times New Roman" w:eastAsia="Times New Roman" w:hAnsi="Times New Roman"/>
          <w:sz w:val="22"/>
          <w:szCs w:val="22"/>
        </w:rPr>
        <w:t xml:space="preserve">The first estimator is a two-way fixed-effects event study,</w:t>
      </w:r>
    </w:p>
    <w:p>
      <w:pPr>
        <w:spacing w:after="100" w:before="100"/>
        <w:jc w:val="center"/>
      </w:pPr>
      <w:r>
        <w:rPr>
          <w:rFonts w:ascii="Times New Roman" w:cs="Times New Roman" w:eastAsia="Times New Roman" w:hAnsi="Times New Roman"/>
          <w:i/>
          <w:iCs/>
          <w:sz w:val="23"/>
          <w:szCs w:val="23"/>
        </w:rPr>
        <w:t xml:space="preserve">y</w:t>
      </w:r>
      <w:r>
        <w:rPr>
          <w:rFonts w:ascii="Times New Roman" w:cs="Times New Roman" w:eastAsia="Times New Roman" w:hAnsi="Times New Roman"/>
          <w:sz w:val="23"/>
          <w:szCs w:val="23"/>
          <w:vertAlign w:val="subscript"/>
        </w:rPr>
        <w:t xml:space="preserve">it</w:t>
      </w:r>
      <w:r>
        <w:rPr>
          <w:rFonts w:ascii="Times New Roman" w:cs="Times New Roman" w:eastAsia="Times New Roman" w:hAnsi="Times New Roman"/>
          <w:i/>
          <w:iCs/>
          <w:sz w:val="23"/>
          <w:szCs w:val="23"/>
        </w:rPr>
        <w:t xml:space="preserve"> = α</w:t>
      </w:r>
      <w:r>
        <w:rPr>
          <w:rFonts w:ascii="Times New Roman" w:cs="Times New Roman" w:eastAsia="Times New Roman" w:hAnsi="Times New Roman"/>
          <w:sz w:val="23"/>
          <w:szCs w:val="23"/>
          <w:vertAlign w:val="subscript"/>
        </w:rPr>
        <w:t xml:space="preserve">i</w:t>
      </w:r>
      <w:r>
        <w:rPr>
          <w:rFonts w:ascii="Times New Roman" w:cs="Times New Roman" w:eastAsia="Times New Roman" w:hAnsi="Times New Roman"/>
          <w:i/>
          <w:iCs/>
          <w:sz w:val="23"/>
          <w:szCs w:val="23"/>
        </w:rPr>
        <w:t xml:space="preserve"> + γ</w:t>
      </w:r>
      <w:r>
        <w:rPr>
          <w:rFonts w:ascii="Times New Roman" w:cs="Times New Roman" w:eastAsia="Times New Roman" w:hAnsi="Times New Roman"/>
          <w:sz w:val="23"/>
          <w:szCs w:val="23"/>
          <w:vertAlign w:val="subscript"/>
        </w:rPr>
        <w:t xml:space="preserve">t</w:t>
      </w:r>
      <w:r>
        <w:rPr>
          <w:rFonts w:ascii="Times New Roman" w:cs="Times New Roman" w:eastAsia="Times New Roman" w:hAnsi="Times New Roman"/>
          <w:sz w:val="23"/>
          <w:szCs w:val="23"/>
        </w:rPr>
        <w:t xml:space="preserve"> + Σ</w:t>
      </w:r>
      <w:r>
        <w:rPr>
          <w:rFonts w:ascii="Times New Roman" w:cs="Times New Roman" w:eastAsia="Times New Roman" w:hAnsi="Times New Roman"/>
          <w:sz w:val="23"/>
          <w:szCs w:val="23"/>
          <w:vertAlign w:val="subscript"/>
        </w:rPr>
        <w:t xml:space="preserve">k</w:t>
      </w:r>
      <w:r>
        <w:rPr>
          <w:rFonts w:ascii="Times New Roman" w:cs="Times New Roman" w:eastAsia="Times New Roman" w:hAnsi="Times New Roman"/>
          <w:i/>
          <w:iCs/>
          <w:sz w:val="23"/>
          <w:szCs w:val="23"/>
        </w:rPr>
        <w:t xml:space="preserve"> β</w:t>
      </w:r>
      <w:r>
        <w:rPr>
          <w:rFonts w:ascii="Times New Roman" w:cs="Times New Roman" w:eastAsia="Times New Roman" w:hAnsi="Times New Roman"/>
          <w:sz w:val="23"/>
          <w:szCs w:val="23"/>
          <w:vertAlign w:val="subscript"/>
        </w:rPr>
        <w:t xml:space="preserve">k</w:t>
      </w:r>
      <w:r>
        <w:rPr>
          <w:rFonts w:ascii="Times New Roman" w:cs="Times New Roman" w:eastAsia="Times New Roman" w:hAnsi="Times New Roman"/>
          <w:i/>
          <w:iCs/>
          <w:sz w:val="23"/>
          <w:szCs w:val="23"/>
        </w:rPr>
        <w:t xml:space="preserve"> D</w:t>
      </w:r>
      <w:r>
        <w:rPr>
          <w:rFonts w:ascii="Times New Roman" w:cs="Times New Roman" w:eastAsia="Times New Roman" w:hAnsi="Times New Roman"/>
          <w:sz w:val="23"/>
          <w:szCs w:val="23"/>
          <w:vertAlign w:val="superscript"/>
        </w:rPr>
        <w:t xml:space="preserve">it</w:t>
      </w:r>
      <w:r>
        <w:rPr>
          <w:rFonts w:ascii="Times New Roman" w:cs="Times New Roman" w:eastAsia="Times New Roman" w:hAnsi="Times New Roman"/>
          <w:i/>
          <w:iCs/>
          <w:sz w:val="23"/>
          <w:szCs w:val="23"/>
        </w:rPr>
        <w:t xml:space="preserve">(k) + ε</w:t>
      </w:r>
      <w:r>
        <w:rPr>
          <w:rFonts w:ascii="Times New Roman" w:cs="Times New Roman" w:eastAsia="Times New Roman" w:hAnsi="Times New Roman"/>
          <w:sz w:val="23"/>
          <w:szCs w:val="23"/>
          <w:vertAlign w:val="subscript"/>
        </w:rPr>
        <w:t xml:space="preserve">it</w:t>
      </w:r>
      <w:r>
        <w:rPr>
          <w:rFonts w:ascii="Times New Roman" w:cs="Times New Roman" w:eastAsia="Times New Roman" w:hAnsi="Times New Roman"/>
          <w:sz w:val="20"/>
          <w:szCs w:val="20"/>
        </w:rPr>
        <w:t xml:space="preserve">     (4)</w:t>
      </w:r>
    </w:p>
    <w:p>
      <w:pPr>
        <w:spacing w:after="140" w:before="0" w:line="320"/>
        <w:jc w:val="both"/>
      </w:pPr>
      <w:r>
        <w:rPr>
          <w:rFonts w:ascii="Times New Roman" w:cs="Times New Roman" w:eastAsia="Times New Roman" w:hAnsi="Times New Roman"/>
          <w:sz w:val="22"/>
          <w:szCs w:val="22"/>
        </w:rPr>
        <w:t xml:space="preserve">with event time k running from −6 to +6, endpoints binned and k = −1 omitted, standard errors clustered by country. Because two-way fixed effects with staggered timing and heterogeneous effects can place negative weights on some treated cells (Goodman-Bacon, 2021; de Chaisemartin and D'Haultfœuille, 2020), I also report the Callaway and Sant'Anna (2021) group-time estimator, aggregating ATT(g, t) over event time using not-yet-treated units as the comparison group.</w:t>
      </w:r>
    </w:p>
    <w:p>
      <w:pPr>
        <w:spacing w:after="140" w:before="0" w:line="320"/>
        <w:jc w:val="both"/>
      </w:pPr>
      <w:r>
        <w:rPr>
          <w:rFonts w:ascii="Times New Roman" w:cs="Times New Roman" w:eastAsia="Times New Roman" w:hAnsi="Times New Roman"/>
          <w:sz w:val="22"/>
          <w:szCs w:val="22"/>
        </w:rPr>
        <w:t xml:space="preserve">Inference is the delicate part. The arms have between two and ten treated countries, and cluster-robust t-statistics are not credible at that cluster count (Cameron, Gelbach and Miller, 2008; Young, 2019). I therefore report randomization-inference p-values: the observed multiset of event years is reassigned to randomly chosen never-reforming countries, the estimator is re-run 2,000 times, and the p-value is the share of placebo draws at least as large in absolute value as the estimate. Finally, I compute the minimum detectable effect at 80% power and 5% size as 2.8 times the median standard error, which converts each null into an explicit bound.</w:t>
      </w:r>
    </w:p>
    <w:p>
      <w:pPr>
        <w:spacing w:after="140" w:before="0" w:line="320"/>
        <w:jc w:val="both"/>
      </w:pPr>
      <w:r>
        <w:rPr>
          <w:rFonts w:ascii="Times New Roman" w:cs="Times New Roman" w:eastAsia="Times New Roman" w:hAnsi="Times New Roman"/>
          <w:sz w:val="22"/>
          <w:szCs w:val="22"/>
        </w:rPr>
        <w:t xml:space="preserve">For individual reforms I estimate synthetic controls (Abadie, Diamond and Hainmueller, 2010; Abadie, 2021) with simplex weights fitted to the pre-reform path. Donors must never have reformed and must lie within a factor of three of the treated unit's pre-reform income per head; an earlier specification that selected donors by growth-path correlation across all 214 countries returned economically meaningless controls, Laos being the leading donor for South Korea. Significance is assessed by in-space placebo ranks on the ratio of post- to pre-reform RMSPE.</w:t>
      </w:r>
    </w:p>
    <w:p>
      <w:pPr>
        <w:pStyle w:val="Heading1"/>
        <w:spacing w:after="150" w:before="320"/>
      </w:pPr>
      <w:r>
        <w:rPr>
          <w:rFonts w:ascii="Times New Roman" w:cs="Times New Roman" w:eastAsia="Times New Roman" w:hAnsi="Times New Roman"/>
          <w:b/>
          <w:bCs/>
          <w:color w:val="000000"/>
          <w:sz w:val="26"/>
          <w:szCs w:val="26"/>
        </w:rPr>
        <w:t xml:space="preserve">7. Results</w:t>
      </w:r>
    </w:p>
    <w:p>
      <w:pPr>
        <w:pStyle w:val="Heading2"/>
        <w:spacing w:after="110" w:before="240"/>
      </w:pPr>
      <w:r>
        <w:rPr>
          <w:rFonts w:ascii="Times New Roman" w:cs="Times New Roman" w:eastAsia="Times New Roman" w:hAnsi="Times New Roman"/>
          <w:b/>
          <w:bCs/>
          <w:color w:val="000000"/>
          <w:sz w:val="23"/>
          <w:szCs w:val="23"/>
        </w:rPr>
        <w:t xml:space="preserve">7.1 Panel estimates</w:t>
      </w:r>
    </w:p>
    <w:p>
      <w:pPr>
        <w:spacing w:after="140" w:before="0" w:line="320"/>
        <w:jc w:val="both"/>
      </w:pPr>
      <w:r>
        <w:rPr>
          <w:rFonts w:ascii="Times New Roman" w:cs="Times New Roman" w:eastAsia="Times New Roman" w:hAnsi="Times New Roman"/>
          <w:sz w:val="22"/>
          <w:szCs w:val="22"/>
        </w:rPr>
        <w:t xml:space="preserve">Table 3 reports the aggregate post-reform ATT for each outcome and arm, with the largest pre-reform coefficient as a parallel-trends diagnostic, the randomization-inference p-value, and the minimum detectable effect.</w:t>
      </w:r>
    </w:p>
    <w:p>
      <w:pPr>
        <w:spacing w:after="70" w:before="140"/>
        <w:jc w:val="left"/>
      </w:pPr>
      <w:r>
        <w:rPr>
          <w:rFonts w:ascii="Times New Roman" w:cs="Times New Roman" w:eastAsia="Times New Roman" w:hAnsi="Times New Roman"/>
          <w:sz w:val="19"/>
          <w:szCs w:val="19"/>
        </w:rPr>
        <w:t xml:space="preserve">Table 3. Aggregate post-reform effects, by arm and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80"/>
        <w:gridCol w:w="820"/>
        <w:gridCol w:w="900"/>
        <w:gridCol w:w="900"/>
        <w:gridCol w:w="940"/>
        <w:gridCol w:w="1250"/>
        <w:gridCol w:w="740"/>
        <w:gridCol w:w="1130"/>
      </w:tblGrid>
      <w:tr>
        <w:trPr>
          <w:cantSplit/>
          <w:tblHeader/>
        </w:trPr>
        <w:tc>
          <w:tcPr>
            <w:tcW w:type="dxa" w:w="268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b/>
                <w:bCs/>
                <w:sz w:val="18"/>
                <w:szCs w:val="18"/>
              </w:rPr>
              <w:t xml:space="preserve">Arm · outcome</w:t>
            </w:r>
          </w:p>
        </w:tc>
        <w:tc>
          <w:tcPr>
            <w:tcW w:type="dxa" w:w="82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b/>
                <w:bCs/>
                <w:sz w:val="18"/>
                <w:szCs w:val="18"/>
              </w:rPr>
              <w:t xml:space="preserve">Treated</w:t>
            </w:r>
          </w:p>
        </w:tc>
        <w:tc>
          <w:tcPr>
            <w:tcW w:type="dxa" w:w="90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b/>
                <w:bCs/>
                <w:sz w:val="18"/>
                <w:szCs w:val="18"/>
              </w:rPr>
              <w:t xml:space="preserve">Controls</w:t>
            </w:r>
          </w:p>
        </w:tc>
        <w:tc>
          <w:tcPr>
            <w:tcW w:type="dxa" w:w="90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b/>
                <w:bCs/>
                <w:sz w:val="18"/>
                <w:szCs w:val="18"/>
              </w:rPr>
              <w:t xml:space="preserve">Obs.</w:t>
            </w:r>
          </w:p>
        </w:tc>
        <w:tc>
          <w:tcPr>
            <w:tcW w:type="dxa" w:w="94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b/>
                <w:bCs/>
                <w:sz w:val="18"/>
                <w:szCs w:val="18"/>
              </w:rPr>
              <w:t xml:space="preserve">ATT</w:t>
            </w:r>
          </w:p>
        </w:tc>
        <w:tc>
          <w:tcPr>
            <w:tcW w:type="dxa" w:w="125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b/>
                <w:bCs/>
                <w:sz w:val="18"/>
                <w:szCs w:val="18"/>
              </w:rPr>
              <w:t xml:space="preserve">Max pre-trend</w:t>
            </w:r>
          </w:p>
        </w:tc>
        <w:tc>
          <w:tcPr>
            <w:tcW w:type="dxa" w:w="74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b/>
                <w:bCs/>
                <w:sz w:val="18"/>
                <w:szCs w:val="18"/>
              </w:rPr>
              <w:t xml:space="preserve">RI p</w:t>
            </w:r>
          </w:p>
        </w:tc>
        <w:tc>
          <w:tcPr>
            <w:tcW w:type="dxa" w:w="113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b/>
                <w:bCs/>
                <w:sz w:val="18"/>
                <w:szCs w:val="18"/>
              </w:rPr>
              <w:t xml:space="preserve">MDE (80%)</w:t>
            </w:r>
          </w:p>
        </w:tc>
      </w:tr>
      <w:tr>
        <w:trPr>
          <w:cantSplit/>
        </w:trPr>
        <w:tc>
          <w:tcPr>
            <w:tcW w:type="dxa" w:w="26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Ban · Real GDP per capita</w:t>
            </w:r>
          </w:p>
        </w:tc>
        <w:tc>
          <w:tcPr>
            <w:tcW w:type="dxa" w:w="8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10</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194</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9,684</w:t>
            </w:r>
          </w:p>
        </w:tc>
        <w:tc>
          <w:tcPr>
            <w:tcW w:type="dxa" w:w="9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−1.65%</w:t>
            </w:r>
          </w:p>
        </w:tc>
        <w:tc>
          <w:tcPr>
            <w:tcW w:type="dxa" w:w="125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1.21%</w:t>
            </w:r>
          </w:p>
        </w:tc>
        <w:tc>
          <w:tcPr>
            <w:tcW w:type="dxa" w:w="7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0.647</w:t>
            </w:r>
          </w:p>
        </w:tc>
        <w:tc>
          <w:tcPr>
            <w:tcW w:type="dxa" w:w="113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9.41%</w:t>
            </w:r>
          </w:p>
        </w:tc>
      </w:tr>
      <w:tr>
        <w:trPr>
          <w:cantSplit/>
        </w:trPr>
        <w:tc>
          <w:tcPr>
            <w:tcW w:type="dxa" w:w="26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Ban · Velocity of broad money</w:t>
            </w:r>
          </w:p>
        </w:tc>
        <w:tc>
          <w:tcPr>
            <w:tcW w:type="dxa" w:w="8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7</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157</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7,468</w:t>
            </w:r>
          </w:p>
        </w:tc>
        <w:tc>
          <w:tcPr>
            <w:tcW w:type="dxa" w:w="9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+10.30%</w:t>
            </w:r>
          </w:p>
        </w:tc>
        <w:tc>
          <w:tcPr>
            <w:tcW w:type="dxa" w:w="125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14.90%</w:t>
            </w:r>
          </w:p>
        </w:tc>
        <w:tc>
          <w:tcPr>
            <w:tcW w:type="dxa" w:w="7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0.135</w:t>
            </w:r>
          </w:p>
        </w:tc>
        <w:tc>
          <w:tcPr>
            <w:tcW w:type="dxa" w:w="113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24.85%</w:t>
            </w:r>
          </w:p>
        </w:tc>
      </w:tr>
      <w:tr>
        <w:trPr>
          <w:cantSplit/>
        </w:trPr>
        <w:tc>
          <w:tcPr>
            <w:tcW w:type="dxa" w:w="26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Ban · Credit multiplier</w:t>
            </w:r>
          </w:p>
        </w:tc>
        <w:tc>
          <w:tcPr>
            <w:tcW w:type="dxa" w:w="8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7</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134</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5,946</w:t>
            </w:r>
          </w:p>
        </w:tc>
        <w:tc>
          <w:tcPr>
            <w:tcW w:type="dxa" w:w="9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−0.39%</w:t>
            </w:r>
          </w:p>
        </w:tc>
        <w:tc>
          <w:tcPr>
            <w:tcW w:type="dxa" w:w="125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12.91%</w:t>
            </w:r>
          </w:p>
        </w:tc>
        <w:tc>
          <w:tcPr>
            <w:tcW w:type="dxa" w:w="7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0.962</w:t>
            </w:r>
          </w:p>
        </w:tc>
        <w:tc>
          <w:tcPr>
            <w:tcW w:type="dxa" w:w="113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26.48%</w:t>
            </w:r>
          </w:p>
        </w:tc>
      </w:tr>
      <w:tr>
        <w:trPr>
          <w:cantSplit/>
        </w:trPr>
        <w:tc>
          <w:tcPr>
            <w:tcW w:type="dxa" w:w="26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Ban · Bank liquidity multiplier</w:t>
            </w:r>
          </w:p>
        </w:tc>
        <w:tc>
          <w:tcPr>
            <w:tcW w:type="dxa" w:w="8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5</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123</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2,402</w:t>
            </w:r>
          </w:p>
        </w:tc>
        <w:tc>
          <w:tcPr>
            <w:tcW w:type="dxa" w:w="9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+14.12%</w:t>
            </w:r>
          </w:p>
        </w:tc>
        <w:tc>
          <w:tcPr>
            <w:tcW w:type="dxa" w:w="125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17.44%</w:t>
            </w:r>
          </w:p>
        </w:tc>
        <w:tc>
          <w:tcPr>
            <w:tcW w:type="dxa" w:w="7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0.509</w:t>
            </w:r>
          </w:p>
        </w:tc>
        <w:tc>
          <w:tcPr>
            <w:tcW w:type="dxa" w:w="113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85.95%</w:t>
            </w:r>
          </w:p>
        </w:tc>
      </w:tr>
      <w:tr>
        <w:trPr>
          <w:cantSplit/>
        </w:trPr>
        <w:tc>
          <w:tcPr>
            <w:tcW w:type="dxa" w:w="26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Ban · CPI inflation</w:t>
            </w:r>
          </w:p>
        </w:tc>
        <w:tc>
          <w:tcPr>
            <w:tcW w:type="dxa" w:w="8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10</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165</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7,838</w:t>
            </w:r>
          </w:p>
        </w:tc>
        <w:tc>
          <w:tcPr>
            <w:tcW w:type="dxa" w:w="9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+0.95%</w:t>
            </w:r>
          </w:p>
        </w:tc>
        <w:tc>
          <w:tcPr>
            <w:tcW w:type="dxa" w:w="125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5.97%</w:t>
            </w:r>
          </w:p>
        </w:tc>
        <w:tc>
          <w:tcPr>
            <w:tcW w:type="dxa" w:w="7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0.570</w:t>
            </w:r>
          </w:p>
        </w:tc>
        <w:tc>
          <w:tcPr>
            <w:tcW w:type="dxa" w:w="113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4.24%</w:t>
            </w:r>
          </w:p>
        </w:tc>
      </w:tr>
      <w:tr>
        <w:trPr>
          <w:cantSplit/>
        </w:trPr>
        <w:tc>
          <w:tcPr>
            <w:tcW w:type="dxa" w:w="26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Ban · Broad money growth</w:t>
            </w:r>
          </w:p>
        </w:tc>
        <w:tc>
          <w:tcPr>
            <w:tcW w:type="dxa" w:w="8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7</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157</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7,482</w:t>
            </w:r>
          </w:p>
        </w:tc>
        <w:tc>
          <w:tcPr>
            <w:tcW w:type="dxa" w:w="9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−1.80%</w:t>
            </w:r>
          </w:p>
        </w:tc>
        <w:tc>
          <w:tcPr>
            <w:tcW w:type="dxa" w:w="125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13.93%</w:t>
            </w:r>
          </w:p>
        </w:tc>
        <w:tc>
          <w:tcPr>
            <w:tcW w:type="dxa" w:w="7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0.671</w:t>
            </w:r>
          </w:p>
        </w:tc>
        <w:tc>
          <w:tcPr>
            <w:tcW w:type="dxa" w:w="113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14.66%</w:t>
            </w:r>
          </w:p>
        </w:tc>
      </w:tr>
      <w:tr>
        <w:trPr>
          <w:cantSplit/>
        </w:trPr>
        <w:tc>
          <w:tcPr>
            <w:tcW w:type="dxa" w:w="26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Reinstatement · Real GDP per capita</w:t>
            </w:r>
          </w:p>
        </w:tc>
        <w:tc>
          <w:tcPr>
            <w:tcW w:type="dxa" w:w="8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7</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197</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9,680</w:t>
            </w:r>
          </w:p>
        </w:tc>
        <w:tc>
          <w:tcPr>
            <w:tcW w:type="dxa" w:w="9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−0.87%</w:t>
            </w:r>
          </w:p>
        </w:tc>
        <w:tc>
          <w:tcPr>
            <w:tcW w:type="dxa" w:w="125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1.93%</w:t>
            </w:r>
          </w:p>
        </w:tc>
        <w:tc>
          <w:tcPr>
            <w:tcW w:type="dxa" w:w="7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0.857</w:t>
            </w:r>
          </w:p>
        </w:tc>
        <w:tc>
          <w:tcPr>
            <w:tcW w:type="dxa" w:w="113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7.16%</w:t>
            </w:r>
          </w:p>
        </w:tc>
      </w:tr>
      <w:tr>
        <w:trPr>
          <w:cantSplit/>
        </w:trPr>
        <w:tc>
          <w:tcPr>
            <w:tcW w:type="dxa" w:w="26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Reinstatement · Velocity of broad money</w:t>
            </w:r>
          </w:p>
        </w:tc>
        <w:tc>
          <w:tcPr>
            <w:tcW w:type="dxa" w:w="8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3</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161</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7,468</w:t>
            </w:r>
          </w:p>
        </w:tc>
        <w:tc>
          <w:tcPr>
            <w:tcW w:type="dxa" w:w="9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+12.54%</w:t>
            </w:r>
          </w:p>
        </w:tc>
        <w:tc>
          <w:tcPr>
            <w:tcW w:type="dxa" w:w="125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9.91%</w:t>
            </w:r>
          </w:p>
        </w:tc>
        <w:tc>
          <w:tcPr>
            <w:tcW w:type="dxa" w:w="7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0.317</w:t>
            </w:r>
          </w:p>
        </w:tc>
        <w:tc>
          <w:tcPr>
            <w:tcW w:type="dxa" w:w="113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18.26%</w:t>
            </w:r>
          </w:p>
        </w:tc>
      </w:tr>
      <w:tr>
        <w:trPr>
          <w:cantSplit/>
        </w:trPr>
        <w:tc>
          <w:tcPr>
            <w:tcW w:type="dxa" w:w="26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Reinstatement · Credit multiplier</w:t>
            </w:r>
          </w:p>
        </w:tc>
        <w:tc>
          <w:tcPr>
            <w:tcW w:type="dxa" w:w="8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2</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139</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5,946</w:t>
            </w:r>
          </w:p>
        </w:tc>
        <w:tc>
          <w:tcPr>
            <w:tcW w:type="dxa" w:w="9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+80.42%</w:t>
            </w:r>
          </w:p>
        </w:tc>
        <w:tc>
          <w:tcPr>
            <w:tcW w:type="dxa" w:w="125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6.34%</w:t>
            </w:r>
          </w:p>
        </w:tc>
        <w:tc>
          <w:tcPr>
            <w:tcW w:type="dxa" w:w="7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0.003</w:t>
            </w:r>
          </w:p>
        </w:tc>
        <w:tc>
          <w:tcPr>
            <w:tcW w:type="dxa" w:w="113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73.26%</w:t>
            </w:r>
          </w:p>
        </w:tc>
      </w:tr>
      <w:tr>
        <w:trPr>
          <w:cantSplit/>
        </w:trPr>
        <w:tc>
          <w:tcPr>
            <w:tcW w:type="dxa" w:w="26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Reinstatement · CPI inflation</w:t>
            </w:r>
          </w:p>
        </w:tc>
        <w:tc>
          <w:tcPr>
            <w:tcW w:type="dxa" w:w="8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7</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168</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7,834</w:t>
            </w:r>
          </w:p>
        </w:tc>
        <w:tc>
          <w:tcPr>
            <w:tcW w:type="dxa" w:w="9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+0.12%</w:t>
            </w:r>
          </w:p>
        </w:tc>
        <w:tc>
          <w:tcPr>
            <w:tcW w:type="dxa" w:w="125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25.97%</w:t>
            </w:r>
          </w:p>
        </w:tc>
        <w:tc>
          <w:tcPr>
            <w:tcW w:type="dxa" w:w="7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0.974</w:t>
            </w:r>
          </w:p>
        </w:tc>
        <w:tc>
          <w:tcPr>
            <w:tcW w:type="dxa" w:w="113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4.15%</w:t>
            </w:r>
          </w:p>
        </w:tc>
      </w:tr>
      <w:tr>
        <w:trPr>
          <w:cantSplit/>
        </w:trPr>
        <w:tc>
          <w:tcPr>
            <w:tcW w:type="dxa" w:w="268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Reinstatement · Broad money growth</w:t>
            </w:r>
          </w:p>
        </w:tc>
        <w:tc>
          <w:tcPr>
            <w:tcW w:type="dxa" w:w="82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3</w:t>
            </w:r>
          </w:p>
        </w:tc>
        <w:tc>
          <w:tcPr>
            <w:tcW w:type="dxa" w:w="90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161</w:t>
            </w:r>
          </w:p>
        </w:tc>
        <w:tc>
          <w:tcPr>
            <w:tcW w:type="dxa" w:w="90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7,482</w:t>
            </w:r>
          </w:p>
        </w:tc>
        <w:tc>
          <w:tcPr>
            <w:tcW w:type="dxa" w:w="94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−1.74%</w:t>
            </w:r>
          </w:p>
        </w:tc>
        <w:tc>
          <w:tcPr>
            <w:tcW w:type="dxa" w:w="125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20.01%</w:t>
            </w:r>
          </w:p>
        </w:tc>
        <w:tc>
          <w:tcPr>
            <w:tcW w:type="dxa" w:w="74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0.811</w:t>
            </w:r>
          </w:p>
        </w:tc>
        <w:tc>
          <w:tcPr>
            <w:tcW w:type="dxa" w:w="113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12.40%</w:t>
            </w:r>
          </w:p>
        </w:tc>
      </w:tr>
    </w:tbl>
    <w:p>
      <w:pPr>
        <w:spacing w:after="190" w:before="60"/>
        <w:jc w:val="both"/>
      </w:pPr>
      <w:r>
        <w:rPr>
          <w:rFonts w:ascii="Times New Roman" w:cs="Times New Roman" w:eastAsia="Times New Roman" w:hAnsi="Times New Roman"/>
          <w:sz w:val="18"/>
          <w:szCs w:val="18"/>
        </w:rPr>
        <w:t xml:space="preserve">Notes: Callaway–Sant'Anna aggregate ATT over post-reform event time, not-yet-treated comparison. Randomization-inference p-values from 2,000 placebo reassignments of the observed event years to never-reforming countries. MDE is the minimum effect detectable at 80% power and 5% size, computed as 2.8 times the median event-study standard error. One further cell, reinstatement · bank liquidity multiplier, is not estimable.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120"/>
              <w:left w:type="dxa" w:w="0"/>
              <w:bottom w:type="dxa" w:w="160"/>
              <w:right w:type="dxa" w:w="0"/>
            </w:tcMar>
          </w:tcPr>
          <w:p>
            <w:pPr>
              <w:spacing w:after="90" w:before="0"/>
              <w:jc w:val="center"/>
            </w:pPr>
            <w:r>
              <w:drawing>
                <wp:inline distT="0" distB="0" distL="0" distR="0">
                  <wp:extent cx="566928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9280" cy="2514600"/>
                          </a:xfrm>
                          <a:prstGeom prst="rect">
                            <a:avLst/>
                          </a:prstGeom>
                        </pic:spPr>
                      </pic:pic>
                    </a:graphicData>
                  </a:graphic>
                </wp:inline>
              </w:drawing>
            </w:r>
          </w:p>
          <w:p>
            <w:pPr>
              <w:spacing w:after="0" w:before="0"/>
              <w:jc w:val="left"/>
            </w:pPr>
            <w:r>
              <w:rPr>
                <w:rFonts w:ascii="Times New Roman" w:cs="Times New Roman" w:eastAsia="Times New Roman" w:hAnsi="Times New Roman"/>
                <w:sz w:val="18"/>
                <w:szCs w:val="18"/>
              </w:rPr>
              <w:t xml:space="preserve">Figure 2. Event-study coefficients around prohibitions. Circles are two-way fixed-effects estimates with 95% confidence intervals clustered by country; the dashed line is the Callaway–Sant'Anna path against not-yet-treated units.</w:t>
            </w:r>
          </w:p>
        </w:tc>
      </w:tr>
    </w:tbl>
    <w:p>
      <w:pPr>
        <w:spacing w:after="140" w:before="0" w:line="320"/>
        <w:jc w:val="both"/>
      </w:pPr>
      <w:r>
        <w:rPr>
          <w:rFonts w:ascii="Times New Roman" w:cs="Times New Roman" w:eastAsia="Times New Roman" w:hAnsi="Times New Roman"/>
          <w:sz w:val="22"/>
          <w:szCs w:val="22"/>
        </w:rPr>
        <w:t xml:space="preserve">10 of the 11 combinations are indistinguishable from zero under randomization inference. The single exception, reinstatement acting on the credit multiplier, is identified off two countries and returns +80.42%, which is better read as a warning label than as a result. The inflation and money-growth outcomes, which close the quantity identity, are equally null: prohibitions are associated with +0.95% on inflation and −1.80% on broad money growth, with p-values of 0.57 and 0.67.</w:t>
      </w:r>
    </w:p>
    <w:p>
      <w:pPr>
        <w:spacing w:after="140" w:before="0" w:line="320"/>
        <w:jc w:val="both"/>
      </w:pPr>
      <w:r>
        <w:rPr>
          <w:rFonts w:ascii="Times New Roman" w:cs="Times New Roman" w:eastAsia="Times New Roman" w:hAnsi="Times New Roman"/>
          <w:sz w:val="22"/>
          <w:szCs w:val="22"/>
        </w:rPr>
        <w:t xml:space="preserve">The minimum detectable effects are the informative quantity. The best-powered cell, prohibition acting on real GDP per capita with ten treated countries, could detect an effect of 9.41%; the mechanical effect available to it is at most 0.53%. The design is therefore roughly 18 times too blunt, and the velocity and multiplier cells are blunter still.</w:t>
      </w:r>
    </w:p>
    <w:p>
      <w:pPr>
        <w:pStyle w:val="Heading2"/>
        <w:spacing w:after="110" w:before="240"/>
      </w:pPr>
      <w:r>
        <w:rPr>
          <w:rFonts w:ascii="Times New Roman" w:cs="Times New Roman" w:eastAsia="Times New Roman" w:hAnsi="Times New Roman"/>
          <w:b/>
          <w:bCs/>
          <w:color w:val="000000"/>
          <w:sz w:val="23"/>
          <w:szCs w:val="23"/>
        </w:rPr>
        <w:t xml:space="preserve">7.2 Plausibility</w:t>
      </w:r>
    </w:p>
    <w:p>
      <w:pPr>
        <w:spacing w:after="140" w:before="0" w:line="320"/>
        <w:jc w:val="both"/>
      </w:pPr>
      <w:r>
        <w:rPr>
          <w:rFonts w:ascii="Times New Roman" w:cs="Times New Roman" w:eastAsia="Times New Roman" w:hAnsi="Times New Roman"/>
          <w:sz w:val="22"/>
          <w:szCs w:val="22"/>
        </w:rPr>
        <w:t xml:space="preserve">Table 4 sets each estimate against the largest effect the sector could produce if a prohibition eliminated it entirely, that is at φ = 1.</w:t>
      </w:r>
    </w:p>
    <w:p>
      <w:pPr>
        <w:spacing w:after="70" w:before="140"/>
        <w:jc w:val="left"/>
      </w:pPr>
      <w:r>
        <w:rPr>
          <w:rFonts w:ascii="Times New Roman" w:cs="Times New Roman" w:eastAsia="Times New Roman" w:hAnsi="Times New Roman"/>
          <w:sz w:val="19"/>
          <w:szCs w:val="19"/>
        </w:rPr>
        <w:t xml:space="preserve">Table 4. Estimates against the maximum mechanically available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150"/>
        <w:gridCol w:w="2000"/>
        <w:gridCol w:w="900"/>
        <w:gridCol w:w="1450"/>
        <w:gridCol w:w="960"/>
      </w:tblGrid>
      <w:tr>
        <w:trPr>
          <w:cantSplit/>
          <w:tblHeader/>
        </w:trPr>
        <w:tc>
          <w:tcPr>
            <w:tcW w:type="dxa" w:w="290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b/>
                <w:bCs/>
                <w:sz w:val="18"/>
                <w:szCs w:val="18"/>
              </w:rPr>
              <w:t xml:space="preserve">Arm · outcome</w:t>
            </w:r>
          </w:p>
        </w:tc>
        <w:tc>
          <w:tcPr>
            <w:tcW w:type="dxa" w:w="115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b/>
                <w:bCs/>
                <w:sz w:val="18"/>
                <w:szCs w:val="18"/>
              </w:rPr>
              <w:t xml:space="preserve">Estimate</w:t>
            </w:r>
          </w:p>
        </w:tc>
        <w:tc>
          <w:tcPr>
            <w:tcW w:type="dxa" w:w="200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b/>
                <w:bCs/>
                <w:sz w:val="18"/>
                <w:szCs w:val="18"/>
              </w:rPr>
              <w:t xml:space="preserve">Max mechanical (φ = 1)</w:t>
            </w:r>
          </w:p>
        </w:tc>
        <w:tc>
          <w:tcPr>
            <w:tcW w:type="dxa" w:w="90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b/>
                <w:bCs/>
                <w:sz w:val="18"/>
                <w:szCs w:val="18"/>
              </w:rPr>
              <w:t xml:space="preserve">Ratio</w:t>
            </w:r>
          </w:p>
        </w:tc>
        <w:tc>
          <w:tcPr>
            <w:tcW w:type="dxa" w:w="145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b/>
                <w:bCs/>
                <w:sz w:val="18"/>
                <w:szCs w:val="18"/>
              </w:rPr>
              <w:t xml:space="preserve">Sign as predicted</w:t>
            </w:r>
          </w:p>
        </w:tc>
        <w:tc>
          <w:tcPr>
            <w:tcW w:type="dxa" w:w="96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b/>
                <w:bCs/>
                <w:sz w:val="18"/>
                <w:szCs w:val="18"/>
              </w:rPr>
              <w:t xml:space="preserve">RI p</w:t>
            </w:r>
          </w:p>
        </w:tc>
      </w:tr>
      <w:tr>
        <w:trPr>
          <w:cantSplit/>
        </w:trPr>
        <w:tc>
          <w:tcPr>
            <w:tcW w:type="dxa" w:w="2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Ban · Real GDP per capita</w:t>
            </w:r>
          </w:p>
        </w:tc>
        <w:tc>
          <w:tcPr>
            <w:tcW w:type="dxa" w:w="115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−1.65%</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−0.53%</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3.1×</w:t>
            </w:r>
          </w:p>
        </w:tc>
        <w:tc>
          <w:tcPr>
            <w:tcW w:type="dxa" w:w="145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yes</w:t>
            </w:r>
          </w:p>
        </w:tc>
        <w:tc>
          <w:tcPr>
            <w:tcW w:type="dxa" w:w="9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0.647</w:t>
            </w:r>
          </w:p>
        </w:tc>
      </w:tr>
      <w:tr>
        <w:trPr>
          <w:cantSplit/>
        </w:trPr>
        <w:tc>
          <w:tcPr>
            <w:tcW w:type="dxa" w:w="2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Ban · Velocity of broad money</w:t>
            </w:r>
          </w:p>
        </w:tc>
        <w:tc>
          <w:tcPr>
            <w:tcW w:type="dxa" w:w="115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+10.30%</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−0.70%</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15×</w:t>
            </w:r>
          </w:p>
        </w:tc>
        <w:tc>
          <w:tcPr>
            <w:tcW w:type="dxa" w:w="145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no</w:t>
            </w:r>
          </w:p>
        </w:tc>
        <w:tc>
          <w:tcPr>
            <w:tcW w:type="dxa" w:w="9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0.135</w:t>
            </w:r>
          </w:p>
        </w:tc>
      </w:tr>
      <w:tr>
        <w:trPr>
          <w:cantSplit/>
        </w:trPr>
        <w:tc>
          <w:tcPr>
            <w:tcW w:type="dxa" w:w="2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Ban · Credit multiplier</w:t>
            </w:r>
          </w:p>
        </w:tc>
        <w:tc>
          <w:tcPr>
            <w:tcW w:type="dxa" w:w="115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−0.39%</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−0.70%</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0.6×</w:t>
            </w:r>
          </w:p>
        </w:tc>
        <w:tc>
          <w:tcPr>
            <w:tcW w:type="dxa" w:w="145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yes</w:t>
            </w:r>
          </w:p>
        </w:tc>
        <w:tc>
          <w:tcPr>
            <w:tcW w:type="dxa" w:w="9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0.962</w:t>
            </w:r>
          </w:p>
        </w:tc>
      </w:tr>
      <w:tr>
        <w:trPr>
          <w:cantSplit/>
        </w:trPr>
        <w:tc>
          <w:tcPr>
            <w:tcW w:type="dxa" w:w="2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Ban · Bank liquidity multiplier</w:t>
            </w:r>
          </w:p>
        </w:tc>
        <w:tc>
          <w:tcPr>
            <w:tcW w:type="dxa" w:w="115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+14.12%</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−0.90%</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16×</w:t>
            </w:r>
          </w:p>
        </w:tc>
        <w:tc>
          <w:tcPr>
            <w:tcW w:type="dxa" w:w="145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no</w:t>
            </w:r>
          </w:p>
        </w:tc>
        <w:tc>
          <w:tcPr>
            <w:tcW w:type="dxa" w:w="9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0.509</w:t>
            </w:r>
          </w:p>
        </w:tc>
      </w:tr>
      <w:tr>
        <w:trPr>
          <w:cantSplit/>
        </w:trPr>
        <w:tc>
          <w:tcPr>
            <w:tcW w:type="dxa" w:w="2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Ban · CPI inflation</w:t>
            </w:r>
          </w:p>
        </w:tc>
        <w:tc>
          <w:tcPr>
            <w:tcW w:type="dxa" w:w="115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+0.95%</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+0.53%</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1.8×</w:t>
            </w:r>
          </w:p>
        </w:tc>
        <w:tc>
          <w:tcPr>
            <w:tcW w:type="dxa" w:w="145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yes</w:t>
            </w:r>
          </w:p>
        </w:tc>
        <w:tc>
          <w:tcPr>
            <w:tcW w:type="dxa" w:w="9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0.570</w:t>
            </w:r>
          </w:p>
        </w:tc>
      </w:tr>
      <w:tr>
        <w:trPr>
          <w:cantSplit/>
        </w:trPr>
        <w:tc>
          <w:tcPr>
            <w:tcW w:type="dxa" w:w="2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Ban · Broad money growth</w:t>
            </w:r>
          </w:p>
        </w:tc>
        <w:tc>
          <w:tcPr>
            <w:tcW w:type="dxa" w:w="115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−1.80%</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−0.70%</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2.6×</w:t>
            </w:r>
          </w:p>
        </w:tc>
        <w:tc>
          <w:tcPr>
            <w:tcW w:type="dxa" w:w="145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yes</w:t>
            </w:r>
          </w:p>
        </w:tc>
        <w:tc>
          <w:tcPr>
            <w:tcW w:type="dxa" w:w="9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0.671</w:t>
            </w:r>
          </w:p>
        </w:tc>
      </w:tr>
      <w:tr>
        <w:trPr>
          <w:cantSplit/>
        </w:trPr>
        <w:tc>
          <w:tcPr>
            <w:tcW w:type="dxa" w:w="2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Reinstatement · Real GDP per capita</w:t>
            </w:r>
          </w:p>
        </w:tc>
        <w:tc>
          <w:tcPr>
            <w:tcW w:type="dxa" w:w="115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−0.87%</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+0.15%</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5.9×</w:t>
            </w:r>
          </w:p>
        </w:tc>
        <w:tc>
          <w:tcPr>
            <w:tcW w:type="dxa" w:w="145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no</w:t>
            </w:r>
          </w:p>
        </w:tc>
        <w:tc>
          <w:tcPr>
            <w:tcW w:type="dxa" w:w="9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0.857</w:t>
            </w:r>
          </w:p>
        </w:tc>
      </w:tr>
      <w:tr>
        <w:trPr>
          <w:cantSplit/>
        </w:trPr>
        <w:tc>
          <w:tcPr>
            <w:tcW w:type="dxa" w:w="2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Reinstatement · Velocity of broad money</w:t>
            </w:r>
          </w:p>
        </w:tc>
        <w:tc>
          <w:tcPr>
            <w:tcW w:type="dxa" w:w="115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+12.54%</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+0.15%</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84×</w:t>
            </w:r>
          </w:p>
        </w:tc>
        <w:tc>
          <w:tcPr>
            <w:tcW w:type="dxa" w:w="145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yes</w:t>
            </w:r>
          </w:p>
        </w:tc>
        <w:tc>
          <w:tcPr>
            <w:tcW w:type="dxa" w:w="9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0.317</w:t>
            </w:r>
          </w:p>
        </w:tc>
      </w:tr>
      <w:tr>
        <w:trPr>
          <w:cantSplit/>
        </w:trPr>
        <w:tc>
          <w:tcPr>
            <w:tcW w:type="dxa" w:w="2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Reinstatement · Credit multiplier</w:t>
            </w:r>
          </w:p>
        </w:tc>
        <w:tc>
          <w:tcPr>
            <w:tcW w:type="dxa" w:w="115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+80.42%</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+0.13%</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643×</w:t>
            </w:r>
          </w:p>
        </w:tc>
        <w:tc>
          <w:tcPr>
            <w:tcW w:type="dxa" w:w="145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yes</w:t>
            </w:r>
          </w:p>
        </w:tc>
        <w:tc>
          <w:tcPr>
            <w:tcW w:type="dxa" w:w="9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0.003</w:t>
            </w:r>
          </w:p>
        </w:tc>
      </w:tr>
      <w:tr>
        <w:trPr>
          <w:cantSplit/>
        </w:trPr>
        <w:tc>
          <w:tcPr>
            <w:tcW w:type="dxa" w:w="2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Reinstatement · CPI inflation</w:t>
            </w:r>
          </w:p>
        </w:tc>
        <w:tc>
          <w:tcPr>
            <w:tcW w:type="dxa" w:w="115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+0.12%</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−0.15%</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0.8×</w:t>
            </w:r>
          </w:p>
        </w:tc>
        <w:tc>
          <w:tcPr>
            <w:tcW w:type="dxa" w:w="145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no</w:t>
            </w:r>
          </w:p>
        </w:tc>
        <w:tc>
          <w:tcPr>
            <w:tcW w:type="dxa" w:w="9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0.974</w:t>
            </w:r>
          </w:p>
        </w:tc>
      </w:tr>
      <w:tr>
        <w:trPr>
          <w:cantSplit/>
        </w:trPr>
        <w:tc>
          <w:tcPr>
            <w:tcW w:type="dxa" w:w="290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Reinstatement · Broad money growth</w:t>
            </w:r>
          </w:p>
        </w:tc>
        <w:tc>
          <w:tcPr>
            <w:tcW w:type="dxa" w:w="115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−1.74%</w:t>
            </w:r>
          </w:p>
        </w:tc>
        <w:tc>
          <w:tcPr>
            <w:tcW w:type="dxa" w:w="200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+0.15%</w:t>
            </w:r>
          </w:p>
        </w:tc>
        <w:tc>
          <w:tcPr>
            <w:tcW w:type="dxa" w:w="90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12×</w:t>
            </w:r>
          </w:p>
        </w:tc>
        <w:tc>
          <w:tcPr>
            <w:tcW w:type="dxa" w:w="145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no</w:t>
            </w:r>
          </w:p>
        </w:tc>
        <w:tc>
          <w:tcPr>
            <w:tcW w:type="dxa" w:w="96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0.811</w:t>
            </w:r>
          </w:p>
        </w:tc>
      </w:tr>
    </w:tbl>
    <w:p>
      <w:pPr>
        <w:spacing w:after="190" w:before="60"/>
        <w:jc w:val="both"/>
      </w:pPr>
      <w:r>
        <w:rPr>
          <w:rFonts w:ascii="Times New Roman" w:cs="Times New Roman" w:eastAsia="Times New Roman" w:hAnsi="Times New Roman"/>
          <w:sz w:val="18"/>
          <w:szCs w:val="18"/>
        </w:rPr>
        <w:t xml:space="preserve">Notes: The maximum mechanical effect is the mean measured sector share across that cell's treated countries, signed according to the mechanism in Section 3 — negative for prohibitions on output, velocity, the multiplier and money growth, positive for prohibitions on inflation, and reversed for reinstatements.</w:t>
      </w:r>
    </w:p>
    <w:p>
      <w:pPr>
        <w:spacing w:after="140" w:before="0" w:line="320"/>
        <w:jc w:val="both"/>
      </w:pPr>
      <w:r>
        <w:rPr>
          <w:rFonts w:ascii="Times New Roman" w:cs="Times New Roman" w:eastAsia="Times New Roman" w:hAnsi="Times New Roman"/>
          <w:sz w:val="22"/>
          <w:szCs w:val="22"/>
        </w:rPr>
        <w:t xml:space="preserve">5 of the 11 estimates carry the sign opposite to the mechanism, and 6 exceed the maximum mechanically available effect by more than a factor of five, the worst by a factor of 643. A velocity estimate of +10.30% following prohibition, in countries whose sex trade averages 0.70% of GDP, is not a statement about prostitution. It is what a seven-country treatment group looks like when its reforms cluster between 1999 and 2010, a window containing euro convergence, the dot-com cycle and the global financial crisis.</w:t>
      </w:r>
    </w:p>
    <w:p>
      <w:pPr>
        <w:pStyle w:val="Heading2"/>
        <w:spacing w:after="110" w:before="240"/>
      </w:pPr>
      <w:r>
        <w:rPr>
          <w:rFonts w:ascii="Times New Roman" w:cs="Times New Roman" w:eastAsia="Times New Roman" w:hAnsi="Times New Roman"/>
          <w:b/>
          <w:bCs/>
          <w:color w:val="000000"/>
          <w:sz w:val="23"/>
          <w:szCs w:val="23"/>
        </w:rPr>
        <w:t xml:space="preserve">7.3 Individual reforms</w:t>
      </w:r>
    </w:p>
    <w:p>
      <w:pPr>
        <w:spacing w:after="140" w:before="0" w:line="320"/>
        <w:jc w:val="both"/>
      </w:pPr>
      <w:r>
        <w:rPr>
          <w:rFonts w:ascii="Times New Roman" w:cs="Times New Roman" w:eastAsia="Times New Roman" w:hAnsi="Times New Roman"/>
          <w:sz w:val="22"/>
          <w:szCs w:val="22"/>
        </w:rPr>
        <w:t xml:space="preserve">Table 5 reports synthetic controls for six reforms under the main specification and under a tighter one with twelve donors and twenty pre-reform years.</w:t>
      </w:r>
    </w:p>
    <w:p>
      <w:pPr>
        <w:spacing w:after="70" w:before="140"/>
        <w:jc w:val="left"/>
      </w:pPr>
      <w:r>
        <w:rPr>
          <w:rFonts w:ascii="Times New Roman" w:cs="Times New Roman" w:eastAsia="Times New Roman" w:hAnsi="Times New Roman"/>
          <w:sz w:val="19"/>
          <w:szCs w:val="19"/>
        </w:rPr>
        <w:t xml:space="preserve">Table 5. Synthetic control estimates: main specification and tightened donor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80"/>
        <w:gridCol w:w="1900"/>
        <w:gridCol w:w="920"/>
        <w:gridCol w:w="1000"/>
        <w:gridCol w:w="760"/>
        <w:gridCol w:w="920"/>
        <w:gridCol w:w="1000"/>
        <w:gridCol w:w="760"/>
      </w:tblGrid>
      <w:tr>
        <w:trPr>
          <w:cantSplit/>
          <w:tblHeader/>
        </w:trPr>
        <w:tc>
          <w:tcPr>
            <w:tcW w:type="dxa" w:w="118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b/>
                <w:bCs/>
                <w:sz w:val="18"/>
                <w:szCs w:val="18"/>
              </w:rPr>
              <w:t xml:space="preserve">Reform</w:t>
            </w:r>
          </w:p>
        </w:tc>
        <w:tc>
          <w:tcPr>
            <w:tcW w:type="dxa" w:w="190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b/>
                <w:bCs/>
                <w:sz w:val="18"/>
                <w:szCs w:val="18"/>
              </w:rPr>
              <w:t xml:space="preserve">Outcome</w:t>
            </w:r>
          </w:p>
        </w:tc>
        <w:tc>
          <w:tcPr>
            <w:tcW w:type="dxa" w:w="92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b/>
                <w:bCs/>
                <w:sz w:val="18"/>
                <w:szCs w:val="18"/>
              </w:rPr>
              <w:t xml:space="preserve">Pre-fit</w:t>
            </w:r>
          </w:p>
        </w:tc>
        <w:tc>
          <w:tcPr>
            <w:tcW w:type="dxa" w:w="100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b/>
                <w:bCs/>
                <w:sz w:val="18"/>
                <w:szCs w:val="18"/>
              </w:rPr>
              <w:t xml:space="preserve">Gap</w:t>
            </w:r>
          </w:p>
        </w:tc>
        <w:tc>
          <w:tcPr>
            <w:tcW w:type="dxa" w:w="76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b/>
                <w:bCs/>
                <w:sz w:val="18"/>
                <w:szCs w:val="18"/>
              </w:rPr>
              <w:t xml:space="preserve">p</w:t>
            </w:r>
          </w:p>
        </w:tc>
        <w:tc>
          <w:tcPr>
            <w:tcW w:type="dxa" w:w="92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b/>
                <w:bCs/>
                <w:sz w:val="18"/>
                <w:szCs w:val="18"/>
              </w:rPr>
              <w:t xml:space="preserve">Pre-fit</w:t>
            </w:r>
          </w:p>
        </w:tc>
        <w:tc>
          <w:tcPr>
            <w:tcW w:type="dxa" w:w="100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b/>
                <w:bCs/>
                <w:sz w:val="18"/>
                <w:szCs w:val="18"/>
              </w:rPr>
              <w:t xml:space="preserve">Gap</w:t>
            </w:r>
          </w:p>
        </w:tc>
        <w:tc>
          <w:tcPr>
            <w:tcW w:type="dxa" w:w="76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b/>
                <w:bCs/>
                <w:sz w:val="18"/>
                <w:szCs w:val="18"/>
              </w:rPr>
              <w:t xml:space="preserve">p</w:t>
            </w:r>
          </w:p>
        </w:tc>
      </w:tr>
      <w:tr>
        <w:trPr>
          <w:cantSplit/>
        </w:trPr>
        <w:tc>
          <w:tcPr>
            <w:tcW w:type="dxa" w:w="11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GBR 2010</w:t>
            </w:r>
          </w:p>
        </w:tc>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Real GDP per capita</w:t>
            </w:r>
          </w:p>
        </w:tc>
        <w:tc>
          <w:tcPr>
            <w:tcW w:type="dxa" w:w="9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0.17%</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+5.74%</w:t>
            </w:r>
          </w:p>
        </w:tc>
        <w:tc>
          <w:tcPr>
            <w:tcW w:type="dxa" w:w="7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0.107</w:t>
            </w:r>
          </w:p>
        </w:tc>
        <w:tc>
          <w:tcPr>
            <w:tcW w:type="dxa" w:w="9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0.98%</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+2.69%</w:t>
            </w:r>
          </w:p>
        </w:tc>
        <w:tc>
          <w:tcPr>
            <w:tcW w:type="dxa" w:w="7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0.500</w:t>
            </w:r>
          </w:p>
        </w:tc>
      </w:tr>
      <w:tr>
        <w:trPr>
          <w:cantSplit/>
        </w:trPr>
        <w:tc>
          <w:tcPr>
            <w:tcW w:type="dxa" w:w="11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GBR 2010</w:t>
            </w:r>
          </w:p>
        </w:tc>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Velocity of broad money</w:t>
            </w:r>
          </w:p>
        </w:tc>
        <w:tc>
          <w:tcPr>
            <w:tcW w:type="dxa" w:w="9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4.47%</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+12.39%</w:t>
            </w:r>
          </w:p>
        </w:tc>
        <w:tc>
          <w:tcPr>
            <w:tcW w:type="dxa" w:w="7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0.077</w:t>
            </w:r>
          </w:p>
        </w:tc>
        <w:tc>
          <w:tcPr>
            <w:tcW w:type="dxa" w:w="9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16.18%</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+3.40%</w:t>
            </w:r>
          </w:p>
        </w:tc>
        <w:tc>
          <w:tcPr>
            <w:tcW w:type="dxa" w:w="7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0.833</w:t>
            </w:r>
          </w:p>
        </w:tc>
      </w:tr>
      <w:tr>
        <w:trPr>
          <w:cantSplit/>
        </w:trPr>
        <w:tc>
          <w:tcPr>
            <w:tcW w:type="dxa" w:w="11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GBR 2010</w:t>
            </w:r>
          </w:p>
        </w:tc>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Credit multiplier</w:t>
            </w:r>
          </w:p>
        </w:tc>
        <w:tc>
          <w:tcPr>
            <w:tcW w:type="dxa" w:w="9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1.61%</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−12.46%</w:t>
            </w:r>
          </w:p>
        </w:tc>
        <w:tc>
          <w:tcPr>
            <w:tcW w:type="dxa" w:w="7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0.083</w:t>
            </w:r>
          </w:p>
        </w:tc>
        <w:tc>
          <w:tcPr>
            <w:tcW w:type="dxa" w:w="9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10.38%</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−15.39%</w:t>
            </w:r>
          </w:p>
        </w:tc>
        <w:tc>
          <w:tcPr>
            <w:tcW w:type="dxa" w:w="7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0.818</w:t>
            </w:r>
          </w:p>
        </w:tc>
      </w:tr>
      <w:tr>
        <w:trPr>
          <w:cantSplit/>
        </w:trPr>
        <w:tc>
          <w:tcPr>
            <w:tcW w:type="dxa" w:w="11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KOR 2004</w:t>
            </w:r>
          </w:p>
        </w:tc>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Real GDP per capita</w:t>
            </w:r>
          </w:p>
        </w:tc>
        <w:tc>
          <w:tcPr>
            <w:tcW w:type="dxa" w:w="9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3.44%</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−0.50%</w:t>
            </w:r>
          </w:p>
        </w:tc>
        <w:tc>
          <w:tcPr>
            <w:tcW w:type="dxa" w:w="7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1.000</w:t>
            </w:r>
          </w:p>
        </w:tc>
        <w:tc>
          <w:tcPr>
            <w:tcW w:type="dxa" w:w="9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13.32%</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+22.46%</w:t>
            </w:r>
          </w:p>
        </w:tc>
        <w:tc>
          <w:tcPr>
            <w:tcW w:type="dxa" w:w="7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0.833</w:t>
            </w:r>
          </w:p>
        </w:tc>
      </w:tr>
      <w:tr>
        <w:trPr>
          <w:cantSplit/>
        </w:trPr>
        <w:tc>
          <w:tcPr>
            <w:tcW w:type="dxa" w:w="11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KOR 2004</w:t>
            </w:r>
          </w:p>
        </w:tc>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Velocity of broad money</w:t>
            </w:r>
          </w:p>
        </w:tc>
        <w:tc>
          <w:tcPr>
            <w:tcW w:type="dxa" w:w="9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13.54%</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−36.95%</w:t>
            </w:r>
          </w:p>
        </w:tc>
        <w:tc>
          <w:tcPr>
            <w:tcW w:type="dxa" w:w="7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0.655</w:t>
            </w:r>
          </w:p>
        </w:tc>
        <w:tc>
          <w:tcPr>
            <w:tcW w:type="dxa" w:w="9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13.35%</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−43.40%</w:t>
            </w:r>
          </w:p>
        </w:tc>
        <w:tc>
          <w:tcPr>
            <w:tcW w:type="dxa" w:w="7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0.250</w:t>
            </w:r>
          </w:p>
        </w:tc>
      </w:tr>
      <w:tr>
        <w:trPr>
          <w:cantSplit/>
        </w:trPr>
        <w:tc>
          <w:tcPr>
            <w:tcW w:type="dxa" w:w="11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KOR 2004</w:t>
            </w:r>
          </w:p>
        </w:tc>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Credit multiplier</w:t>
            </w:r>
          </w:p>
        </w:tc>
        <w:tc>
          <w:tcPr>
            <w:tcW w:type="dxa" w:w="9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5.08%</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+12.50%</w:t>
            </w:r>
          </w:p>
        </w:tc>
        <w:tc>
          <w:tcPr>
            <w:tcW w:type="dxa" w:w="7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0.720</w:t>
            </w:r>
          </w:p>
        </w:tc>
        <w:tc>
          <w:tcPr>
            <w:tcW w:type="dxa" w:w="9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6.90%</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+4.17%</w:t>
            </w:r>
          </w:p>
        </w:tc>
        <w:tc>
          <w:tcPr>
            <w:tcW w:type="dxa" w:w="7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1.000</w:t>
            </w:r>
          </w:p>
        </w:tc>
      </w:tr>
      <w:tr>
        <w:trPr>
          <w:cantSplit/>
        </w:trPr>
        <w:tc>
          <w:tcPr>
            <w:tcW w:type="dxa" w:w="11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SWE 1999</w:t>
            </w:r>
          </w:p>
        </w:tc>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Real GDP per capita</w:t>
            </w:r>
          </w:p>
        </w:tc>
        <w:tc>
          <w:tcPr>
            <w:tcW w:type="dxa" w:w="9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0.39%</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+3.30%</w:t>
            </w:r>
          </w:p>
        </w:tc>
        <w:tc>
          <w:tcPr>
            <w:tcW w:type="dxa" w:w="7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0.043</w:t>
            </w:r>
          </w:p>
        </w:tc>
        <w:tc>
          <w:tcPr>
            <w:tcW w:type="dxa" w:w="9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0.96%</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+1.15%</w:t>
            </w:r>
          </w:p>
        </w:tc>
        <w:tc>
          <w:tcPr>
            <w:tcW w:type="dxa" w:w="7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0.500</w:t>
            </w:r>
          </w:p>
        </w:tc>
      </w:tr>
      <w:tr>
        <w:trPr>
          <w:cantSplit/>
        </w:trPr>
        <w:tc>
          <w:tcPr>
            <w:tcW w:type="dxa" w:w="11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SWE 1999</w:t>
            </w:r>
          </w:p>
        </w:tc>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Velocity of broad money</w:t>
            </w:r>
          </w:p>
        </w:tc>
        <w:tc>
          <w:tcPr>
            <w:tcW w:type="dxa" w:w="9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3.78%</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+3.42%</w:t>
            </w:r>
          </w:p>
        </w:tc>
        <w:tc>
          <w:tcPr>
            <w:tcW w:type="dxa" w:w="7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0.778</w:t>
            </w:r>
          </w:p>
        </w:tc>
        <w:tc>
          <w:tcPr>
            <w:tcW w:type="dxa" w:w="9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w:t>
            </w:r>
          </w:p>
        </w:tc>
        <w:tc>
          <w:tcPr>
            <w:tcW w:type="dxa" w:w="7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w:t>
            </w:r>
          </w:p>
        </w:tc>
      </w:tr>
      <w:tr>
        <w:trPr>
          <w:cantSplit/>
        </w:trPr>
        <w:tc>
          <w:tcPr>
            <w:tcW w:type="dxa" w:w="11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DNK 1999</w:t>
            </w:r>
          </w:p>
        </w:tc>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Real GDP per capita</w:t>
            </w:r>
          </w:p>
        </w:tc>
        <w:tc>
          <w:tcPr>
            <w:tcW w:type="dxa" w:w="9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0.61%</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+1.10%</w:t>
            </w:r>
          </w:p>
        </w:tc>
        <w:tc>
          <w:tcPr>
            <w:tcW w:type="dxa" w:w="7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0.522</w:t>
            </w:r>
          </w:p>
        </w:tc>
        <w:tc>
          <w:tcPr>
            <w:tcW w:type="dxa" w:w="9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1.91%</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−1.84%</w:t>
            </w:r>
          </w:p>
        </w:tc>
        <w:tc>
          <w:tcPr>
            <w:tcW w:type="dxa" w:w="7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0.667</w:t>
            </w:r>
          </w:p>
        </w:tc>
      </w:tr>
      <w:tr>
        <w:trPr>
          <w:cantSplit/>
        </w:trPr>
        <w:tc>
          <w:tcPr>
            <w:tcW w:type="dxa" w:w="11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DNK 1999</w:t>
            </w:r>
          </w:p>
        </w:tc>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Velocity of broad money</w:t>
            </w:r>
          </w:p>
        </w:tc>
        <w:tc>
          <w:tcPr>
            <w:tcW w:type="dxa" w:w="9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4.20%</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+20.78%</w:t>
            </w:r>
          </w:p>
        </w:tc>
        <w:tc>
          <w:tcPr>
            <w:tcW w:type="dxa" w:w="7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0.111</w:t>
            </w:r>
          </w:p>
        </w:tc>
        <w:tc>
          <w:tcPr>
            <w:tcW w:type="dxa" w:w="9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w:t>
            </w:r>
          </w:p>
        </w:tc>
        <w:tc>
          <w:tcPr>
            <w:tcW w:type="dxa" w:w="7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w:t>
            </w:r>
          </w:p>
        </w:tc>
      </w:tr>
      <w:tr>
        <w:trPr>
          <w:cantSplit/>
        </w:trPr>
        <w:tc>
          <w:tcPr>
            <w:tcW w:type="dxa" w:w="11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NZL 2003</w:t>
            </w:r>
          </w:p>
        </w:tc>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Real GDP per capita</w:t>
            </w:r>
          </w:p>
        </w:tc>
        <w:tc>
          <w:tcPr>
            <w:tcW w:type="dxa" w:w="9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0.78%</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−4.68%</w:t>
            </w:r>
          </w:p>
        </w:tc>
        <w:tc>
          <w:tcPr>
            <w:tcW w:type="dxa" w:w="7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0.571</w:t>
            </w:r>
          </w:p>
        </w:tc>
        <w:tc>
          <w:tcPr>
            <w:tcW w:type="dxa" w:w="9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2.83%</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+4.52%</w:t>
            </w:r>
          </w:p>
        </w:tc>
        <w:tc>
          <w:tcPr>
            <w:tcW w:type="dxa" w:w="7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0.583</w:t>
            </w:r>
          </w:p>
        </w:tc>
      </w:tr>
      <w:tr>
        <w:trPr>
          <w:cantSplit/>
        </w:trPr>
        <w:tc>
          <w:tcPr>
            <w:tcW w:type="dxa" w:w="11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NZL 2003</w:t>
            </w:r>
          </w:p>
        </w:tc>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Velocity of broad money</w:t>
            </w:r>
          </w:p>
        </w:tc>
        <w:tc>
          <w:tcPr>
            <w:tcW w:type="dxa" w:w="9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2.22%</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−7.92%</w:t>
            </w:r>
          </w:p>
        </w:tc>
        <w:tc>
          <w:tcPr>
            <w:tcW w:type="dxa" w:w="7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0.542</w:t>
            </w:r>
          </w:p>
        </w:tc>
        <w:tc>
          <w:tcPr>
            <w:tcW w:type="dxa" w:w="9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w:t>
            </w:r>
          </w:p>
        </w:tc>
        <w:tc>
          <w:tcPr>
            <w:tcW w:type="dxa" w:w="7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w:t>
            </w:r>
          </w:p>
        </w:tc>
      </w:tr>
      <w:tr>
        <w:trPr>
          <w:cantSplit/>
        </w:trPr>
        <w:tc>
          <w:tcPr>
            <w:tcW w:type="dxa" w:w="11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NOR 2009</w:t>
            </w:r>
          </w:p>
        </w:tc>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Real GDP per capita</w:t>
            </w:r>
          </w:p>
        </w:tc>
        <w:tc>
          <w:tcPr>
            <w:tcW w:type="dxa" w:w="9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0.22%</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−0.38%</w:t>
            </w:r>
          </w:p>
        </w:tc>
        <w:tc>
          <w:tcPr>
            <w:tcW w:type="dxa" w:w="7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0.583</w:t>
            </w:r>
          </w:p>
        </w:tc>
        <w:tc>
          <w:tcPr>
            <w:tcW w:type="dxa" w:w="9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1.84%</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−2.90%</w:t>
            </w:r>
          </w:p>
        </w:tc>
        <w:tc>
          <w:tcPr>
            <w:tcW w:type="dxa" w:w="7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0.750</w:t>
            </w:r>
          </w:p>
        </w:tc>
      </w:tr>
      <w:tr>
        <w:trPr>
          <w:cantSplit/>
        </w:trPr>
        <w:tc>
          <w:tcPr>
            <w:tcW w:type="dxa" w:w="118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NOR 2009</w:t>
            </w:r>
          </w:p>
        </w:tc>
        <w:tc>
          <w:tcPr>
            <w:tcW w:type="dxa" w:w="190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Velocity of broad money</w:t>
            </w:r>
          </w:p>
        </w:tc>
        <w:tc>
          <w:tcPr>
            <w:tcW w:type="dxa" w:w="92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2.23%</w:t>
            </w:r>
          </w:p>
        </w:tc>
        <w:tc>
          <w:tcPr>
            <w:tcW w:type="dxa" w:w="100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+13.93%</w:t>
            </w:r>
          </w:p>
        </w:tc>
        <w:tc>
          <w:tcPr>
            <w:tcW w:type="dxa" w:w="76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0.000</w:t>
            </w:r>
          </w:p>
        </w:tc>
        <w:tc>
          <w:tcPr>
            <w:tcW w:type="dxa" w:w="92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3.50%</w:t>
            </w:r>
          </w:p>
        </w:tc>
        <w:tc>
          <w:tcPr>
            <w:tcW w:type="dxa" w:w="100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+12.45%</w:t>
            </w:r>
          </w:p>
        </w:tc>
        <w:tc>
          <w:tcPr>
            <w:tcW w:type="dxa" w:w="76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right"/>
            </w:pPr>
            <w:r>
              <w:rPr>
                <w:rFonts w:ascii="Times New Roman" w:cs="Times New Roman" w:eastAsia="Times New Roman" w:hAnsi="Times New Roman"/>
                <w:sz w:val="18"/>
                <w:szCs w:val="18"/>
              </w:rPr>
              <w:t xml:space="preserve">0.100</w:t>
            </w:r>
          </w:p>
        </w:tc>
      </w:tr>
    </w:tbl>
    <w:p>
      <w:pPr>
        <w:spacing w:after="190" w:before="60"/>
        <w:jc w:val="both"/>
      </w:pPr>
      <w:r>
        <w:rPr>
          <w:rFonts w:ascii="Times New Roman" w:cs="Times New Roman" w:eastAsia="Times New Roman" w:hAnsi="Times New Roman"/>
          <w:sz w:val="18"/>
          <w:szCs w:val="18"/>
        </w:rPr>
        <w:t xml:space="preserve">Notes: Columns 3–5 are the main specification (donors within a factor of three of pre-reform income per head, capped at 35, fitted to 12 pre-reform years); columns 6–8 tighten this to 12 donors and 20 pre-reform years. "Pre-fit" is the pre-reform RMSPE, "Gap" the mean post-reform gap, and p an in-space placebo rank. Three velocity cases are not estimable under the tightened specification for want of donors with complete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tcMar>
              <w:top w:type="dxa" w:w="120"/>
              <w:left w:type="dxa" w:w="0"/>
              <w:bottom w:type="dxa" w:w="160"/>
              <w:right w:type="dxa" w:w="0"/>
            </w:tcMar>
          </w:tcPr>
          <w:p>
            <w:pPr>
              <w:spacing w:after="90" w:before="0"/>
              <w:jc w:val="center"/>
            </w:pPr>
            <w:r>
              <w:drawing>
                <wp:inline distT="0" distB="0" distL="0" distR="0">
                  <wp:extent cx="566928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2514600"/>
                          </a:xfrm>
                          <a:prstGeom prst="rect">
                            <a:avLst/>
                          </a:prstGeom>
                        </pic:spPr>
                      </pic:pic>
                    </a:graphicData>
                  </a:graphic>
                </wp:inline>
              </w:drawing>
            </w:r>
          </w:p>
          <w:p>
            <w:pPr>
              <w:spacing w:after="0" w:before="0"/>
              <w:jc w:val="left"/>
            </w:pPr>
            <w:r>
              <w:rPr>
                <w:rFonts w:ascii="Times New Roman" w:cs="Times New Roman" w:eastAsia="Times New Roman" w:hAnsi="Times New Roman"/>
                <w:sz w:val="18"/>
                <w:szCs w:val="18"/>
              </w:rPr>
              <w:t xml:space="preserve">Figure 3. South Korea and its synthetic control around the 2004 prohibition. The velocity gap in panel (b) opens between 1997 and 2001, several years before the reform.</w:t>
            </w:r>
          </w:p>
        </w:tc>
      </w:tr>
    </w:tbl>
    <w:p>
      <w:pPr>
        <w:spacing w:after="140" w:before="0" w:line="320"/>
        <w:jc w:val="both"/>
      </w:pPr>
      <w:r>
        <w:rPr>
          <w:rFonts w:ascii="Times New Roman" w:cs="Times New Roman" w:eastAsia="Times New Roman" w:hAnsi="Times New Roman"/>
          <w:sz w:val="22"/>
          <w:szCs w:val="22"/>
        </w:rPr>
        <w:t xml:space="preserve">Two cases attain conventional significance in the main specification — Sweden on real GDP per capita (p = 0.043) and Norway on velocity (p = 0.000) — and both lose it under the tightened pool, at p = 0.500 and p = 0.100 respectively. Their gaps are in any case 33 and 279 times the maximum effect their sectors could supply.</w:t>
      </w:r>
    </w:p>
    <w:p>
      <w:pPr>
        <w:spacing w:after="140" w:before="0" w:line="320"/>
        <w:jc w:val="both"/>
      </w:pPr>
      <w:r>
        <w:rPr>
          <w:rFonts w:ascii="Times New Roman" w:cs="Times New Roman" w:eastAsia="Times New Roman" w:hAnsi="Times New Roman"/>
          <w:sz w:val="22"/>
          <w:szCs w:val="22"/>
        </w:rPr>
        <w:t xml:space="preserve">Korea deserves separate comment, because it is the only case with meaningful power. Its synthetic control tracks real GDP per capita closely and shows a post-reform gap of −0.50% with a placebo p of 1.000 — precisely nothing, where the mechanical prediction was -2.05%. The velocity panel shows a large gap, but Figure 3(b) makes clear that it opens between 1997 and 2001, during the Asian financial crisis and the subsequent monetary deepening, three to six years before the prohibition. Reading it as a consequence of the 2004 law would require the effect to precede its cause.</w:t>
      </w:r>
    </w:p>
    <w:p>
      <w:pPr>
        <w:pStyle w:val="Heading1"/>
        <w:spacing w:after="150" w:before="320"/>
      </w:pPr>
      <w:r>
        <w:rPr>
          <w:rFonts w:ascii="Times New Roman" w:cs="Times New Roman" w:eastAsia="Times New Roman" w:hAnsi="Times New Roman"/>
          <w:b/>
          <w:bCs/>
          <w:color w:val="000000"/>
          <w:sz w:val="26"/>
          <w:szCs w:val="26"/>
        </w:rPr>
        <w:t xml:space="preserve">8. Robustness</w:t>
      </w:r>
    </w:p>
    <w:p>
      <w:pPr>
        <w:spacing w:after="140" w:before="0" w:line="320"/>
        <w:jc w:val="both"/>
      </w:pPr>
      <w:r>
        <w:rPr>
          <w:rFonts w:ascii="Times New Roman" w:cs="Times New Roman" w:eastAsia="Times New Roman" w:hAnsi="Times New Roman"/>
          <w:sz w:val="22"/>
          <w:szCs w:val="22"/>
        </w:rPr>
        <w:t xml:space="preserve">Four checks support the reading above. First, restricting the comparison group to advanced economies moves the point estimates but not the conclusions; the prohibition effect on real GDP per capita falls from −1.65% to −0.48% and remains far inside the noise. Second, the Callaway–Sant'Anna path and the two-way fixed-effects coefficients agree closely in Figure 2, so negative weighting is not driving the result. Third, the pre-reform coefficients reported in Table 3 are large relative to the post-reform estimates in the monetary outcomes, which is itself evidence that the design is tracking macroeconomic cycles rather than legal change. Fourth, the synthetic-control results are strongly specification-dependent in exactly the way that fragile findings are: Korea's GDP gap moves from −0.50% to +22.46% when the donor pool is tightened.</w:t>
      </w:r>
    </w:p>
    <w:p>
      <w:pPr>
        <w:spacing w:after="140" w:before="0" w:line="320"/>
        <w:jc w:val="both"/>
      </w:pPr>
      <w:r>
        <w:rPr>
          <w:rFonts w:ascii="Times New Roman" w:cs="Times New Roman" w:eastAsia="Times New Roman" w:hAnsi="Times New Roman"/>
          <w:sz w:val="22"/>
          <w:szCs w:val="22"/>
        </w:rPr>
        <w:t xml:space="preserve">A fifth check is worth stating as a caution rather than a reassurance. Under the main specification several pre-reform RMSPEs fall below 0.5%, which means a 35-donor simplex is interpolating a 12-point pre-path almost exactly. That is not a control group, and it inflates the post-to-pre ratio on which the placebo rank is built. The tightened specification, with more targets than free weights, is the one to believe.</w:t>
      </w:r>
    </w:p>
    <w:p>
      <w:pPr>
        <w:pStyle w:val="Heading1"/>
        <w:spacing w:after="150" w:before="320"/>
      </w:pPr>
      <w:r>
        <w:rPr>
          <w:rFonts w:ascii="Times New Roman" w:cs="Times New Roman" w:eastAsia="Times New Roman" w:hAnsi="Times New Roman"/>
          <w:b/>
          <w:bCs/>
          <w:color w:val="000000"/>
          <w:sz w:val="26"/>
          <w:szCs w:val="26"/>
        </w:rPr>
        <w:t xml:space="preserve">9. Discussion</w:t>
      </w:r>
    </w:p>
    <w:p>
      <w:pPr>
        <w:spacing w:after="140" w:before="0" w:line="320"/>
        <w:jc w:val="both"/>
      </w:pPr>
      <w:r>
        <w:rPr>
          <w:rFonts w:ascii="Times New Roman" w:cs="Times New Roman" w:eastAsia="Times New Roman" w:hAnsi="Times New Roman"/>
          <w:sz w:val="22"/>
          <w:szCs w:val="22"/>
        </w:rPr>
        <w:t xml:space="preserve">The contribution of this paper is a bound. Across 20 reforms, 214 countries and six outcomes, I find no evidence that prohibiting or re-legalising prostitution moves GDP, the velocity of money, the money multiplier, inflation or money growth. That statement would be close to vacuous on its own, because an absence of evidence in an underpowered design is uninformative. What makes it useful is that the power calculation is explicit and comes first. The minimum detectable effects in Table 3 exceed the maximum effect the sector could generate by one to three orders of magnitude, and the arithmetic in Table 2 is independent of any identification assumption.</w:t>
      </w:r>
    </w:p>
    <w:p>
      <w:pPr>
        <w:spacing w:after="140" w:before="0" w:line="320"/>
        <w:jc w:val="both"/>
      </w:pPr>
      <w:r>
        <w:rPr>
          <w:rFonts w:ascii="Times New Roman" w:cs="Times New Roman" w:eastAsia="Times New Roman" w:hAnsi="Times New Roman"/>
          <w:sz w:val="22"/>
          <w:szCs w:val="22"/>
        </w:rPr>
        <w:t xml:space="preserve">This has a direct implication for policy debate. Macroeconomic arguments for or against prostitution law reform — that a ban will slow the circulation of money, that legalisation will measurably enlarge the economy — are not supported, and more importantly are not supportable at this level of aggregation. A sector of a few tenths of one per cent of GDP cannot move an aggregate whose annual innovation is three percentage points. The case for or against reform has to be made on the grounds the microeconomic literature actually speaks to: violence, health, trafficking and the welfare of the people involved.</w:t>
      </w:r>
    </w:p>
    <w:p>
      <w:pPr>
        <w:spacing w:after="140" w:before="0" w:line="320"/>
        <w:jc w:val="both"/>
      </w:pPr>
      <w:r>
        <w:rPr>
          <w:rFonts w:ascii="Times New Roman" w:cs="Times New Roman" w:eastAsia="Times New Roman" w:hAnsi="Times New Roman"/>
          <w:sz w:val="22"/>
          <w:szCs w:val="22"/>
        </w:rPr>
        <w:t xml:space="preserve">There is also a methodological point of general application. Where an intervention's mechanical magnitude can be bounded from outside the regression, reporting that bound alongside the minimum detectable effect converts an uninformative null into an informative one, and discourages the alternative outcome — a specification search across six outcomes, two arms and several comparison groups until something crosses a threshold. In this exercise such a search would have succeeded: 1 panel cell and two synthetic controls reach conventional significance. All three are implausible on magnitude, and the two synthetic controls do not survive a tighter donor pool. Without the prior bound there would be no principled way to dismiss them (Ioannidis, Stanley and Doucouliagos, 2017).</w:t>
      </w:r>
    </w:p>
    <w:p>
      <w:pPr>
        <w:pStyle w:val="Heading1"/>
        <w:spacing w:after="150" w:before="320"/>
      </w:pPr>
      <w:r>
        <w:rPr>
          <w:rFonts w:ascii="Times New Roman" w:cs="Times New Roman" w:eastAsia="Times New Roman" w:hAnsi="Times New Roman"/>
          <w:b/>
          <w:bCs/>
          <w:color w:val="000000"/>
          <w:sz w:val="26"/>
          <w:szCs w:val="26"/>
        </w:rPr>
        <w:t xml:space="preserve">10. Limitations</w:t>
      </w:r>
    </w:p>
    <w:p>
      <w:pPr>
        <w:spacing w:after="130" w:line="320"/>
        <w:ind w:left="431" w:hanging="431"/>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Monetary union removes the richest reforms. </w:t>
      </w:r>
      <w:r>
        <w:rPr>
          <w:rFonts w:ascii="Times New Roman" w:cs="Times New Roman" w:eastAsia="Times New Roman" w:hAnsi="Times New Roman"/>
          <w:sz w:val="22"/>
          <w:szCs w:val="22"/>
        </w:rPr>
        <w:t xml:space="preserve">National broad-money series end with euro entry, so the Netherlands 2000, Germany 2002 and 2017, France 2016 and Ireland 2017 cannot be tested on velocity or the multiplier at all. Canada is lost separately, its broad-money series ending in 2008.</w:t>
      </w:r>
    </w:p>
    <w:p>
      <w:pPr>
        <w:spacing w:after="130" w:line="320"/>
        <w:ind w:left="431" w:hanging="431"/>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No monetary base. </w:t>
      </w:r>
      <w:r>
        <w:rPr>
          <w:rFonts w:ascii="Times New Roman" w:cs="Times New Roman" w:eastAsia="Times New Roman" w:hAnsi="Times New Roman"/>
          <w:sz w:val="22"/>
          <w:szCs w:val="22"/>
        </w:rPr>
        <w:t xml:space="preserve">The textbook M2/M0 multiplier is not constructible from the available sources, so the multiplier is approached through two ratio proxies and the analytic formula of equation (3). The reserve ratio is available only from 2001, which leaves the 2004 Korean prohibition with three pre-reform years on that outcome.</w:t>
      </w:r>
    </w:p>
    <w:p>
      <w:pPr>
        <w:spacing w:after="130" w:line="320"/>
        <w:ind w:left="431" w:hanging="431"/>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The reinstatement arm is thin. </w:t>
      </w:r>
      <w:r>
        <w:rPr>
          <w:rFonts w:ascii="Times New Roman" w:cs="Times New Roman" w:eastAsia="Times New Roman" w:hAnsi="Times New Roman"/>
          <w:sz w:val="22"/>
          <w:szCs w:val="22"/>
        </w:rPr>
        <w:t xml:space="preserve">Denmark 1999, Hungary 1999 and New Zealand 2003 are the only liberalisations with both GDP and monetary data; one cell is identified off two countries. Conclusions about re-legalisation are correspondingly weaker than those about prohibition.</w:t>
      </w:r>
    </w:p>
    <w:p>
      <w:pPr>
        <w:spacing w:after="130" w:line="320"/>
        <w:ind w:left="431" w:hanging="431"/>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Measurement is endogenous to the treatment. </w:t>
      </w:r>
      <w:r>
        <w:rPr>
          <w:rFonts w:ascii="Times New Roman" w:cs="Times New Roman" w:eastAsia="Times New Roman" w:hAnsi="Times New Roman"/>
          <w:sz w:val="22"/>
          <w:szCs w:val="22"/>
        </w:rPr>
        <w:t xml:space="preserve">What counts as prostitution output depends on whether statisticians count it, and agencies differ fivefold under a common accounting standard. For pre-2014 reforms, part of any measured GDP movement is the accounting treatment changing rather than behaviour.</w:t>
      </w:r>
    </w:p>
    <w:p>
      <w:pPr>
        <w:spacing w:after="130" w:line="320"/>
        <w:ind w:left="431" w:hanging="431"/>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Annual frequency. </w:t>
      </w:r>
      <w:r>
        <w:rPr>
          <w:rFonts w:ascii="Times New Roman" w:cs="Times New Roman" w:eastAsia="Times New Roman" w:hAnsi="Times New Roman"/>
          <w:sz w:val="22"/>
          <w:szCs w:val="22"/>
        </w:rPr>
        <w:t xml:space="preserve">A reform with a sharp in-force date is being tested against data observed once a year, which discards most of the information in the timing and is a substantial part of why the minimum detectable effects are so large.</w:t>
      </w:r>
    </w:p>
    <w:p>
      <w:pPr>
        <w:spacing w:after="130" w:line="320"/>
        <w:ind w:left="431" w:hanging="431"/>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Donor pools. </w:t>
      </w:r>
      <w:r>
        <w:rPr>
          <w:rFonts w:ascii="Times New Roman" w:cs="Times New Roman" w:eastAsia="Times New Roman" w:hAnsi="Times New Roman"/>
          <w:sz w:val="22"/>
          <w:szCs w:val="22"/>
        </w:rPr>
        <w:t xml:space="preserve">Income-similarity screening removes the worst pathologies but still admits small open economies such as Andorra and Brunei into some synthetic controls. The tightened specification is preferred for that reason.</w:t>
      </w:r>
    </w:p>
    <w:p>
      <w:pPr>
        <w:pStyle w:val="Heading1"/>
        <w:spacing w:after="150" w:before="320"/>
      </w:pPr>
      <w:r>
        <w:rPr>
          <w:rFonts w:ascii="Times New Roman" w:cs="Times New Roman" w:eastAsia="Times New Roman" w:hAnsi="Times New Roman"/>
          <w:b/>
          <w:bCs/>
          <w:color w:val="000000"/>
          <w:sz w:val="26"/>
          <w:szCs w:val="26"/>
        </w:rPr>
        <w:t xml:space="preserve">11. Conclusion</w:t>
      </w:r>
    </w:p>
    <w:p>
      <w:pPr>
        <w:spacing w:after="140" w:before="0" w:line="320"/>
        <w:jc w:val="both"/>
      </w:pPr>
      <w:r>
        <w:rPr>
          <w:rFonts w:ascii="Times New Roman" w:cs="Times New Roman" w:eastAsia="Times New Roman" w:hAnsi="Times New Roman"/>
          <w:sz w:val="22"/>
          <w:szCs w:val="22"/>
        </w:rPr>
        <w:t xml:space="preserve">Banning prostitution does not detectably change the velocity of money, and neither does legalising it. Nor does either move GDP, the money multiplier, inflation or broad money growth. The finding is a bound rather than a discovery, but it is a tight one: in every jurisdiction with usable data except South Korea the sector is one to three orders of magnitude too small to register in annual macroeconomic series, and the currency-drain channel into the multiplier is undetectable even in Korea.</w:t>
      </w:r>
    </w:p>
    <w:p>
      <w:pPr>
        <w:spacing w:after="140" w:before="0" w:line="320"/>
        <w:jc w:val="both"/>
      </w:pPr>
      <w:r>
        <w:rPr>
          <w:rFonts w:ascii="Times New Roman" w:cs="Times New Roman" w:eastAsia="Times New Roman" w:hAnsi="Times New Roman"/>
          <w:sz w:val="22"/>
          <w:szCs w:val="22"/>
        </w:rPr>
        <w:t xml:space="preserve">The question becomes answerable only where the shock is large, the data frequent, or the unit of observation small. Three designs follow. Korea's 2004 prohibition deserves a monthly or quarterly treatment using Bank of Korea aggregates, currency in circulation and base money. Rhode Island's 2003 to 2009 decriminalisation can be tested against other American states on county business patterns. And Northern Ireland's 2015 sex-purchase offence can be tested against Great Britain on regional gross value added, which includes illegal activity and is published by region. None of these requires new data collection; all three require data this paper could not reach.</w:t>
      </w:r>
    </w:p>
    <w:p>
      <w:pPr>
        <w:pStyle w:val="Heading1"/>
        <w:spacing w:after="150" w:before="320"/>
      </w:pPr>
      <w:r>
        <w:rPr>
          <w:rFonts w:ascii="Times New Roman" w:cs="Times New Roman" w:eastAsia="Times New Roman" w:hAnsi="Times New Roman"/>
          <w:b/>
          <w:bCs/>
          <w:color w:val="000000"/>
          <w:sz w:val="26"/>
          <w:szCs w:val="26"/>
        </w:rPr>
        <w:t xml:space="preserve">References</w:t>
      </w:r>
    </w:p>
    <w:p>
      <w:pPr>
        <w:spacing w:after="110" w:line="290"/>
        <w:ind w:left="576" w:hanging="576"/>
        <w:jc w:val="both"/>
      </w:pPr>
      <w:r>
        <w:rPr>
          <w:rFonts w:ascii="Times New Roman" w:cs="Times New Roman" w:eastAsia="Times New Roman" w:hAnsi="Times New Roman"/>
          <w:sz w:val="20"/>
          <w:szCs w:val="20"/>
        </w:rPr>
        <w:t xml:space="preserve">Abadie, A. (2021). Using synthetic controls: feasibility, data requirements, and methodological aspects. Journal of Economic Literature, 59(2), 391–425.</w:t>
      </w:r>
    </w:p>
    <w:p>
      <w:pPr>
        <w:spacing w:after="110" w:line="290"/>
        <w:ind w:left="576" w:hanging="576"/>
        <w:jc w:val="both"/>
      </w:pPr>
      <w:r>
        <w:rPr>
          <w:rFonts w:ascii="Times New Roman" w:cs="Times New Roman" w:eastAsia="Times New Roman" w:hAnsi="Times New Roman"/>
          <w:sz w:val="20"/>
          <w:szCs w:val="20"/>
        </w:rPr>
        <w:t xml:space="preserve">Abadie, A., Diamond, A., and Hainmueller, J. (2010). Synthetic control methods for comparative case studies: estimating the effect of California's tobacco control program. Journal of the American Statistical Association, 105(490), 493–505.</w:t>
      </w:r>
    </w:p>
    <w:p>
      <w:pPr>
        <w:spacing w:after="110" w:line="290"/>
        <w:ind w:left="576" w:hanging="576"/>
        <w:jc w:val="both"/>
      </w:pPr>
      <w:r>
        <w:rPr>
          <w:rFonts w:ascii="Times New Roman" w:cs="Times New Roman" w:eastAsia="Times New Roman" w:hAnsi="Times New Roman"/>
          <w:sz w:val="20"/>
          <w:szCs w:val="20"/>
        </w:rPr>
        <w:t xml:space="preserve">Bisschop, P., Kastoryano, S., and van der Klaauw, B. (2017). Street prostitution zones and crime. American Economic Journal: Economic Policy, 9(4), 28–63.</w:t>
      </w:r>
    </w:p>
    <w:p>
      <w:pPr>
        <w:spacing w:after="110" w:line="290"/>
        <w:ind w:left="576" w:hanging="576"/>
        <w:jc w:val="both"/>
      </w:pPr>
      <w:r>
        <w:rPr>
          <w:rFonts w:ascii="Times New Roman" w:cs="Times New Roman" w:eastAsia="Times New Roman" w:hAnsi="Times New Roman"/>
          <w:sz w:val="20"/>
          <w:szCs w:val="20"/>
        </w:rPr>
        <w:t xml:space="preserve">Callaway, B., and Sant'Anna, P. H. C. (2021). Difference-in-differences with multiple time periods. Journal of Econometrics, 225(2), 200–230.</w:t>
      </w:r>
    </w:p>
    <w:p>
      <w:pPr>
        <w:spacing w:after="110" w:line="290"/>
        <w:ind w:left="576" w:hanging="576"/>
        <w:jc w:val="both"/>
      </w:pPr>
      <w:r>
        <w:rPr>
          <w:rFonts w:ascii="Times New Roman" w:cs="Times New Roman" w:eastAsia="Times New Roman" w:hAnsi="Times New Roman"/>
          <w:sz w:val="20"/>
          <w:szCs w:val="20"/>
        </w:rPr>
        <w:t xml:space="preserve">Cameron, A. C., Gelbach, J. B., and Miller, D. L. (2008). Bootstrap-based improvements for inference with clustered errors. Review of Economics and Statistics, 90(3), 414–427.</w:t>
      </w:r>
    </w:p>
    <w:p>
      <w:pPr>
        <w:spacing w:after="110" w:line="290"/>
        <w:ind w:left="576" w:hanging="576"/>
        <w:jc w:val="both"/>
      </w:pPr>
      <w:r>
        <w:rPr>
          <w:rFonts w:ascii="Times New Roman" w:cs="Times New Roman" w:eastAsia="Times New Roman" w:hAnsi="Times New Roman"/>
          <w:sz w:val="20"/>
          <w:szCs w:val="20"/>
        </w:rPr>
        <w:t xml:space="preserve">Cho, S.-Y., Dreher, A., and Neumayer, E. (2013). Does legalized prostitution increase human trafficking? World Development, 41, 67–82.</w:t>
      </w:r>
    </w:p>
    <w:p>
      <w:pPr>
        <w:spacing w:after="110" w:line="290"/>
        <w:ind w:left="576" w:hanging="576"/>
        <w:jc w:val="both"/>
      </w:pPr>
      <w:r>
        <w:rPr>
          <w:rFonts w:ascii="Times New Roman" w:cs="Times New Roman" w:eastAsia="Times New Roman" w:hAnsi="Times New Roman"/>
          <w:sz w:val="20"/>
          <w:szCs w:val="20"/>
        </w:rPr>
        <w:t xml:space="preserve">Cunningham, S., and Shah, M. (2018). Decriminalizing indoor prostitution: implications for sexual violence and public health. Review of Economic Studies, 85(3), 1683–1715.</w:t>
      </w:r>
    </w:p>
    <w:p>
      <w:pPr>
        <w:spacing w:after="110" w:line="290"/>
        <w:ind w:left="576" w:hanging="576"/>
        <w:jc w:val="both"/>
      </w:pPr>
      <w:r>
        <w:rPr>
          <w:rFonts w:ascii="Times New Roman" w:cs="Times New Roman" w:eastAsia="Times New Roman" w:hAnsi="Times New Roman"/>
          <w:sz w:val="20"/>
          <w:szCs w:val="20"/>
        </w:rPr>
        <w:t xml:space="preserve">de Chaisemartin, C., and D'Haultfœuille, X. (2020). Two-way fixed effects estimators with heterogeneous treatment effects. American Economic Review, 110(9), 2964–2996.</w:t>
      </w:r>
    </w:p>
    <w:p>
      <w:pPr>
        <w:spacing w:after="110" w:line="290"/>
        <w:ind w:left="576" w:hanging="576"/>
        <w:jc w:val="both"/>
      </w:pPr>
      <w:r>
        <w:rPr>
          <w:rFonts w:ascii="Times New Roman" w:cs="Times New Roman" w:eastAsia="Times New Roman" w:hAnsi="Times New Roman"/>
          <w:sz w:val="20"/>
          <w:szCs w:val="20"/>
        </w:rPr>
        <w:t xml:space="preserve">Department of Justice (Northern Ireland) (2019). Review of the operation of Article 64A of the Sexual Offences (Northern Ireland) Order 2008. Belfast.</w:t>
      </w:r>
    </w:p>
    <w:p>
      <w:pPr>
        <w:spacing w:after="110" w:line="290"/>
        <w:ind w:left="576" w:hanging="576"/>
        <w:jc w:val="both"/>
      </w:pPr>
      <w:r>
        <w:rPr>
          <w:rFonts w:ascii="Times New Roman" w:cs="Times New Roman" w:eastAsia="Times New Roman" w:hAnsi="Times New Roman"/>
          <w:sz w:val="20"/>
          <w:szCs w:val="20"/>
        </w:rPr>
        <w:t xml:space="preserve">Edlund, L., and Korn, E. (2002). A theory of prostitution. Journal of Political Economy, 110(1), 181–214.</w:t>
      </w:r>
    </w:p>
    <w:p>
      <w:pPr>
        <w:spacing w:after="110" w:line="290"/>
        <w:ind w:left="576" w:hanging="576"/>
        <w:jc w:val="both"/>
      </w:pPr>
      <w:r>
        <w:rPr>
          <w:rFonts w:ascii="Times New Roman" w:cs="Times New Roman" w:eastAsia="Times New Roman" w:hAnsi="Times New Roman"/>
          <w:sz w:val="20"/>
          <w:szCs w:val="20"/>
        </w:rPr>
        <w:t xml:space="preserve">Eurostat (2013). European System of Accounts: ESA 2010. Publications Office of the European Union, Luxembourg.</w:t>
      </w:r>
    </w:p>
    <w:p>
      <w:pPr>
        <w:spacing w:after="110" w:line="290"/>
        <w:ind w:left="576" w:hanging="576"/>
        <w:jc w:val="both"/>
      </w:pPr>
      <w:r>
        <w:rPr>
          <w:rFonts w:ascii="Times New Roman" w:cs="Times New Roman" w:eastAsia="Times New Roman" w:hAnsi="Times New Roman"/>
          <w:sz w:val="20"/>
          <w:szCs w:val="20"/>
        </w:rPr>
        <w:t xml:space="preserve">Friedman, M. (1956). The quantity theory of money: a restatement. In Studies in the Quantity Theory of Money. University of Chicago Press.</w:t>
      </w:r>
    </w:p>
    <w:p>
      <w:pPr>
        <w:spacing w:after="110" w:line="290"/>
        <w:ind w:left="576" w:hanging="576"/>
        <w:jc w:val="both"/>
      </w:pPr>
      <w:r>
        <w:rPr>
          <w:rFonts w:ascii="Times New Roman" w:cs="Times New Roman" w:eastAsia="Times New Roman" w:hAnsi="Times New Roman"/>
          <w:sz w:val="20"/>
          <w:szCs w:val="20"/>
        </w:rPr>
        <w:t xml:space="preserve">Gertler, P., Shah, M., and Bertozzi, S. M. (2005). Risky business: the market for unprotected commercial sex. Journal of Political Economy, 113(3), 518–550.</w:t>
      </w:r>
    </w:p>
    <w:p>
      <w:pPr>
        <w:spacing w:after="110" w:line="290"/>
        <w:ind w:left="576" w:hanging="576"/>
        <w:jc w:val="both"/>
      </w:pPr>
      <w:r>
        <w:rPr>
          <w:rFonts w:ascii="Times New Roman" w:cs="Times New Roman" w:eastAsia="Times New Roman" w:hAnsi="Times New Roman"/>
          <w:sz w:val="20"/>
          <w:szCs w:val="20"/>
        </w:rPr>
        <w:t xml:space="preserve">Goodman-Bacon, A. (2021). Difference-in-differences with variation in treatment timing. Journal of Econometrics, 225(2), 254–277.</w:t>
      </w:r>
    </w:p>
    <w:p>
      <w:pPr>
        <w:spacing w:after="110" w:line="290"/>
        <w:ind w:left="576" w:hanging="576"/>
        <w:jc w:val="both"/>
      </w:pPr>
      <w:r>
        <w:rPr>
          <w:rFonts w:ascii="Times New Roman" w:cs="Times New Roman" w:eastAsia="Times New Roman" w:hAnsi="Times New Roman"/>
          <w:sz w:val="20"/>
          <w:szCs w:val="20"/>
        </w:rPr>
        <w:t xml:space="preserve">Ioannidis, J. P. A., Stanley, T. D., and Doucouliagos, H. (2017). The power of bias in economics research. Economic Journal, 127(605), F236–F265.</w:t>
      </w:r>
    </w:p>
    <w:p>
      <w:pPr>
        <w:spacing w:after="110" w:line="290"/>
        <w:ind w:left="576" w:hanging="576"/>
        <w:jc w:val="both"/>
      </w:pPr>
      <w:r>
        <w:rPr>
          <w:rFonts w:ascii="Times New Roman" w:cs="Times New Roman" w:eastAsia="Times New Roman" w:hAnsi="Times New Roman"/>
          <w:sz w:val="20"/>
          <w:szCs w:val="20"/>
        </w:rPr>
        <w:t xml:space="preserve">Jakobsson, N., and Kotsadam, A. (2013). The law and economics of international sex slavery: prostitution laws and trafficking for sexual exploitation. European Journal of Law and Economics, 35(1), 87–107.</w:t>
      </w:r>
    </w:p>
    <w:p>
      <w:pPr>
        <w:spacing w:after="110" w:line="290"/>
        <w:ind w:left="576" w:hanging="576"/>
        <w:jc w:val="both"/>
      </w:pPr>
      <w:r>
        <w:rPr>
          <w:rFonts w:ascii="Times New Roman" w:cs="Times New Roman" w:eastAsia="Times New Roman" w:hAnsi="Times New Roman"/>
          <w:sz w:val="20"/>
          <w:szCs w:val="20"/>
        </w:rPr>
        <w:t xml:space="preserve">Lee, S., and Persson, P. (2022). Human trafficking and regulating prostitution. American Economic Journal: Economic Policy.</w:t>
      </w:r>
    </w:p>
    <w:p>
      <w:pPr>
        <w:spacing w:after="110" w:line="290"/>
        <w:ind w:left="576" w:hanging="576"/>
        <w:jc w:val="both"/>
      </w:pPr>
      <w:r>
        <w:rPr>
          <w:rFonts w:ascii="Times New Roman" w:cs="Times New Roman" w:eastAsia="Times New Roman" w:hAnsi="Times New Roman"/>
          <w:sz w:val="20"/>
          <w:szCs w:val="20"/>
        </w:rPr>
        <w:t xml:space="preserve">Office for National Statistics (2014). Changes to National Accounts: inclusion of illegal drugs and prostitution in the UK National Accounts. Newport.</w:t>
      </w:r>
    </w:p>
    <w:p>
      <w:pPr>
        <w:spacing w:after="110" w:line="290"/>
        <w:ind w:left="576" w:hanging="576"/>
        <w:jc w:val="both"/>
      </w:pPr>
      <w:r>
        <w:rPr>
          <w:rFonts w:ascii="Times New Roman" w:cs="Times New Roman" w:eastAsia="Times New Roman" w:hAnsi="Times New Roman"/>
          <w:sz w:val="20"/>
          <w:szCs w:val="20"/>
        </w:rPr>
        <w:t xml:space="preserve">Rogoff, K. S. (2016). The Curse of Cash. Princeton University Press.</w:t>
      </w:r>
    </w:p>
    <w:p>
      <w:pPr>
        <w:spacing w:after="110" w:line="290"/>
        <w:ind w:left="576" w:hanging="576"/>
        <w:jc w:val="both"/>
      </w:pPr>
      <w:r>
        <w:rPr>
          <w:rFonts w:ascii="Times New Roman" w:cs="Times New Roman" w:eastAsia="Times New Roman" w:hAnsi="Times New Roman"/>
          <w:sz w:val="20"/>
          <w:szCs w:val="20"/>
        </w:rPr>
        <w:t xml:space="preserve">Schneider, F., and Enste, D. H. (2000). Shadow economies: size, causes, and consequences. Journal of Economic Literature, 38(1), 77–114.</w:t>
      </w:r>
    </w:p>
    <w:p>
      <w:pPr>
        <w:spacing w:after="110" w:line="290"/>
        <w:ind w:left="576" w:hanging="576"/>
        <w:jc w:val="both"/>
      </w:pPr>
      <w:r>
        <w:rPr>
          <w:rFonts w:ascii="Times New Roman" w:cs="Times New Roman" w:eastAsia="Times New Roman" w:hAnsi="Times New Roman"/>
          <w:sz w:val="20"/>
          <w:szCs w:val="20"/>
        </w:rPr>
        <w:t xml:space="preserve">Soloveichik, R. (2021). Including illegal market activity in the U.S. national economic accounts. Survey of Current Business, 101(2). Bureau of Economic Analysis.</w:t>
      </w:r>
    </w:p>
    <w:p>
      <w:pPr>
        <w:spacing w:after="110" w:line="290"/>
        <w:ind w:left="576" w:hanging="576"/>
        <w:jc w:val="both"/>
      </w:pPr>
      <w:r>
        <w:rPr>
          <w:rFonts w:ascii="Times New Roman" w:cs="Times New Roman" w:eastAsia="Times New Roman" w:hAnsi="Times New Roman"/>
          <w:sz w:val="20"/>
          <w:szCs w:val="20"/>
        </w:rPr>
        <w:t xml:space="preserve">Statistics Netherlands (CBS) (2024). Estimating illegal activities in the national accounts. The Hague.</w:t>
      </w:r>
    </w:p>
    <w:p>
      <w:pPr>
        <w:spacing w:after="110" w:line="290"/>
        <w:ind w:left="576" w:hanging="576"/>
        <w:jc w:val="both"/>
      </w:pPr>
      <w:r>
        <w:rPr>
          <w:rFonts w:ascii="Times New Roman" w:cs="Times New Roman" w:eastAsia="Times New Roman" w:hAnsi="Times New Roman"/>
          <w:sz w:val="20"/>
          <w:szCs w:val="20"/>
        </w:rPr>
        <w:t xml:space="preserve">Statistisches Bundesamt (Destatis) (2025). Prostitute Protection Act statistics: registered prostitutes, 2017–2024. Wiesbaden.</w:t>
      </w:r>
    </w:p>
    <w:p>
      <w:pPr>
        <w:spacing w:after="110" w:line="290"/>
        <w:ind w:left="576" w:hanging="576"/>
        <w:jc w:val="both"/>
      </w:pPr>
      <w:r>
        <w:rPr>
          <w:rFonts w:ascii="Times New Roman" w:cs="Times New Roman" w:eastAsia="Times New Roman" w:hAnsi="Times New Roman"/>
          <w:sz w:val="20"/>
          <w:szCs w:val="20"/>
        </w:rPr>
        <w:t xml:space="preserve">World Bank (2021). World Development Indicators. Washington, DC.</w:t>
      </w:r>
    </w:p>
    <w:p>
      <w:pPr>
        <w:spacing w:after="110" w:line="290"/>
        <w:ind w:left="576" w:hanging="576"/>
        <w:jc w:val="both"/>
      </w:pPr>
      <w:r>
        <w:rPr>
          <w:rFonts w:ascii="Times New Roman" w:cs="Times New Roman" w:eastAsia="Times New Roman" w:hAnsi="Times New Roman"/>
          <w:sz w:val="20"/>
          <w:szCs w:val="20"/>
        </w:rPr>
        <w:t xml:space="preserve">Young, A. (2019). Channeling Fisher: randomization tests and the statistical insignificance of seemingly significant experimental results. Quarterly Journal of Economics, 134(2), 557–598.</w:t>
      </w:r>
    </w:p>
    <w:p>
      <w:r>
        <w:br w:type="page"/>
      </w:r>
    </w:p>
    <w:p>
      <w:pPr>
        <w:pStyle w:val="Heading1"/>
        <w:spacing w:after="150" w:before="320"/>
      </w:pPr>
      <w:r>
        <w:rPr>
          <w:rFonts w:ascii="Times New Roman" w:cs="Times New Roman" w:eastAsia="Times New Roman" w:hAnsi="Times New Roman"/>
          <w:b/>
          <w:bCs/>
          <w:color w:val="000000"/>
          <w:sz w:val="26"/>
          <w:szCs w:val="26"/>
        </w:rPr>
        <w:t xml:space="preserve">Appendix A. Legal regime changes</w:t>
      </w:r>
    </w:p>
    <w:p>
      <w:pPr>
        <w:spacing w:after="70" w:before="140"/>
        <w:jc w:val="left"/>
      </w:pPr>
      <w:r>
        <w:rPr>
          <w:rFonts w:ascii="Times New Roman" w:cs="Times New Roman" w:eastAsia="Times New Roman" w:hAnsi="Times New Roman"/>
          <w:sz w:val="19"/>
          <w:szCs w:val="19"/>
        </w:rPr>
        <w:t xml:space="preserve">Table A1. Prostitution regime changes, 1999–2022.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80"/>
        <w:gridCol w:w="1440"/>
        <w:gridCol w:w="2000"/>
        <w:gridCol w:w="1340"/>
        <w:gridCol w:w="1600"/>
      </w:tblGrid>
      <w:tr>
        <w:trPr>
          <w:cantSplit/>
          <w:tblHeader/>
        </w:trPr>
        <w:tc>
          <w:tcPr>
            <w:tcW w:type="dxa" w:w="180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b/>
                <w:bCs/>
                <w:sz w:val="18"/>
                <w:szCs w:val="18"/>
              </w:rPr>
              <w:t xml:space="preserve">Jurisdiction</w:t>
            </w:r>
          </w:p>
        </w:tc>
        <w:tc>
          <w:tcPr>
            <w:tcW w:type="dxa" w:w="118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b/>
                <w:bCs/>
                <w:sz w:val="18"/>
                <w:szCs w:val="18"/>
              </w:rPr>
              <w:t xml:space="preserve">In force</w:t>
            </w:r>
          </w:p>
        </w:tc>
        <w:tc>
          <w:tcPr>
            <w:tcW w:type="dxa" w:w="144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b/>
                <w:bCs/>
                <w:sz w:val="18"/>
                <w:szCs w:val="18"/>
              </w:rPr>
              <w:t xml:space="preserve">Direction</w:t>
            </w:r>
          </w:p>
        </w:tc>
        <w:tc>
          <w:tcPr>
            <w:tcW w:type="dxa" w:w="200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b/>
                <w:bCs/>
                <w:sz w:val="18"/>
                <w:szCs w:val="18"/>
              </w:rPr>
              <w:t xml:space="preserve">Instrument</w:t>
            </w:r>
          </w:p>
        </w:tc>
        <w:tc>
          <w:tcPr>
            <w:tcW w:type="dxa" w:w="134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b/>
                <w:bCs/>
                <w:sz w:val="18"/>
                <w:szCs w:val="18"/>
              </w:rPr>
              <w:t xml:space="preserve">Level</w:t>
            </w:r>
          </w:p>
        </w:tc>
        <w:tc>
          <w:tcPr>
            <w:tcW w:type="dxa" w:w="160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b/>
                <w:bCs/>
                <w:sz w:val="18"/>
                <w:szCs w:val="18"/>
              </w:rPr>
              <w:t xml:space="preserve">Monetary status</w:t>
            </w:r>
          </w:p>
        </w:tc>
      </w:tr>
      <w:tr>
        <w:trPr>
          <w:cantSplit/>
        </w:trPr>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Sweden</w:t>
            </w:r>
          </w:p>
        </w:tc>
        <w:tc>
          <w:tcPr>
            <w:tcW w:type="dxa" w:w="11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1999-01-01</w:t>
            </w:r>
          </w:p>
        </w:tc>
        <w:tc>
          <w:tcPr>
            <w:tcW w:type="dxa" w:w="14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Prohibition</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sex purchase ban</w:t>
            </w:r>
          </w:p>
        </w:tc>
        <w:tc>
          <w:tcPr>
            <w:tcW w:type="dxa" w:w="13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national</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own currency</w:t>
            </w:r>
          </w:p>
        </w:tc>
      </w:tr>
      <w:tr>
        <w:trPr>
          <w:cantSplit/>
        </w:trPr>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Denmark</w:t>
            </w:r>
          </w:p>
        </w:tc>
        <w:tc>
          <w:tcPr>
            <w:tcW w:type="dxa" w:w="11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1999-07-01</w:t>
            </w:r>
          </w:p>
        </w:tc>
        <w:tc>
          <w:tcPr>
            <w:tcW w:type="dxa" w:w="14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Reinstatement</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decriminalisation</w:t>
            </w:r>
          </w:p>
        </w:tc>
        <w:tc>
          <w:tcPr>
            <w:tcW w:type="dxa" w:w="13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national</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own currency</w:t>
            </w:r>
          </w:p>
        </w:tc>
      </w:tr>
      <w:tr>
        <w:trPr>
          <w:cantSplit/>
        </w:trPr>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Greece</w:t>
            </w:r>
          </w:p>
        </w:tc>
        <w:tc>
          <w:tcPr>
            <w:tcW w:type="dxa" w:w="11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1999-08-01</w:t>
            </w:r>
          </w:p>
        </w:tc>
        <w:tc>
          <w:tcPr>
            <w:tcW w:type="dxa" w:w="14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Reinstatement</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regulation</w:t>
            </w:r>
          </w:p>
        </w:tc>
        <w:tc>
          <w:tcPr>
            <w:tcW w:type="dxa" w:w="13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national</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euro area</w:t>
            </w:r>
          </w:p>
        </w:tc>
      </w:tr>
      <w:tr>
        <w:trPr>
          <w:cantSplit/>
        </w:trPr>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Hungary</w:t>
            </w:r>
          </w:p>
        </w:tc>
        <w:tc>
          <w:tcPr>
            <w:tcW w:type="dxa" w:w="11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1999-09-01</w:t>
            </w:r>
          </w:p>
        </w:tc>
        <w:tc>
          <w:tcPr>
            <w:tcW w:type="dxa" w:w="14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Reinstatement</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regulation</w:t>
            </w:r>
          </w:p>
        </w:tc>
        <w:tc>
          <w:tcPr>
            <w:tcW w:type="dxa" w:w="13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national</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own currency</w:t>
            </w:r>
          </w:p>
        </w:tc>
      </w:tr>
      <w:tr>
        <w:trPr>
          <w:cantSplit/>
        </w:trPr>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Netherlands</w:t>
            </w:r>
          </w:p>
        </w:tc>
        <w:tc>
          <w:tcPr>
            <w:tcW w:type="dxa" w:w="11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2000-10-01</w:t>
            </w:r>
          </w:p>
        </w:tc>
        <w:tc>
          <w:tcPr>
            <w:tcW w:type="dxa" w:w="14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Reinstatement</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brothel ban lifted</w:t>
            </w:r>
          </w:p>
        </w:tc>
        <w:tc>
          <w:tcPr>
            <w:tcW w:type="dxa" w:w="13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national</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euro area</w:t>
            </w:r>
          </w:p>
        </w:tc>
      </w:tr>
      <w:tr>
        <w:trPr>
          <w:cantSplit/>
        </w:trPr>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Germany</w:t>
            </w:r>
          </w:p>
        </w:tc>
        <w:tc>
          <w:tcPr>
            <w:tcW w:type="dxa" w:w="11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2002-01-01</w:t>
            </w:r>
          </w:p>
        </w:tc>
        <w:tc>
          <w:tcPr>
            <w:tcW w:type="dxa" w:w="14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Reinstatement</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legalisation</w:t>
            </w:r>
          </w:p>
        </w:tc>
        <w:tc>
          <w:tcPr>
            <w:tcW w:type="dxa" w:w="13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national</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euro area</w:t>
            </w:r>
          </w:p>
        </w:tc>
      </w:tr>
      <w:tr>
        <w:trPr>
          <w:cantSplit/>
        </w:trPr>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Rhode Island</w:t>
            </w:r>
          </w:p>
        </w:tc>
        <w:tc>
          <w:tcPr>
            <w:tcW w:type="dxa" w:w="11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2003-01-01</w:t>
            </w:r>
          </w:p>
        </w:tc>
        <w:tc>
          <w:tcPr>
            <w:tcW w:type="dxa" w:w="14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Reinstatement</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de facto decriminalisation</w:t>
            </w:r>
          </w:p>
        </w:tc>
        <w:tc>
          <w:tcPr>
            <w:tcW w:type="dxa" w:w="13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subnational</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shares a currency</w:t>
            </w:r>
          </w:p>
        </w:tc>
      </w:tr>
      <w:tr>
        <w:trPr>
          <w:cantSplit/>
        </w:trPr>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New Zealand</w:t>
            </w:r>
          </w:p>
        </w:tc>
        <w:tc>
          <w:tcPr>
            <w:tcW w:type="dxa" w:w="11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2003-06-27</w:t>
            </w:r>
          </w:p>
        </w:tc>
        <w:tc>
          <w:tcPr>
            <w:tcW w:type="dxa" w:w="14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Reinstatement</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decriminalisation</w:t>
            </w:r>
          </w:p>
        </w:tc>
        <w:tc>
          <w:tcPr>
            <w:tcW w:type="dxa" w:w="13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national</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own currency</w:t>
            </w:r>
          </w:p>
        </w:tc>
      </w:tr>
      <w:tr>
        <w:trPr>
          <w:cantSplit/>
        </w:trPr>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South Korea</w:t>
            </w:r>
          </w:p>
        </w:tc>
        <w:tc>
          <w:tcPr>
            <w:tcW w:type="dxa" w:w="11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2004-09-23</w:t>
            </w:r>
          </w:p>
        </w:tc>
        <w:tc>
          <w:tcPr>
            <w:tcW w:type="dxa" w:w="14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Prohibition</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crackdown ban</w:t>
            </w:r>
          </w:p>
        </w:tc>
        <w:tc>
          <w:tcPr>
            <w:tcW w:type="dxa" w:w="13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national</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own currency</w:t>
            </w:r>
          </w:p>
        </w:tc>
      </w:tr>
      <w:tr>
        <w:trPr>
          <w:cantSplit/>
        </w:trPr>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Norway</w:t>
            </w:r>
          </w:p>
        </w:tc>
        <w:tc>
          <w:tcPr>
            <w:tcW w:type="dxa" w:w="11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2009-01-01</w:t>
            </w:r>
          </w:p>
        </w:tc>
        <w:tc>
          <w:tcPr>
            <w:tcW w:type="dxa" w:w="14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Prohibition</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sex purchase ban</w:t>
            </w:r>
          </w:p>
        </w:tc>
        <w:tc>
          <w:tcPr>
            <w:tcW w:type="dxa" w:w="13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national</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own currency</w:t>
            </w:r>
          </w:p>
        </w:tc>
      </w:tr>
      <w:tr>
        <w:trPr>
          <w:cantSplit/>
        </w:trPr>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Iceland</w:t>
            </w:r>
          </w:p>
        </w:tc>
        <w:tc>
          <w:tcPr>
            <w:tcW w:type="dxa" w:w="11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2009-04-21</w:t>
            </w:r>
          </w:p>
        </w:tc>
        <w:tc>
          <w:tcPr>
            <w:tcW w:type="dxa" w:w="14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Prohibition</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sex purchase ban</w:t>
            </w:r>
          </w:p>
        </w:tc>
        <w:tc>
          <w:tcPr>
            <w:tcW w:type="dxa" w:w="13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national</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own currency</w:t>
            </w:r>
          </w:p>
        </w:tc>
      </w:tr>
      <w:tr>
        <w:trPr>
          <w:cantSplit/>
        </w:trPr>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Rhode Island</w:t>
            </w:r>
          </w:p>
        </w:tc>
        <w:tc>
          <w:tcPr>
            <w:tcW w:type="dxa" w:w="11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2009-11-03</w:t>
            </w:r>
          </w:p>
        </w:tc>
        <w:tc>
          <w:tcPr>
            <w:tcW w:type="dxa" w:w="14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Prohibition</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recriminalisation</w:t>
            </w:r>
          </w:p>
        </w:tc>
        <w:tc>
          <w:tcPr>
            <w:tcW w:type="dxa" w:w="13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subnational</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shares a currency</w:t>
            </w:r>
          </w:p>
        </w:tc>
      </w:tr>
      <w:tr>
        <w:trPr>
          <w:cantSplit/>
        </w:trPr>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United Kingdom</w:t>
            </w:r>
          </w:p>
        </w:tc>
        <w:tc>
          <w:tcPr>
            <w:tcW w:type="dxa" w:w="11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2010-04-01</w:t>
            </w:r>
          </w:p>
        </w:tc>
        <w:tc>
          <w:tcPr>
            <w:tcW w:type="dxa" w:w="14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Prohibition</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partial client offence</w:t>
            </w:r>
          </w:p>
        </w:tc>
        <w:tc>
          <w:tcPr>
            <w:tcW w:type="dxa" w:w="13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national</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own currency</w:t>
            </w:r>
          </w:p>
        </w:tc>
      </w:tr>
      <w:tr>
        <w:trPr>
          <w:cantSplit/>
        </w:trPr>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Canada</w:t>
            </w:r>
          </w:p>
        </w:tc>
        <w:tc>
          <w:tcPr>
            <w:tcW w:type="dxa" w:w="11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2014-12-06</w:t>
            </w:r>
          </w:p>
        </w:tc>
        <w:tc>
          <w:tcPr>
            <w:tcW w:type="dxa" w:w="14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Prohibition</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sex purchase ban</w:t>
            </w:r>
          </w:p>
        </w:tc>
        <w:tc>
          <w:tcPr>
            <w:tcW w:type="dxa" w:w="13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national</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own currency</w:t>
            </w:r>
          </w:p>
        </w:tc>
      </w:tr>
      <w:tr>
        <w:trPr>
          <w:cantSplit/>
        </w:trPr>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Northern Ireland</w:t>
            </w:r>
          </w:p>
        </w:tc>
        <w:tc>
          <w:tcPr>
            <w:tcW w:type="dxa" w:w="11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2015-06-01</w:t>
            </w:r>
          </w:p>
        </w:tc>
        <w:tc>
          <w:tcPr>
            <w:tcW w:type="dxa" w:w="14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Prohibition</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sex purchase ban</w:t>
            </w:r>
          </w:p>
        </w:tc>
        <w:tc>
          <w:tcPr>
            <w:tcW w:type="dxa" w:w="13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subnational</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shares a currency</w:t>
            </w:r>
          </w:p>
        </w:tc>
      </w:tr>
      <w:tr>
        <w:trPr>
          <w:cantSplit/>
        </w:trPr>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France</w:t>
            </w:r>
          </w:p>
        </w:tc>
        <w:tc>
          <w:tcPr>
            <w:tcW w:type="dxa" w:w="11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2016-04-13</w:t>
            </w:r>
          </w:p>
        </w:tc>
        <w:tc>
          <w:tcPr>
            <w:tcW w:type="dxa" w:w="14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Prohibition</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sex purchase ban</w:t>
            </w:r>
          </w:p>
        </w:tc>
        <w:tc>
          <w:tcPr>
            <w:tcW w:type="dxa" w:w="13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national</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euro area</w:t>
            </w:r>
          </w:p>
        </w:tc>
      </w:tr>
      <w:tr>
        <w:trPr>
          <w:cantSplit/>
        </w:trPr>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Ireland</w:t>
            </w:r>
          </w:p>
        </w:tc>
        <w:tc>
          <w:tcPr>
            <w:tcW w:type="dxa" w:w="11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2017-03-27</w:t>
            </w:r>
          </w:p>
        </w:tc>
        <w:tc>
          <w:tcPr>
            <w:tcW w:type="dxa" w:w="14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Prohibition</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sex purchase ban</w:t>
            </w:r>
          </w:p>
        </w:tc>
        <w:tc>
          <w:tcPr>
            <w:tcW w:type="dxa" w:w="13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national</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euro area</w:t>
            </w:r>
          </w:p>
        </w:tc>
      </w:tr>
      <w:tr>
        <w:trPr>
          <w:cantSplit/>
        </w:trPr>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Germany</w:t>
            </w:r>
          </w:p>
        </w:tc>
        <w:tc>
          <w:tcPr>
            <w:tcW w:type="dxa" w:w="11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2017-07-01</w:t>
            </w:r>
          </w:p>
        </w:tc>
        <w:tc>
          <w:tcPr>
            <w:tcW w:type="dxa" w:w="14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Prohibition</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tightening</w:t>
            </w:r>
          </w:p>
        </w:tc>
        <w:tc>
          <w:tcPr>
            <w:tcW w:type="dxa" w:w="13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national</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euro area</w:t>
            </w:r>
          </w:p>
        </w:tc>
      </w:tr>
      <w:tr>
        <w:trPr>
          <w:cantSplit/>
        </w:trPr>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Israel</w:t>
            </w:r>
          </w:p>
        </w:tc>
        <w:tc>
          <w:tcPr>
            <w:tcW w:type="dxa" w:w="11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2020-07-10</w:t>
            </w:r>
          </w:p>
        </w:tc>
        <w:tc>
          <w:tcPr>
            <w:tcW w:type="dxa" w:w="14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Prohibition</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sex purchase ban</w:t>
            </w:r>
          </w:p>
        </w:tc>
        <w:tc>
          <w:tcPr>
            <w:tcW w:type="dxa" w:w="13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national</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own currency</w:t>
            </w:r>
          </w:p>
        </w:tc>
      </w:tr>
      <w:tr>
        <w:trPr>
          <w:cantSplit/>
        </w:trPr>
        <w:tc>
          <w:tcPr>
            <w:tcW w:type="dxa" w:w="180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Belgium</w:t>
            </w:r>
          </w:p>
        </w:tc>
        <w:tc>
          <w:tcPr>
            <w:tcW w:type="dxa" w:w="118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2022-06-01</w:t>
            </w:r>
          </w:p>
        </w:tc>
        <w:tc>
          <w:tcPr>
            <w:tcW w:type="dxa" w:w="144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Reinstatement</w:t>
            </w:r>
          </w:p>
        </w:tc>
        <w:tc>
          <w:tcPr>
            <w:tcW w:type="dxa" w:w="200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decriminalisation</w:t>
            </w:r>
          </w:p>
        </w:tc>
        <w:tc>
          <w:tcPr>
            <w:tcW w:type="dxa" w:w="134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national</w:t>
            </w:r>
          </w:p>
        </w:tc>
        <w:tc>
          <w:tcPr>
            <w:tcW w:type="dxa" w:w="160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euro area</w:t>
            </w:r>
          </w:p>
        </w:tc>
      </w:tr>
    </w:tbl>
    <w:p>
      <w:pPr>
        <w:spacing w:after="190" w:before="60"/>
        <w:jc w:val="both"/>
      </w:pPr>
      <w:r>
        <w:rPr>
          <w:rFonts w:ascii="Times New Roman" w:cs="Times New Roman" w:eastAsia="Times New Roman" w:hAnsi="Times New Roman"/>
          <w:sz w:val="18"/>
          <w:szCs w:val="18"/>
        </w:rPr>
        <w:t xml:space="preserve">Notes: "Monetary status" determines whether a reform can be tested on velocity or the multiplier at all. Full descriptions and source URLs for every row are in data/regimes.csv in the replication materials.</w:t>
      </w:r>
    </w:p>
    <w:p>
      <w:pPr>
        <w:pStyle w:val="Heading1"/>
        <w:spacing w:after="150" w:before="320"/>
      </w:pPr>
      <w:r>
        <w:rPr>
          <w:rFonts w:ascii="Times New Roman" w:cs="Times New Roman" w:eastAsia="Times New Roman" w:hAnsi="Times New Roman"/>
          <w:b/>
          <w:bCs/>
          <w:color w:val="000000"/>
          <w:sz w:val="26"/>
          <w:szCs w:val="26"/>
        </w:rPr>
        <w:t xml:space="preserve">Appendix B. Measurements of sector size</w:t>
      </w:r>
    </w:p>
    <w:p>
      <w:pPr>
        <w:spacing w:after="70" w:before="140"/>
        <w:jc w:val="left"/>
      </w:pPr>
      <w:r>
        <w:rPr>
          <w:rFonts w:ascii="Times New Roman" w:cs="Times New Roman" w:eastAsia="Times New Roman" w:hAnsi="Times New Roman"/>
          <w:sz w:val="19"/>
          <w:szCs w:val="19"/>
        </w:rPr>
        <w:t xml:space="preserve">Table A2. Quantitative measurements of the prostitution sector.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20"/>
        <w:gridCol w:w="580"/>
        <w:gridCol w:w="1960"/>
        <w:gridCol w:w="1240"/>
        <w:gridCol w:w="860"/>
        <w:gridCol w:w="1420"/>
        <w:gridCol w:w="1880"/>
      </w:tblGrid>
      <w:tr>
        <w:trPr>
          <w:cantSplit/>
          <w:tblHeader/>
        </w:trPr>
        <w:tc>
          <w:tcPr>
            <w:tcW w:type="dxa" w:w="142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b/>
                <w:bCs/>
                <w:sz w:val="18"/>
                <w:szCs w:val="18"/>
              </w:rPr>
              <w:t xml:space="preserve">Jurisdiction</w:t>
            </w:r>
          </w:p>
        </w:tc>
        <w:tc>
          <w:tcPr>
            <w:tcW w:type="dxa" w:w="58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b/>
                <w:bCs/>
                <w:sz w:val="18"/>
                <w:szCs w:val="18"/>
              </w:rPr>
              <w:t xml:space="preserve">Year</w:t>
            </w:r>
          </w:p>
        </w:tc>
        <w:tc>
          <w:tcPr>
            <w:tcW w:type="dxa" w:w="196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b/>
                <w:bCs/>
                <w:sz w:val="18"/>
                <w:szCs w:val="18"/>
              </w:rPr>
              <w:t xml:space="preserve">Measure</w:t>
            </w:r>
          </w:p>
        </w:tc>
        <w:tc>
          <w:tcPr>
            <w:tcW w:type="dxa" w:w="124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b/>
                <w:bCs/>
                <w:sz w:val="18"/>
                <w:szCs w:val="18"/>
              </w:rPr>
              <w:t xml:space="preserve">Value</w:t>
            </w:r>
          </w:p>
        </w:tc>
        <w:tc>
          <w:tcPr>
            <w:tcW w:type="dxa" w:w="86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b/>
                <w:bCs/>
                <w:sz w:val="18"/>
                <w:szCs w:val="18"/>
              </w:rPr>
              <w:t xml:space="preserve">% of GDP</w:t>
            </w:r>
          </w:p>
        </w:tc>
        <w:tc>
          <w:tcPr>
            <w:tcW w:type="dxa" w:w="142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b/>
                <w:bCs/>
                <w:sz w:val="18"/>
                <w:szCs w:val="18"/>
              </w:rPr>
              <w:t xml:space="preserve">In official GDP</w:t>
            </w:r>
          </w:p>
        </w:tc>
        <w:tc>
          <w:tcPr>
            <w:tcW w:type="dxa" w:w="1880"/>
            <w:tcBorders>
              <w:top w:val="single" w:color="000000" w:sz="4"/>
              <w:left w:val="none" w:color="FFFFFF" w:sz="0"/>
              <w:bottom w:val="single" w:color="888888" w:sz="2"/>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b/>
                <w:bCs/>
                <w:sz w:val="18"/>
                <w:szCs w:val="18"/>
              </w:rPr>
              <w:t xml:space="preserve">Source</w:t>
            </w:r>
          </w:p>
        </w:tc>
      </w:tr>
      <w:tr>
        <w:trPr>
          <w:cantSplit/>
        </w:trPr>
        <w:tc>
          <w:tcPr>
            <w:tcW w:type="dxa" w:w="14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United Kingdom</w:t>
            </w:r>
          </w:p>
        </w:tc>
        <w:tc>
          <w:tcPr>
            <w:tcW w:type="dxa" w:w="5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2009</w:t>
            </w:r>
          </w:p>
        </w:tc>
        <w:tc>
          <w:tcPr>
            <w:tcW w:type="dxa" w:w="19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prostitution value added</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5.3 bn GBP</w:t>
            </w:r>
          </w:p>
        </w:tc>
        <w:tc>
          <w:tcPr>
            <w:tcW w:type="dxa" w:w="8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w:t>
            </w:r>
          </w:p>
        </w:tc>
        <w:tc>
          <w:tcPr>
            <w:tcW w:type="dxa" w:w="14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yes</w:t>
            </w:r>
          </w:p>
        </w:tc>
        <w:tc>
          <w:tcPr>
            <w:tcW w:type="dxa" w:w="18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ONS</w:t>
            </w:r>
          </w:p>
        </w:tc>
      </w:tr>
      <w:tr>
        <w:trPr>
          <w:cantSplit/>
        </w:trPr>
        <w:tc>
          <w:tcPr>
            <w:tcW w:type="dxa" w:w="14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United Kingdom</w:t>
            </w:r>
          </w:p>
        </w:tc>
        <w:tc>
          <w:tcPr>
            <w:tcW w:type="dxa" w:w="5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2009</w:t>
            </w:r>
          </w:p>
        </w:tc>
        <w:tc>
          <w:tcPr>
            <w:tcW w:type="dxa" w:w="19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illegal activities total</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9.7 bn GBP</w:t>
            </w:r>
          </w:p>
        </w:tc>
        <w:tc>
          <w:tcPr>
            <w:tcW w:type="dxa" w:w="8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0.70%</w:t>
            </w:r>
          </w:p>
        </w:tc>
        <w:tc>
          <w:tcPr>
            <w:tcW w:type="dxa" w:w="14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yes</w:t>
            </w:r>
          </w:p>
        </w:tc>
        <w:tc>
          <w:tcPr>
            <w:tcW w:type="dxa" w:w="18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ONS</w:t>
            </w:r>
          </w:p>
        </w:tc>
      </w:tr>
      <w:tr>
        <w:trPr>
          <w:cantSplit/>
        </w:trPr>
        <w:tc>
          <w:tcPr>
            <w:tcW w:type="dxa" w:w="14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United Kingdom</w:t>
            </w:r>
          </w:p>
        </w:tc>
        <w:tc>
          <w:tcPr>
            <w:tcW w:type="dxa" w:w="5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2010</w:t>
            </w:r>
          </w:p>
        </w:tc>
        <w:tc>
          <w:tcPr>
            <w:tcW w:type="dxa" w:w="19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prostitution value added</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5.6 bn GBP</w:t>
            </w:r>
          </w:p>
        </w:tc>
        <w:tc>
          <w:tcPr>
            <w:tcW w:type="dxa" w:w="8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0.35%</w:t>
            </w:r>
          </w:p>
        </w:tc>
        <w:tc>
          <w:tcPr>
            <w:tcW w:type="dxa" w:w="14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yes</w:t>
            </w:r>
          </w:p>
        </w:tc>
        <w:tc>
          <w:tcPr>
            <w:tcW w:type="dxa" w:w="18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ONS</w:t>
            </w:r>
          </w:p>
        </w:tc>
      </w:tr>
      <w:tr>
        <w:trPr>
          <w:cantSplit/>
        </w:trPr>
        <w:tc>
          <w:tcPr>
            <w:tcW w:type="dxa" w:w="14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Netherlands</w:t>
            </w:r>
          </w:p>
        </w:tc>
        <w:tc>
          <w:tcPr>
            <w:tcW w:type="dxa" w:w="5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2008</w:t>
            </w:r>
          </w:p>
        </w:tc>
        <w:tc>
          <w:tcPr>
            <w:tcW w:type="dxa" w:w="19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prostitution value added</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w:t>
            </w:r>
          </w:p>
        </w:tc>
        <w:tc>
          <w:tcPr>
            <w:tcW w:type="dxa" w:w="8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0.10%</w:t>
            </w:r>
          </w:p>
        </w:tc>
        <w:tc>
          <w:tcPr>
            <w:tcW w:type="dxa" w:w="14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yes</w:t>
            </w:r>
          </w:p>
        </w:tc>
        <w:tc>
          <w:tcPr>
            <w:tcW w:type="dxa" w:w="18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ECB/IMF</w:t>
            </w:r>
          </w:p>
        </w:tc>
      </w:tr>
      <w:tr>
        <w:trPr>
          <w:cantSplit/>
        </w:trPr>
        <w:tc>
          <w:tcPr>
            <w:tcW w:type="dxa" w:w="14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Netherlands</w:t>
            </w:r>
          </w:p>
        </w:tc>
        <w:tc>
          <w:tcPr>
            <w:tcW w:type="dxa" w:w="5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2021</w:t>
            </w:r>
          </w:p>
        </w:tc>
        <w:tc>
          <w:tcPr>
            <w:tcW w:type="dxa" w:w="19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prostitution value added</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0.7 bn EUR</w:t>
            </w:r>
          </w:p>
        </w:tc>
        <w:tc>
          <w:tcPr>
            <w:tcW w:type="dxa" w:w="8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0.08%</w:t>
            </w:r>
          </w:p>
        </w:tc>
        <w:tc>
          <w:tcPr>
            <w:tcW w:type="dxa" w:w="14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yes</w:t>
            </w:r>
          </w:p>
        </w:tc>
        <w:tc>
          <w:tcPr>
            <w:tcW w:type="dxa" w:w="18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CBS</w:t>
            </w:r>
          </w:p>
        </w:tc>
      </w:tr>
      <w:tr>
        <w:trPr>
          <w:cantSplit/>
        </w:trPr>
        <w:tc>
          <w:tcPr>
            <w:tcW w:type="dxa" w:w="14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Netherlands</w:t>
            </w:r>
          </w:p>
        </w:tc>
        <w:tc>
          <w:tcPr>
            <w:tcW w:type="dxa" w:w="5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2021</w:t>
            </w:r>
          </w:p>
        </w:tc>
        <w:tc>
          <w:tcPr>
            <w:tcW w:type="dxa" w:w="19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illegal activities total</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4.5 bn EUR</w:t>
            </w:r>
          </w:p>
        </w:tc>
        <w:tc>
          <w:tcPr>
            <w:tcW w:type="dxa" w:w="8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0.50%</w:t>
            </w:r>
          </w:p>
        </w:tc>
        <w:tc>
          <w:tcPr>
            <w:tcW w:type="dxa" w:w="14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yes</w:t>
            </w:r>
          </w:p>
        </w:tc>
        <w:tc>
          <w:tcPr>
            <w:tcW w:type="dxa" w:w="18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CBS</w:t>
            </w:r>
          </w:p>
        </w:tc>
      </w:tr>
      <w:tr>
        <w:trPr>
          <w:cantSplit/>
        </w:trPr>
        <w:tc>
          <w:tcPr>
            <w:tcW w:type="dxa" w:w="14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Italy</w:t>
            </w:r>
          </w:p>
        </w:tc>
        <w:tc>
          <w:tcPr>
            <w:tcW w:type="dxa" w:w="5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2011</w:t>
            </w:r>
          </w:p>
        </w:tc>
        <w:tc>
          <w:tcPr>
            <w:tcW w:type="dxa" w:w="19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prostitution value added</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w:t>
            </w:r>
          </w:p>
        </w:tc>
        <w:tc>
          <w:tcPr>
            <w:tcW w:type="dxa" w:w="8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0.20%</w:t>
            </w:r>
          </w:p>
        </w:tc>
        <w:tc>
          <w:tcPr>
            <w:tcW w:type="dxa" w:w="14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yes</w:t>
            </w:r>
          </w:p>
        </w:tc>
        <w:tc>
          <w:tcPr>
            <w:tcW w:type="dxa" w:w="18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ECB/IMF</w:t>
            </w:r>
          </w:p>
        </w:tc>
      </w:tr>
      <w:tr>
        <w:trPr>
          <w:cantSplit/>
        </w:trPr>
        <w:tc>
          <w:tcPr>
            <w:tcW w:type="dxa" w:w="14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Sweden</w:t>
            </w:r>
          </w:p>
        </w:tc>
        <w:tc>
          <w:tcPr>
            <w:tcW w:type="dxa" w:w="5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2006</w:t>
            </w:r>
          </w:p>
        </w:tc>
        <w:tc>
          <w:tcPr>
            <w:tcW w:type="dxa" w:w="19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prostitution value added</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w:t>
            </w:r>
          </w:p>
        </w:tc>
        <w:tc>
          <w:tcPr>
            <w:tcW w:type="dxa" w:w="8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0.10%</w:t>
            </w:r>
          </w:p>
        </w:tc>
        <w:tc>
          <w:tcPr>
            <w:tcW w:type="dxa" w:w="14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yes</w:t>
            </w:r>
          </w:p>
        </w:tc>
        <w:tc>
          <w:tcPr>
            <w:tcW w:type="dxa" w:w="18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ECB/IMF</w:t>
            </w:r>
          </w:p>
        </w:tc>
      </w:tr>
      <w:tr>
        <w:trPr>
          <w:cantSplit/>
        </w:trPr>
        <w:tc>
          <w:tcPr>
            <w:tcW w:type="dxa" w:w="14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United States</w:t>
            </w:r>
          </w:p>
        </w:tc>
        <w:tc>
          <w:tcPr>
            <w:tcW w:type="dxa" w:w="5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2017</w:t>
            </w:r>
          </w:p>
        </w:tc>
        <w:tc>
          <w:tcPr>
            <w:tcW w:type="dxa" w:w="19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prostitution consumer spending</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4.0 bn USD</w:t>
            </w:r>
          </w:p>
        </w:tc>
        <w:tc>
          <w:tcPr>
            <w:tcW w:type="dxa" w:w="8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0.02%</w:t>
            </w:r>
          </w:p>
        </w:tc>
        <w:tc>
          <w:tcPr>
            <w:tcW w:type="dxa" w:w="14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satellite only</w:t>
            </w:r>
          </w:p>
        </w:tc>
        <w:tc>
          <w:tcPr>
            <w:tcW w:type="dxa" w:w="18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BEA (satellite)</w:t>
            </w:r>
          </w:p>
        </w:tc>
      </w:tr>
      <w:tr>
        <w:trPr>
          <w:cantSplit/>
        </w:trPr>
        <w:tc>
          <w:tcPr>
            <w:tcW w:type="dxa" w:w="14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South Korea</w:t>
            </w:r>
          </w:p>
        </w:tc>
        <w:tc>
          <w:tcPr>
            <w:tcW w:type="dxa" w:w="5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2002</w:t>
            </w:r>
          </w:p>
        </w:tc>
        <w:tc>
          <w:tcPr>
            <w:tcW w:type="dxa" w:w="19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sex trade turnover</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24000 bn KRW</w:t>
            </w:r>
          </w:p>
        </w:tc>
        <w:tc>
          <w:tcPr>
            <w:tcW w:type="dxa" w:w="8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4.10%</w:t>
            </w:r>
          </w:p>
        </w:tc>
        <w:tc>
          <w:tcPr>
            <w:tcW w:type="dxa" w:w="14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satellite only</w:t>
            </w:r>
          </w:p>
        </w:tc>
        <w:tc>
          <w:tcPr>
            <w:tcW w:type="dxa" w:w="18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Korean Institute of Criminology</w:t>
            </w:r>
          </w:p>
        </w:tc>
      </w:tr>
      <w:tr>
        <w:trPr>
          <w:cantSplit/>
        </w:trPr>
        <w:tc>
          <w:tcPr>
            <w:tcW w:type="dxa" w:w="14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South Korea</w:t>
            </w:r>
          </w:p>
        </w:tc>
        <w:tc>
          <w:tcPr>
            <w:tcW w:type="dxa" w:w="5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2007</w:t>
            </w:r>
          </w:p>
        </w:tc>
        <w:tc>
          <w:tcPr>
            <w:tcW w:type="dxa" w:w="19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sex trade turnover</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14000 bn KRW</w:t>
            </w:r>
          </w:p>
        </w:tc>
        <w:tc>
          <w:tcPr>
            <w:tcW w:type="dxa" w:w="8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1.60%</w:t>
            </w:r>
          </w:p>
        </w:tc>
        <w:tc>
          <w:tcPr>
            <w:tcW w:type="dxa" w:w="14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satellite only</w:t>
            </w:r>
          </w:p>
        </w:tc>
        <w:tc>
          <w:tcPr>
            <w:tcW w:type="dxa" w:w="18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Korea Women's Development Institute</w:t>
            </w:r>
          </w:p>
        </w:tc>
      </w:tr>
      <w:tr>
        <w:trPr>
          <w:cantSplit/>
        </w:trPr>
        <w:tc>
          <w:tcPr>
            <w:tcW w:type="dxa" w:w="14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South Korea</w:t>
            </w:r>
          </w:p>
        </w:tc>
        <w:tc>
          <w:tcPr>
            <w:tcW w:type="dxa" w:w="5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2002</w:t>
            </w:r>
          </w:p>
        </w:tc>
        <w:tc>
          <w:tcPr>
            <w:tcW w:type="dxa" w:w="19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transactions</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170 millions</w:t>
            </w:r>
          </w:p>
        </w:tc>
        <w:tc>
          <w:tcPr>
            <w:tcW w:type="dxa" w:w="8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w:t>
            </w:r>
          </w:p>
        </w:tc>
        <w:tc>
          <w:tcPr>
            <w:tcW w:type="dxa" w:w="14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satellite only</w:t>
            </w:r>
          </w:p>
        </w:tc>
        <w:tc>
          <w:tcPr>
            <w:tcW w:type="dxa" w:w="18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Korea Women's Development Institute</w:t>
            </w:r>
          </w:p>
        </w:tc>
      </w:tr>
      <w:tr>
        <w:trPr>
          <w:cantSplit/>
        </w:trPr>
        <w:tc>
          <w:tcPr>
            <w:tcW w:type="dxa" w:w="14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South Korea</w:t>
            </w:r>
          </w:p>
        </w:tc>
        <w:tc>
          <w:tcPr>
            <w:tcW w:type="dxa" w:w="5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2007</w:t>
            </w:r>
          </w:p>
        </w:tc>
        <w:tc>
          <w:tcPr>
            <w:tcW w:type="dxa" w:w="19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transactions</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94 millions</w:t>
            </w:r>
          </w:p>
        </w:tc>
        <w:tc>
          <w:tcPr>
            <w:tcW w:type="dxa" w:w="8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w:t>
            </w:r>
          </w:p>
        </w:tc>
        <w:tc>
          <w:tcPr>
            <w:tcW w:type="dxa" w:w="14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satellite only</w:t>
            </w:r>
          </w:p>
        </w:tc>
        <w:tc>
          <w:tcPr>
            <w:tcW w:type="dxa" w:w="18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Korea Women's Development Institute</w:t>
            </w:r>
          </w:p>
        </w:tc>
      </w:tr>
      <w:tr>
        <w:trPr>
          <w:cantSplit/>
        </w:trPr>
        <w:tc>
          <w:tcPr>
            <w:tcW w:type="dxa" w:w="14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Germany</w:t>
            </w:r>
          </w:p>
        </w:tc>
        <w:tc>
          <w:tcPr>
            <w:tcW w:type="dxa" w:w="5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2019</w:t>
            </w:r>
          </w:p>
        </w:tc>
        <w:tc>
          <w:tcPr>
            <w:tcW w:type="dxa" w:w="19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registered sex workers</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40400 persons</w:t>
            </w:r>
          </w:p>
        </w:tc>
        <w:tc>
          <w:tcPr>
            <w:tcW w:type="dxa" w:w="8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w:t>
            </w:r>
          </w:p>
        </w:tc>
        <w:tc>
          <w:tcPr>
            <w:tcW w:type="dxa" w:w="14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n/a</w:t>
            </w:r>
          </w:p>
        </w:tc>
        <w:tc>
          <w:tcPr>
            <w:tcW w:type="dxa" w:w="18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Destatis</w:t>
            </w:r>
          </w:p>
        </w:tc>
      </w:tr>
      <w:tr>
        <w:trPr>
          <w:cantSplit/>
        </w:trPr>
        <w:tc>
          <w:tcPr>
            <w:tcW w:type="dxa" w:w="14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Germany</w:t>
            </w:r>
          </w:p>
        </w:tc>
        <w:tc>
          <w:tcPr>
            <w:tcW w:type="dxa" w:w="5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2020</w:t>
            </w:r>
          </w:p>
        </w:tc>
        <w:tc>
          <w:tcPr>
            <w:tcW w:type="dxa" w:w="19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registered sex workers</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24900 persons</w:t>
            </w:r>
          </w:p>
        </w:tc>
        <w:tc>
          <w:tcPr>
            <w:tcW w:type="dxa" w:w="8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w:t>
            </w:r>
          </w:p>
        </w:tc>
        <w:tc>
          <w:tcPr>
            <w:tcW w:type="dxa" w:w="14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n/a</w:t>
            </w:r>
          </w:p>
        </w:tc>
        <w:tc>
          <w:tcPr>
            <w:tcW w:type="dxa" w:w="18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Destatis</w:t>
            </w:r>
          </w:p>
        </w:tc>
      </w:tr>
      <w:tr>
        <w:trPr>
          <w:cantSplit/>
        </w:trPr>
        <w:tc>
          <w:tcPr>
            <w:tcW w:type="dxa" w:w="14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Germany</w:t>
            </w:r>
          </w:p>
        </w:tc>
        <w:tc>
          <w:tcPr>
            <w:tcW w:type="dxa" w:w="5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2021</w:t>
            </w:r>
          </w:p>
        </w:tc>
        <w:tc>
          <w:tcPr>
            <w:tcW w:type="dxa" w:w="19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registered sex workers</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23700 persons</w:t>
            </w:r>
          </w:p>
        </w:tc>
        <w:tc>
          <w:tcPr>
            <w:tcW w:type="dxa" w:w="8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w:t>
            </w:r>
          </w:p>
        </w:tc>
        <w:tc>
          <w:tcPr>
            <w:tcW w:type="dxa" w:w="14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n/a</w:t>
            </w:r>
          </w:p>
        </w:tc>
        <w:tc>
          <w:tcPr>
            <w:tcW w:type="dxa" w:w="18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Destatis</w:t>
            </w:r>
          </w:p>
        </w:tc>
      </w:tr>
      <w:tr>
        <w:trPr>
          <w:cantSplit/>
        </w:trPr>
        <w:tc>
          <w:tcPr>
            <w:tcW w:type="dxa" w:w="14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Germany</w:t>
            </w:r>
          </w:p>
        </w:tc>
        <w:tc>
          <w:tcPr>
            <w:tcW w:type="dxa" w:w="5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2023</w:t>
            </w:r>
          </w:p>
        </w:tc>
        <w:tc>
          <w:tcPr>
            <w:tcW w:type="dxa" w:w="19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registered sex workers</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30600 persons</w:t>
            </w:r>
          </w:p>
        </w:tc>
        <w:tc>
          <w:tcPr>
            <w:tcW w:type="dxa" w:w="8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w:t>
            </w:r>
          </w:p>
        </w:tc>
        <w:tc>
          <w:tcPr>
            <w:tcW w:type="dxa" w:w="14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n/a</w:t>
            </w:r>
          </w:p>
        </w:tc>
        <w:tc>
          <w:tcPr>
            <w:tcW w:type="dxa" w:w="18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Destatis</w:t>
            </w:r>
          </w:p>
        </w:tc>
      </w:tr>
      <w:tr>
        <w:trPr>
          <w:cantSplit/>
        </w:trPr>
        <w:tc>
          <w:tcPr>
            <w:tcW w:type="dxa" w:w="14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Germany</w:t>
            </w:r>
          </w:p>
        </w:tc>
        <w:tc>
          <w:tcPr>
            <w:tcW w:type="dxa" w:w="5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2024</w:t>
            </w:r>
          </w:p>
        </w:tc>
        <w:tc>
          <w:tcPr>
            <w:tcW w:type="dxa" w:w="19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registered sex workers</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32300 persons</w:t>
            </w:r>
          </w:p>
        </w:tc>
        <w:tc>
          <w:tcPr>
            <w:tcW w:type="dxa" w:w="8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w:t>
            </w:r>
          </w:p>
        </w:tc>
        <w:tc>
          <w:tcPr>
            <w:tcW w:type="dxa" w:w="14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n/a</w:t>
            </w:r>
          </w:p>
        </w:tc>
        <w:tc>
          <w:tcPr>
            <w:tcW w:type="dxa" w:w="18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Destatis</w:t>
            </w:r>
          </w:p>
        </w:tc>
      </w:tr>
      <w:tr>
        <w:trPr>
          <w:cantSplit/>
        </w:trPr>
        <w:tc>
          <w:tcPr>
            <w:tcW w:type="dxa" w:w="14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Northern Ireland</w:t>
            </w:r>
          </w:p>
        </w:tc>
        <w:tc>
          <w:tcPr>
            <w:tcW w:type="dxa" w:w="5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2015</w:t>
            </w:r>
          </w:p>
        </w:tc>
        <w:tc>
          <w:tcPr>
            <w:tcW w:type="dxa" w:w="19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online sex work adverts</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3351 adverts</w:t>
            </w:r>
          </w:p>
        </w:tc>
        <w:tc>
          <w:tcPr>
            <w:tcW w:type="dxa" w:w="8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w:t>
            </w:r>
          </w:p>
        </w:tc>
        <w:tc>
          <w:tcPr>
            <w:tcW w:type="dxa" w:w="14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n/a</w:t>
            </w:r>
          </w:p>
        </w:tc>
        <w:tc>
          <w:tcPr>
            <w:tcW w:type="dxa" w:w="18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DoJ NI / QUB review</w:t>
            </w:r>
          </w:p>
        </w:tc>
      </w:tr>
      <w:tr>
        <w:trPr>
          <w:cantSplit/>
        </w:trPr>
        <w:tc>
          <w:tcPr>
            <w:tcW w:type="dxa" w:w="14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Northern Ireland</w:t>
            </w:r>
          </w:p>
        </w:tc>
        <w:tc>
          <w:tcPr>
            <w:tcW w:type="dxa" w:w="5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2018</w:t>
            </w:r>
          </w:p>
        </w:tc>
        <w:tc>
          <w:tcPr>
            <w:tcW w:type="dxa" w:w="19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online sex work adverts</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3973 adverts</w:t>
            </w:r>
          </w:p>
        </w:tc>
        <w:tc>
          <w:tcPr>
            <w:tcW w:type="dxa" w:w="8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w:t>
            </w:r>
          </w:p>
        </w:tc>
        <w:tc>
          <w:tcPr>
            <w:tcW w:type="dxa" w:w="14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n/a</w:t>
            </w:r>
          </w:p>
        </w:tc>
        <w:tc>
          <w:tcPr>
            <w:tcW w:type="dxa" w:w="18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DoJ NI / QUB review</w:t>
            </w:r>
          </w:p>
        </w:tc>
      </w:tr>
      <w:tr>
        <w:trPr>
          <w:cantSplit/>
        </w:trPr>
        <w:tc>
          <w:tcPr>
            <w:tcW w:type="dxa" w:w="14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Northern Ireland</w:t>
            </w:r>
          </w:p>
        </w:tc>
        <w:tc>
          <w:tcPr>
            <w:tcW w:type="dxa" w:w="5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2014</w:t>
            </w:r>
          </w:p>
        </w:tc>
        <w:tc>
          <w:tcPr>
            <w:tcW w:type="dxa" w:w="19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street sex workers</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20 persons</w:t>
            </w:r>
          </w:p>
        </w:tc>
        <w:tc>
          <w:tcPr>
            <w:tcW w:type="dxa" w:w="86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w:t>
            </w:r>
          </w:p>
        </w:tc>
        <w:tc>
          <w:tcPr>
            <w:tcW w:type="dxa" w:w="142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n/a</w:t>
            </w:r>
          </w:p>
        </w:tc>
        <w:tc>
          <w:tcPr>
            <w:tcW w:type="dxa" w:w="188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DoJ NI / QUB review</w:t>
            </w:r>
          </w:p>
        </w:tc>
      </w:tr>
      <w:tr>
        <w:trPr>
          <w:cantSplit/>
        </w:trPr>
        <w:tc>
          <w:tcPr>
            <w:tcW w:type="dxa" w:w="142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Northern Ireland</w:t>
            </w:r>
          </w:p>
        </w:tc>
        <w:tc>
          <w:tcPr>
            <w:tcW w:type="dxa" w:w="58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2019</w:t>
            </w:r>
          </w:p>
        </w:tc>
        <w:tc>
          <w:tcPr>
            <w:tcW w:type="dxa" w:w="196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street sex workers</w:t>
            </w:r>
          </w:p>
        </w:tc>
        <w:tc>
          <w:tcPr>
            <w:tcW w:type="dxa" w:w="124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10 persons</w:t>
            </w:r>
          </w:p>
        </w:tc>
        <w:tc>
          <w:tcPr>
            <w:tcW w:type="dxa" w:w="86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w:t>
            </w:r>
          </w:p>
        </w:tc>
        <w:tc>
          <w:tcPr>
            <w:tcW w:type="dxa" w:w="142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n/a</w:t>
            </w:r>
          </w:p>
        </w:tc>
        <w:tc>
          <w:tcPr>
            <w:tcW w:type="dxa" w:w="188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0" w:before="0" w:line="240"/>
              <w:jc w:val="left"/>
            </w:pPr>
            <w:r>
              <w:rPr>
                <w:rFonts w:ascii="Times New Roman" w:cs="Times New Roman" w:eastAsia="Times New Roman" w:hAnsi="Times New Roman"/>
                <w:sz w:val="18"/>
                <w:szCs w:val="18"/>
              </w:rPr>
              <w:t xml:space="preserve">DoJ NI / QUB review</w:t>
            </w:r>
          </w:p>
        </w:tc>
      </w:tr>
    </w:tbl>
    <w:p>
      <w:pPr>
        <w:spacing w:after="190" w:before="60"/>
        <w:jc w:val="both"/>
      </w:pPr>
      <w:r>
        <w:rPr>
          <w:rFonts w:ascii="Times New Roman" w:cs="Times New Roman" w:eastAsia="Times New Roman" w:hAnsi="Times New Roman"/>
          <w:sz w:val="18"/>
          <w:szCs w:val="18"/>
        </w:rPr>
        <w:t xml:space="preserve">Notes: Source URLs for every row are in data/prostitution_measures.csv in the replication materials.</w:t>
      </w:r>
    </w:p>
    <w:p>
      <w:pPr>
        <w:pStyle w:val="Heading1"/>
        <w:spacing w:after="150" w:before="320"/>
      </w:pPr>
      <w:r>
        <w:rPr>
          <w:rFonts w:ascii="Times New Roman" w:cs="Times New Roman" w:eastAsia="Times New Roman" w:hAnsi="Times New Roman"/>
          <w:b/>
          <w:bCs/>
          <w:color w:val="000000"/>
          <w:sz w:val="26"/>
          <w:szCs w:val="26"/>
        </w:rPr>
        <w:t xml:space="preserve">Appendix C. Data and replication</w:t>
      </w:r>
    </w:p>
    <w:p>
      <w:pPr>
        <w:spacing w:after="140" w:before="0" w:line="320"/>
        <w:jc w:val="both"/>
      </w:pPr>
      <w:r>
        <w:rPr>
          <w:rFonts w:ascii="Times New Roman" w:cs="Times New Roman" w:eastAsia="Times New Roman" w:hAnsi="Times New Roman"/>
          <w:sz w:val="22"/>
          <w:szCs w:val="22"/>
        </w:rPr>
        <w:t xml:space="preserve">All data and code are in the prostitution-macro directory of the accompanying repository. Macroeconomic series are World Bank World Development Indicators for 1960–2020, obtained through a public mirror because the World Bank, IMF, FRED, ONS, Bank of England and BEA endpoints were not reachable from the environment in which this analysis was run; that constraint also prevented construction of the monetary base series discussed in Section 4.3 and the sub-national designs proposed in Section 11. Every row of the regime and measurement tables carries its own source URL. Scripts run in order: 01 builds the panel, 02 scores abundance, 03 estimates, 04 computes the arithmetic bound, 05 renders the companion interactive report, 06 the figures and 07 this article.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5283c2687536dfb1560117bf9c072d33e56ab2d.png"/><Relationship Id="rId9" Type="http://schemas.openxmlformats.org/officeDocument/2006/relationships/image" Target="media/c3679120db5a4b59ccb957067c31724615bf7265.png"/><Relationship Id="rId10" Type="http://schemas.openxmlformats.org/officeDocument/2006/relationships/image" Target="media/4a0f3c3fa9810dc239185791495b5b23edeb066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a Prostitution Ban Move the Money?</dc:title>
  <dc:creator>Prostitution macro project</dc:creator>
  <dc:description>Output, velocity and the money multiplier around twenty prostitution regime changes</dc:description>
  <cp:lastModifiedBy>Un-named</cp:lastModifiedBy>
  <cp:revision>1</cp:revision>
  <dcterms:created xsi:type="dcterms:W3CDTF">2026-11-01T09:44:12.264Z</dcterms:created>
  <dcterms:modified xsi:type="dcterms:W3CDTF">2026-11-01T09:44:12.264Z</dcterms:modified>
</cp:coreProperties>
</file>

<file path=docProps/custom.xml><?xml version="1.0" encoding="utf-8"?>
<Properties xmlns="http://schemas.openxmlformats.org/officeDocument/2006/custom-properties" xmlns:vt="http://schemas.openxmlformats.org/officeDocument/2006/docPropsVTypes"/>
</file>