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gustó más las asignaturas de base de datos y diseño de prototipo. Me gusta la asignatura base de datos porque me gusta eso de crear tablas y hacer consultas. Por otro lado, me gustó el diseño de prototipo ya que se implementó design thinking y es un método que ya manejo. Además, también me gustó el área de antropología, inglés y estadística descriptiva.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creo que sí tienen valor a la hora de que te contraten. Las empresas les toma peso a ese tipo de cosas.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0" w:afterAutospacing="0" w:lineRule="auto"/>
              <w:ind w:left="720" w:hanging="360"/>
              <w:rPr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0" w:afterAutospacing="0" w:lineRule="auto"/>
              <w:ind w:left="720" w:hanging="360"/>
              <w:rPr>
                <w:color w:val="93c47d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24"/>
                <w:szCs w:val="24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0" w:afterAutospacing="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0" w:afterAutospacing="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0" w:afterAutospacing="0" w:lineRule="auto"/>
              <w:ind w:left="720" w:hanging="360"/>
              <w:rPr>
                <w:color w:val="00ff00"/>
              </w:rPr>
            </w:pP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más el área de UX/UI y de base de datos, además de design thinking.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Quizás la capacidad de resolver cosas.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poder trabajar tranquilamente en una empresa estable donde pueda ganar un buen sueldo mientras se respeten mis derechos laborales.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relacionan en la medida que he aplicado lo aprendido en clases. Se relacionan entre sí.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OQg6EIok6UO3D50WNFUNJd+hw==">CgMxLjA4AHIhMUt1emJDc0VHeXdsSHVnSXJKallXSlZvRGdNVzQyZFFJ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2025-08-29T20:38:00Z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