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Desglose de gastos del Proyecto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i8kg7gymyh7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Recursos Humanos</w:t>
      </w: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710"/>
        <w:gridCol w:w="1515"/>
        <w:gridCol w:w="3480"/>
        <w:gridCol w:w="2085"/>
        <w:tblGridChange w:id="0">
          <w:tblGrid>
            <w:gridCol w:w="1725"/>
            <w:gridCol w:w="1710"/>
            <w:gridCol w:w="1515"/>
            <w:gridCol w:w="3480"/>
            <w:gridCol w:w="208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 estimadas (18 semanas)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Isidora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PMO / UX-UI Designer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Levantamiento de requerimientos, prototipado low-fi y high-fi, coordinación del proyecto y pruebas de usabilidad.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$1.800.000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Gina Ríos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interfaz gráfica, integración con API, desarrollo de módulos journaling y autocuidado.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$1.760.000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Kevin Escobar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Backend &amp; 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e implementación de API REST, base de datos, autenticación, despliegue cloud y documentación técnica.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$1.920.000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estimado de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500 h aprox.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$5.480.000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uhcmjsghm1a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Recursos y Herramientas Tecnológicas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2670"/>
        <w:gridCol w:w="1425"/>
        <w:gridCol w:w="3720"/>
        <w:tblGridChange w:id="0">
          <w:tblGrid>
            <w:gridCol w:w="2700"/>
            <w:gridCol w:w="2670"/>
            <w:gridCol w:w="1425"/>
            <w:gridCol w:w="37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 /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Figma Pro (plan educativo)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UX-UI y prototipado interactivo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$32.000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mensual estimado de $8.000 × 4 meses.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 /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versiones y gestión ágil de tareas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libre o plan educativo gratuito.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Render / Vercel (plan Pro)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del frontend y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Pro con tráfico moderado durante 4 meses.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MongoDB Atlas (plan M10)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en la nube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$48.000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con almacenamiento básico y respaldo automático.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Workspace / Canva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Documentación, informes, pitch y material gráfico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$28.000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mensual promedio de $7.000 × 4 meses.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Equipos personales (notebooks)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y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 propios de los integrantes.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Dispositivos móviles (Android / 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funcionales y de 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$120.000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o arriendo de 1 dispositivo adicional para testeo.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Subtotal herramientas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$308.000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wrec2x635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Recursos Intangibles y Soporte Institucional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Infraestructura:</w:t>
      </w:r>
      <w:r w:rsidDel="00000000" w:rsidR="00000000" w:rsidRPr="00000000">
        <w:rPr>
          <w:rtl w:val="0"/>
        </w:rPr>
        <w:t xml:space="preserve"> Acceso a laboratorios Duoc UC, red Wi-Fi institucional y equipos disponibles.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Asesoría docente:</w:t>
      </w:r>
      <w:r w:rsidDel="00000000" w:rsidR="00000000" w:rsidRPr="00000000">
        <w:rPr>
          <w:rtl w:val="0"/>
        </w:rPr>
        <w:t xml:space="preserve"> Acompañamiento del profesor guía durante las validaciones y revisiones de hitos.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 cloud:</w:t>
      </w:r>
      <w:r w:rsidDel="00000000" w:rsidR="00000000" w:rsidRPr="00000000">
        <w:rPr>
          <w:rtl w:val="0"/>
        </w:rPr>
        <w:t xml:space="preserve"> Uso de planes educativos y gratuitos.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Mentoría externa opcional:</w:t>
      </w:r>
      <w:r w:rsidDel="00000000" w:rsidR="00000000" w:rsidRPr="00000000">
        <w:rPr>
          <w:rtl w:val="0"/>
        </w:rPr>
        <w:t xml:space="preserve"> Orientación profesional sobre prácticas seguras y despliegue en nube (sin costo adicional).</w:t>
      </w:r>
    </w:p>
    <w:p w:rsidR="00000000" w:rsidDel="00000000" w:rsidP="00000000" w:rsidRDefault="00000000" w:rsidRPr="00000000" w14:paraId="00000048">
      <w:pPr>
        <w:spacing w:after="200" w:line="276" w:lineRule="auto"/>
        <w:ind w:hanging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4605"/>
        <w:gridCol w:w="2625"/>
        <w:tblGridChange w:id="0">
          <w:tblGrid>
            <w:gridCol w:w="3540"/>
            <w:gridCol w:w="4605"/>
            <w:gridCol w:w="26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76" w:lineRule="auto"/>
              <w:ind w:hanging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76" w:lineRule="auto"/>
              <w:ind w:hanging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76" w:lineRule="auto"/>
              <w:ind w:hanging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integrantes – 500 h totales (valor promedio $11.000/h)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$5.480.000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Herramientas y servicios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Figma Pro, Canva, Google Workspace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$308.000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Recursos institucionales e intangibles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red, laboratorios, soporte docente, mentoría (sin costo real)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4. Gastos menores y contingencias (≈10%)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Imprevistos, transporte, ampliación de pruebas, soporte post-demo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76" w:lineRule="auto"/>
              <w:ind w:hanging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$550.000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/>
      </w:pPr>
      <w:bookmarkStart w:colFirst="0" w:colLast="0" w:name="_52k29vvijzk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Resumen General</w:t>
      </w:r>
      <w:r w:rsidDel="00000000" w:rsidR="00000000" w:rsidRPr="00000000">
        <w:rPr>
          <w:rtl w:val="0"/>
        </w:rPr>
      </w:r>
    </w:p>
    <w:tbl>
      <w:tblPr>
        <w:tblStyle w:val="Table4"/>
        <w:tblW w:w="5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2370"/>
        <w:tblGridChange w:id="0">
          <w:tblGrid>
            <w:gridCol w:w="3240"/>
            <w:gridCol w:w="23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Horas-persona (500 h totales)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$5.480.000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y servicios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$308.000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Infraestructura y soporte institucional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estimado real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$5.788.000 CLP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