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center"/>
      </w:pPr>
      <w:r>
        <w:rPr>
          <w:rFonts w:ascii="Times New Roman" w:hAnsi="Times New Roman" w:cs="Times New Roman"/>
          <w:b/>
          <w:sz w:val="28"/>
        </w:rPr>
        <w:t xml:space="preserve">ШПАРГАЛКА: как подать уведомление об обработке персональных данных в Роскомнадзор</w:t>
      </w:r>
    </w:p>
    <w:p>
      <w:pPr>
        <w:spacing w:before="0" w:after="160"/>
      </w:pPr>
      <w:r>
        <w:rPr>
          <w:rFonts w:ascii="Times New Roman" w:hAnsi="Times New Roman" w:cs="Times New Roman"/>
          <w:i/>
          <w:sz w:val="20"/>
        </w:rPr>
        <w:t xml:space="preserve">Рабочая памятка для ИП Грошевой О. Н. Не является официальным документом — черновик ответов для заполнения электронной формы.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Куда подавать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Портал персональных данных Роскомнадзора (pd.rkn.gov.ru), раздел «Подать уведомление», либо через Госуслуги. Требуется усиленная квалифицированная электронная подпись (УКЭП) ИП.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Перед подачей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Убедитесь, что подписаны приказ и локальные акты, а Политика опубликована на сайте. Уведомление подаётся, когда документы уже действуют.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Черновик ответов на ключевые поля формы</w:t>
      </w:r>
    </w:p>
    <w:tbl>
      <w:tblPr>
        <w:tblW w:w="95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00"/>
        <w:gridCol w:w="6300"/>
      </w:tblGrid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Поле формы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Что указать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Наименование оператора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Индивидуальный предприниматель Грошева Ольга Николаевна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ИНН / ОГРНИП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371501385780 / 326784700130136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Адрес оператора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___ (адрес регистрации ИП — заполнить)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Цель обработки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Обработка обращений, обратная связь, консультирование, заключение и исполнение договоров на оказание услуг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Правовое основание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Согласие субъекта; ст. 6 152-ФЗ; договор с субъектом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Категории субъектов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Физические лица, обратившиеся к оператору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Категории ПДн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ФИО, телефон, e-mail, аккаунт мессенджера, содержание обращения (иные категории)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Специальные / биометрические ПДн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Не обрабатываются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Перечень действий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Сбор, запись, систематизация, накопление, хранение, уточнение, извлечение, использование, блокирование, удаление, уничтожение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Способ обработки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Смешанный (автоматизированный и без средств автоматизации)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Трансграничная передача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Не осуществляется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Место хранения базы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Территория РФ, г. Санкт-Петербург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Меры по обеспечению безопасности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Организационные и технические: ответственный, разграничение доступа, HTTPS, пароль/ключ, резервное копирование, размещение данных в РФ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Ответственный за организацию обработки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Грошева Ольга Николаевна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Дата начала обработки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___ (дата запуска сайта / начала приёма обращений)</w:t>
            </w:r>
          </w:p>
        </w:tc>
      </w:tr>
      <w:tr>
        <w:tc>
          <w:tcPr>
            <w:tcW w:w="32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Условие прекращения обработки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Достижение целей обработки или отзыв согласия</w:t>
            </w:r>
          </w:p>
        </w:tc>
      </w:tr>
    </w:tbl>
    <w:p>
      <w:pPr>
        <w:spacing w:after="0"/>
      </w:pPr>
    </w:p>
    <w:p>
      <w:pPr>
        <w:spacing w:before="120" w:after="120"/>
      </w:pPr>
      <w:r>
        <w:rPr>
          <w:rFonts w:ascii="Times New Roman" w:hAnsi="Times New Roman" w:cs="Times New Roman"/>
          <w:sz w:val="20"/>
        </w:rPr>
        <w:t xml:space="preserve">После отправки уведомление появится в реестре операторов на сайте Роскомнадзора. Изменения (например, при запуске формы) подаются отдельным уведомлением об изменении сведений.</w:t>
      </w:r>
    </w:p>
    <w:sectPr>
      <w:pgSz w:w="11906" w:h="16838"/>
      <w:pgMar w:top="1134" w:right="1134" w:bottom="1134" w:left="1418"/>
    </w:sectPr>
  </w:body>
</w:document>
</file>