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接口信息：</w:t>
      </w:r>
    </w:p>
    <w:p>
      <w:pP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RS485接口，半双工，波特率9600bps，1位起始位，8位数据位，1位偶校验位，1位停止位。</w:t>
      </w:r>
      <w:bookmarkStart w:id="0" w:name="OLE_LINK3"/>
      <w:bookmarkStart w:id="1" w:name="OLE_LINK4"/>
    </w:p>
    <w:p>
      <w:pP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240" w:lineRule="auto"/>
        <w:jc w:val="left"/>
        <w:rPr>
          <w:rFonts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SME</w:t>
      </w:r>
      <w:r>
        <w:rPr>
          <w:rFonts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报文格式</w:t>
      </w:r>
      <w:bookmarkEnd w:id="0"/>
      <w:bookmarkEnd w:id="1"/>
      <w:r>
        <w:rPr>
          <w:rFonts w:hint="eastAsia"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：</w:t>
      </w:r>
    </w:p>
    <w:p>
      <w:pPr>
        <w:widowControl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120765" cy="20072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jc w:val="left"/>
        <w:rPr>
          <w:rFonts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SME</w:t>
      </w:r>
      <w:r>
        <w:rPr>
          <w:rFonts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报文内容：</w:t>
      </w:r>
    </w:p>
    <w:p>
      <w:pPr>
        <w:widowControl/>
        <w:spacing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738"/>
        <w:gridCol w:w="3119"/>
        <w:gridCol w:w="1417"/>
        <w:gridCol w:w="44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738" w:type="dxa"/>
            <w:shd w:val="clear" w:color="auto" w:fill="C6D9F0" w:themeFill="text2" w:themeFillTint="33"/>
          </w:tcPr>
          <w:p>
            <w:pPr>
              <w:widowControl/>
              <w:spacing w:line="240" w:lineRule="auto"/>
              <w:jc w:val="center"/>
              <w:rPr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符号</w:t>
            </w:r>
          </w:p>
        </w:tc>
        <w:tc>
          <w:tcPr>
            <w:tcW w:w="3119" w:type="dxa"/>
            <w:shd w:val="clear" w:color="auto" w:fill="C6D9F0" w:themeFill="text2" w:themeFillTint="33"/>
          </w:tcPr>
          <w:p>
            <w:pPr>
              <w:widowControl/>
              <w:spacing w:line="240" w:lineRule="auto"/>
              <w:jc w:val="center"/>
              <w:rPr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1417" w:type="dxa"/>
            <w:shd w:val="clear" w:color="auto" w:fill="C6D9F0" w:themeFill="text2" w:themeFillTint="33"/>
          </w:tcPr>
          <w:p>
            <w:pPr>
              <w:widowControl/>
              <w:spacing w:line="240" w:lineRule="auto"/>
              <w:jc w:val="center"/>
              <w:rPr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长度（字节</w:t>
            </w:r>
            <w:r>
              <w:rPr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423" w:type="dxa"/>
            <w:shd w:val="clear" w:color="auto" w:fill="C6D9F0" w:themeFill="text2" w:themeFillTint="33"/>
          </w:tcPr>
          <w:p>
            <w:pPr>
              <w:widowControl/>
              <w:spacing w:line="240" w:lineRule="auto"/>
              <w:jc w:val="center"/>
              <w:rPr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738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STX</w:t>
            </w:r>
          </w:p>
        </w:tc>
        <w:tc>
          <w:tcPr>
            <w:tcW w:w="3119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报文头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，表示通讯数据开始</w:t>
            </w:r>
          </w:p>
        </w:tc>
        <w:tc>
          <w:tcPr>
            <w:tcW w:w="1417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23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x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AA 0x55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738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BNK</w:t>
            </w:r>
          </w:p>
        </w:tc>
        <w:tc>
          <w:tcPr>
            <w:tcW w:w="3119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电梯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群号</w:t>
            </w:r>
          </w:p>
        </w:tc>
        <w:tc>
          <w:tcPr>
            <w:tcW w:w="1417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23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1号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群为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0，2号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群为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1，依此类推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738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NOD</w:t>
            </w:r>
          </w:p>
        </w:tc>
        <w:tc>
          <w:tcPr>
            <w:tcW w:w="3119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群内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电梯号</w:t>
            </w:r>
          </w:p>
        </w:tc>
        <w:tc>
          <w:tcPr>
            <w:tcW w:w="1417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23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号梯为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x00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2号梯为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x01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依此类推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738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LEN</w:t>
            </w:r>
          </w:p>
        </w:tc>
        <w:tc>
          <w:tcPr>
            <w:tcW w:w="3119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协议内容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字节数</w:t>
            </w:r>
          </w:p>
        </w:tc>
        <w:tc>
          <w:tcPr>
            <w:tcW w:w="1417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23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根据协议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内容确定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738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3119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协议内容</w:t>
            </w:r>
          </w:p>
        </w:tc>
        <w:tc>
          <w:tcPr>
            <w:tcW w:w="1417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4423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见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后续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协议内容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738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SUM</w:t>
            </w:r>
          </w:p>
        </w:tc>
        <w:tc>
          <w:tcPr>
            <w:tcW w:w="3119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CHECKSUM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校验和</w:t>
            </w:r>
          </w:p>
        </w:tc>
        <w:tc>
          <w:tcPr>
            <w:tcW w:w="1417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23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SUM= ~（BNK+NOD+LEN+DATA）+1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738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ETX</w:t>
            </w:r>
          </w:p>
        </w:tc>
        <w:tc>
          <w:tcPr>
            <w:tcW w:w="3119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报文尾</w:t>
            </w: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，表示通讯数据结束</w:t>
            </w:r>
          </w:p>
        </w:tc>
        <w:tc>
          <w:tcPr>
            <w:tcW w:w="1417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23" w:type="dxa"/>
          </w:tcPr>
          <w:p>
            <w:pPr>
              <w:widowControl/>
              <w:spacing w:line="240" w:lineRule="auto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03</w:t>
            </w:r>
          </w:p>
        </w:tc>
      </w:tr>
    </w:tbl>
    <w:p>
      <w:pP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协议内容：</w:t>
      </w:r>
    </w:p>
    <w:p>
      <w:pPr>
        <w:rPr>
          <w:rFonts w:hint="default" w:ascii="黑体" w:eastAsia="宋体" w:cs="黑体"/>
          <w:b/>
          <w:color w:val="FF0000"/>
          <w:sz w:val="28"/>
          <w:szCs w:val="28"/>
          <w:lang w:val="en-US" w:eastAsia="zh-CN"/>
        </w:rPr>
      </w:pPr>
      <w:r>
        <w:rPr>
          <w:rFonts w:hint="eastAsia" w:ascii="黑体" w:cs="黑体"/>
          <w:b/>
          <w:color w:val="FF0000"/>
          <w:sz w:val="28"/>
          <w:szCs w:val="28"/>
          <w:lang w:eastAsia="zh-CN"/>
        </w:rPr>
        <w:t>特别提醒：红色字体为</w:t>
      </w:r>
      <w:r>
        <w:rPr>
          <w:rFonts w:hint="eastAsia" w:ascii="黑体" w:cs="黑体"/>
          <w:b/>
          <w:color w:val="FF0000"/>
          <w:sz w:val="28"/>
          <w:szCs w:val="28"/>
          <w:lang w:val="en-US" w:eastAsia="zh-CN"/>
        </w:rPr>
        <w:t>AGV（无人工厂货梯）专用，其他机器人不得使用</w:t>
      </w:r>
    </w:p>
    <w:p>
      <w:pPr>
        <w:pStyle w:val="35"/>
        <w:numPr>
          <w:ilvl w:val="0"/>
          <w:numId w:val="3"/>
        </w:numPr>
        <w:ind w:firstLineChars="0"/>
        <w:rPr>
          <w:rFonts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机器人查询电梯状态的命令</w:t>
      </w:r>
    </w:p>
    <w:p>
      <w:pPr>
        <w:ind w:firstLine="360"/>
        <w:jc w:val="left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机器人发送：</w:t>
      </w:r>
    </w:p>
    <w:tbl>
      <w:tblPr>
        <w:tblStyle w:val="17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D7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D6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D5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D4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D2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命令字：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0x02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ID号：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00～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</w:tr>
    </w:tbl>
    <w:p>
      <w:pP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</w:p>
    <w:p>
      <w:pPr>
        <w:ind w:firstLine="420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电梯发送： </w:t>
      </w:r>
    </w:p>
    <w:tbl>
      <w:tblPr>
        <w:tblStyle w:val="17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18"/>
        <w:gridCol w:w="12"/>
        <w:gridCol w:w="1030"/>
        <w:gridCol w:w="1030"/>
        <w:gridCol w:w="72"/>
        <w:gridCol w:w="958"/>
        <w:gridCol w:w="1030"/>
        <w:gridCol w:w="10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D7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D6</w:t>
            </w:r>
          </w:p>
        </w:tc>
        <w:tc>
          <w:tcPr>
            <w:tcW w:w="1030" w:type="dxa"/>
            <w:gridSpan w:val="2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D5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D4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30" w:type="dxa"/>
            <w:gridSpan w:val="2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D2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240" w:type="dxa"/>
            <w:gridSpan w:val="10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命令字：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0x82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240" w:type="dxa"/>
            <w:gridSpan w:val="10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ID号</w:t>
            </w:r>
            <w:r>
              <w:rPr>
                <w:rStyle w:val="23"/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footnoteReference w:id="0"/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00～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240" w:type="dxa"/>
            <w:gridSpan w:val="10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  <w:r>
              <w:rPr>
                <w:rStyle w:val="23"/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footnoteReference w:id="1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030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7210" w:type="dxa"/>
            <w:gridSpan w:val="9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电梯所处楼层</w:t>
            </w:r>
            <w:r>
              <w:rPr>
                <w:rStyle w:val="23"/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footnoteReference w:id="2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9" w:type="dxa"/>
            <w:left w:w="29" w:type="dxa"/>
            <w:bottom w:w="29" w:type="dxa"/>
            <w:right w:w="29" w:type="dxa"/>
          </w:tblCellMar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03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cs="黑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18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电梯运行状态：</w:t>
            </w:r>
          </w:p>
          <w:p>
            <w:pPr>
              <w:jc w:val="center"/>
              <w:rPr>
                <w:rFonts w:hint="default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1-正在运行；0-电梯停止</w:t>
            </w:r>
          </w:p>
        </w:tc>
        <w:tc>
          <w:tcPr>
            <w:tcW w:w="1042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黑体" w:cs="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后门</w:t>
            </w:r>
            <w:r>
              <w:rPr>
                <w:rFonts w:ascii="黑体" w:cs="黑体"/>
                <w:color w:val="FF0000"/>
                <w:szCs w:val="21"/>
                <w:lang w:eastAsia="zh-CN"/>
              </w:rPr>
              <w:t>开门到位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信号：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1-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后门</w:t>
            </w:r>
            <w:r>
              <w:rPr>
                <w:rFonts w:ascii="黑体" w:cs="黑体"/>
                <w:color w:val="FF0000"/>
                <w:szCs w:val="21"/>
                <w:lang w:eastAsia="zh-CN"/>
              </w:rPr>
              <w:t>开门到位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；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0-后门开门未到位</w:t>
            </w:r>
          </w:p>
        </w:tc>
        <w:tc>
          <w:tcPr>
            <w:tcW w:w="1102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cs="黑体"/>
                <w:color w:val="FF0000"/>
                <w:szCs w:val="21"/>
                <w:lang w:eastAsia="zh-CN"/>
              </w:rPr>
            </w:pP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前门</w:t>
            </w:r>
            <w:r>
              <w:rPr>
                <w:rFonts w:ascii="黑体" w:cs="黑体"/>
                <w:color w:val="FF0000"/>
                <w:szCs w:val="21"/>
                <w:lang w:eastAsia="zh-CN"/>
              </w:rPr>
              <w:t>开门到位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信号：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1-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前门开门</w:t>
            </w:r>
            <w:r>
              <w:rPr>
                <w:rFonts w:ascii="黑体" w:cs="黑体"/>
                <w:color w:val="FF0000"/>
                <w:szCs w:val="21"/>
                <w:lang w:eastAsia="zh-CN"/>
              </w:rPr>
              <w:t>到位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；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0-前门开门未到位</w:t>
            </w:r>
          </w:p>
        </w:tc>
        <w:tc>
          <w:tcPr>
            <w:tcW w:w="958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接口装置</w:t>
            </w:r>
            <w:r>
              <w:rPr>
                <w:rFonts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与电梯通信状态</w:t>
            </w: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1-正常；0-异常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电梯下行服务方向：</w:t>
            </w:r>
          </w:p>
          <w:p>
            <w:pPr>
              <w:jc w:val="center"/>
              <w:rPr>
                <w:rFonts w:hint="default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1-有效，0-无效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电梯上行</w:t>
            </w: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服务方向：</w:t>
            </w:r>
          </w:p>
          <w:p>
            <w:pPr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1-有效，0-无效</w:t>
            </w:r>
          </w:p>
        </w:tc>
      </w:tr>
    </w:tbl>
    <w:p>
      <w:pPr>
        <w:ind w:left="360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35"/>
        <w:numPr>
          <w:ilvl w:val="0"/>
          <w:numId w:val="3"/>
        </w:numPr>
        <w:ind w:firstLineChars="0"/>
        <w:rPr>
          <w:rFonts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机器人轿内</w:t>
      </w:r>
      <w:r>
        <w:rPr>
          <w:rFonts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指令登记</w:t>
      </w:r>
    </w:p>
    <w:p>
      <w:pPr>
        <w:ind w:firstLine="360"/>
        <w:jc w:val="left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机器人发送：</w:t>
      </w:r>
    </w:p>
    <w:tbl>
      <w:tblPr>
        <w:tblStyle w:val="17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D7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D6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D5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D4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D2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命令字：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0x03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ID号：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00～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030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前后门</w:t>
            </w:r>
          </w:p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 w:val="15"/>
                <w:szCs w:val="15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 w:val="15"/>
                <w:szCs w:val="15"/>
                <w:lang w:eastAsia="en-US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宋体" w:hAnsi="宋体" w:eastAsia="宋体" w:cs="黑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宋体" w:hAnsi="宋体" w:eastAsia="宋体" w:cs="黑体"/>
                <w:color w:val="000000" w:themeColor="text1"/>
                <w:sz w:val="15"/>
                <w:szCs w:val="15"/>
                <w:lang w:eastAsia="en-US"/>
                <w14:textFill>
                  <w14:solidFill>
                    <w14:schemeClr w14:val="tx1"/>
                  </w14:solidFill>
                </w14:textFill>
              </w:rPr>
              <w:t>前门</w:t>
            </w:r>
          </w:p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1：</w:t>
            </w:r>
            <w:r>
              <w:rPr>
                <w:rFonts w:ascii="宋体" w:hAnsi="宋体" w:eastAsia="宋体" w:cs="黑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后门</w:t>
            </w:r>
          </w:p>
        </w:tc>
        <w:tc>
          <w:tcPr>
            <w:tcW w:w="7210" w:type="dxa"/>
            <w:gridSpan w:val="7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机器人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登记楼层</w:t>
            </w:r>
            <w:r>
              <w:rPr>
                <w:rStyle w:val="23"/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footnoteReference w:id="3"/>
            </w:r>
          </w:p>
        </w:tc>
      </w:tr>
    </w:tbl>
    <w:p>
      <w:pP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</w:p>
    <w:p>
      <w:pPr>
        <w:ind w:firstLine="420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电梯发送：</w:t>
      </w:r>
    </w:p>
    <w:tbl>
      <w:tblPr>
        <w:tblStyle w:val="17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D7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D6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D5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D4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D2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命令字：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0x83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ID号：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00～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30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0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对0x0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命令的确认。</w:t>
            </w:r>
          </w:p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  <w:t>1为成功</w:t>
            </w:r>
          </w:p>
        </w:tc>
      </w:tr>
    </w:tbl>
    <w:p>
      <w:pPr>
        <w:rPr>
          <w:rFonts w:hint="eastAsia" w:ascii="黑体" w:eastAsia="宋体" w:cs="黑体"/>
          <w:color w:val="FF0000"/>
          <w:sz w:val="24"/>
          <w:lang w:eastAsia="zh-CN"/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黑体" w:cs="黑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收到楼层登记信号并不能保持开门状态，机器人若要轿厢保持开门状态，需发送开门指令。</w:t>
      </w:r>
    </w:p>
    <w:p>
      <w:pP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35"/>
        <w:numPr>
          <w:ilvl w:val="0"/>
          <w:numId w:val="3"/>
        </w:numPr>
        <w:ind w:firstLineChars="0"/>
        <w:rPr>
          <w:rFonts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机器人保持电梯开门状态</w:t>
      </w:r>
      <w:r>
        <w:rPr>
          <w:rFonts w:hint="eastAsia" w:ascii="黑体" w:cs="黑体"/>
          <w:b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及发送关门</w:t>
      </w:r>
      <w:r>
        <w:rPr>
          <w:rFonts w:hint="eastAsia"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请求指令</w:t>
      </w:r>
    </w:p>
    <w:p>
      <w:pPr>
        <w:ind w:firstLine="360"/>
        <w:jc w:val="left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机器人发送：</w:t>
      </w:r>
    </w:p>
    <w:tbl>
      <w:tblPr>
        <w:tblStyle w:val="17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D7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D6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D5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D4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D2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命令字：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0x05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ID号：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00～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rFonts w:hint="default" w:ascii="宋体" w:hAnsi="宋体" w:eastAsia="宋体" w:cs="黑体"/>
                <w:color w:val="FF0000"/>
                <w:szCs w:val="21"/>
                <w:lang w:val="en-US" w:eastAsia="en-US"/>
              </w:rPr>
            </w:pP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后门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关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门指令：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1-有效；0-无效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color w:val="FF0000"/>
                <w:szCs w:val="21"/>
                <w:lang w:eastAsia="en-US"/>
              </w:rPr>
            </w:pP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前门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关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门指令：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1-有效；0-无效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rFonts w:hint="default"/>
                <w:color w:val="000000" w:themeColor="text1"/>
                <w:szCs w:val="2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后门开门指令：</w:t>
            </w: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1有效；0-无效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前门开门指令：</w:t>
            </w: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1有效；0-无效</w:t>
            </w:r>
          </w:p>
        </w:tc>
        <w:tc>
          <w:tcPr>
            <w:tcW w:w="4120" w:type="dxa"/>
            <w:gridSpan w:val="4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</w:tbl>
    <w:p>
      <w:pP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</w:p>
    <w:p>
      <w:pPr>
        <w:ind w:firstLine="420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电梯发送： </w:t>
      </w:r>
    </w:p>
    <w:tbl>
      <w:tblPr>
        <w:tblStyle w:val="17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5"/>
        <w:gridCol w:w="1035"/>
        <w:gridCol w:w="1028"/>
        <w:gridCol w:w="6"/>
        <w:gridCol w:w="1022"/>
        <w:gridCol w:w="12"/>
        <w:gridCol w:w="1016"/>
        <w:gridCol w:w="1028"/>
        <w:gridCol w:w="102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D7</w:t>
            </w:r>
          </w:p>
        </w:tc>
        <w:tc>
          <w:tcPr>
            <w:tcW w:w="1035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D6</w:t>
            </w:r>
          </w:p>
        </w:tc>
        <w:tc>
          <w:tcPr>
            <w:tcW w:w="1035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D5</w:t>
            </w:r>
          </w:p>
        </w:tc>
        <w:tc>
          <w:tcPr>
            <w:tcW w:w="1028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D4</w:t>
            </w:r>
          </w:p>
        </w:tc>
        <w:tc>
          <w:tcPr>
            <w:tcW w:w="1028" w:type="dxa"/>
            <w:gridSpan w:val="2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28" w:type="dxa"/>
            <w:gridSpan w:val="2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D2</w:t>
            </w:r>
          </w:p>
        </w:tc>
        <w:tc>
          <w:tcPr>
            <w:tcW w:w="1028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  <w:tc>
          <w:tcPr>
            <w:tcW w:w="1028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240" w:type="dxa"/>
            <w:gridSpan w:val="10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命令字：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0x85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240" w:type="dxa"/>
            <w:gridSpan w:val="10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ID号：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00～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240" w:type="dxa"/>
            <w:gridSpan w:val="10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030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7210" w:type="dxa"/>
            <w:gridSpan w:val="9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电梯所处楼层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03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电梯运行状态：</w:t>
            </w:r>
          </w:p>
          <w:p>
            <w:pPr>
              <w:jc w:val="center"/>
              <w:rPr>
                <w:rFonts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1-正在运行；0-电梯停止</w:t>
            </w:r>
          </w:p>
        </w:tc>
        <w:tc>
          <w:tcPr>
            <w:tcW w:w="1034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cs="黑体"/>
                <w:color w:val="FF0000"/>
                <w:szCs w:val="21"/>
                <w:lang w:eastAsia="zh-CN"/>
              </w:rPr>
            </w:pP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后门</w:t>
            </w:r>
            <w:r>
              <w:rPr>
                <w:rFonts w:ascii="黑体" w:cs="黑体"/>
                <w:color w:val="FF0000"/>
                <w:szCs w:val="21"/>
                <w:lang w:eastAsia="zh-CN"/>
              </w:rPr>
              <w:t>开门到位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信号：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1-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后门</w:t>
            </w:r>
            <w:r>
              <w:rPr>
                <w:rFonts w:ascii="黑体" w:cs="黑体"/>
                <w:color w:val="FF0000"/>
                <w:szCs w:val="21"/>
                <w:lang w:eastAsia="zh-CN"/>
              </w:rPr>
              <w:t>开门到位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；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0-后门开门未到位</w:t>
            </w:r>
          </w:p>
        </w:tc>
        <w:tc>
          <w:tcPr>
            <w:tcW w:w="1034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cs="黑体"/>
                <w:color w:val="FF0000"/>
                <w:szCs w:val="21"/>
                <w:lang w:eastAsia="zh-CN"/>
              </w:rPr>
            </w:pP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前门</w:t>
            </w:r>
            <w:r>
              <w:rPr>
                <w:rFonts w:ascii="黑体" w:cs="黑体"/>
                <w:color w:val="FF0000"/>
                <w:szCs w:val="21"/>
                <w:lang w:eastAsia="zh-CN"/>
              </w:rPr>
              <w:t>开门到位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信号：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1-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前门开门</w:t>
            </w:r>
            <w:r>
              <w:rPr>
                <w:rFonts w:ascii="黑体" w:cs="黑体"/>
                <w:color w:val="FF0000"/>
                <w:szCs w:val="21"/>
                <w:lang w:eastAsia="zh-CN"/>
              </w:rPr>
              <w:t>到位</w:t>
            </w:r>
            <w:r>
              <w:rPr>
                <w:rFonts w:hint="eastAsia" w:ascii="黑体" w:cs="黑体"/>
                <w:color w:val="FF0000"/>
                <w:szCs w:val="21"/>
                <w:lang w:eastAsia="zh-CN"/>
              </w:rPr>
              <w:t>；</w:t>
            </w:r>
            <w:r>
              <w:rPr>
                <w:rFonts w:hint="eastAsia" w:ascii="黑体" w:cs="黑体"/>
                <w:color w:val="FF0000"/>
                <w:szCs w:val="21"/>
                <w:lang w:val="en-US" w:eastAsia="zh-CN"/>
              </w:rPr>
              <w:t>0-前门开门未到位</w:t>
            </w:r>
          </w:p>
        </w:tc>
        <w:tc>
          <w:tcPr>
            <w:tcW w:w="1016" w:type="dxa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接口装置</w:t>
            </w:r>
            <w:r>
              <w:rPr>
                <w:rFonts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与电梯通信状态</w:t>
            </w: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1-正常；0-</w:t>
            </w:r>
            <w:bookmarkStart w:id="2" w:name="_GoBack"/>
            <w:bookmarkEnd w:id="2"/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异常</w:t>
            </w:r>
          </w:p>
        </w:tc>
        <w:tc>
          <w:tcPr>
            <w:tcW w:w="1028" w:type="dxa"/>
            <w:vAlign w:val="center"/>
          </w:tcPr>
          <w:p>
            <w:pPr>
              <w:jc w:val="center"/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电梯下行服务方向：</w:t>
            </w:r>
          </w:p>
          <w:p>
            <w:pPr>
              <w:jc w:val="center"/>
              <w:rPr>
                <w:rFonts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1-有效，0-无效</w:t>
            </w:r>
          </w:p>
        </w:tc>
        <w:tc>
          <w:tcPr>
            <w:tcW w:w="1028" w:type="dxa"/>
            <w:vAlign w:val="center"/>
          </w:tcPr>
          <w:p>
            <w:pPr>
              <w:jc w:val="center"/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电梯上行</w:t>
            </w: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服务方向：</w:t>
            </w:r>
          </w:p>
          <w:p>
            <w:pPr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1-有效，0-无效</w:t>
            </w:r>
          </w:p>
        </w:tc>
      </w:tr>
    </w:tbl>
    <w:p>
      <w:pP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每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收到一条有效开门指令，保持开门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输出信号15秒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如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15秒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内收到多条有效开门指令，以最后一条收到的时间为基础重新开始计时。</w:t>
      </w:r>
    </w:p>
    <w:p>
      <w:pP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35"/>
        <w:numPr>
          <w:ilvl w:val="0"/>
          <w:numId w:val="3"/>
        </w:numPr>
        <w:ind w:firstLineChars="0"/>
        <w:rPr>
          <w:rFonts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机器人状态</w:t>
      </w:r>
      <w:r>
        <w:rPr>
          <w:rFonts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及</w:t>
      </w:r>
      <w:r>
        <w:rPr>
          <w:rFonts w:hint="eastAsia"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与电梯</w:t>
      </w:r>
      <w:r>
        <w:rPr>
          <w:rFonts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间</w:t>
      </w:r>
      <w:r>
        <w:rPr>
          <w:rFonts w:hint="eastAsia"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心跳（</w:t>
      </w:r>
      <w:r>
        <w:rPr>
          <w:rFonts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无以上各条报文时</w:t>
      </w:r>
      <w:r>
        <w:rPr>
          <w:rFonts w:hint="eastAsia"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定期</w:t>
      </w:r>
      <w:r>
        <w:rPr>
          <w:rFonts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10s</w:t>
      </w:r>
      <w:r>
        <w:rPr>
          <w:rFonts w:hint="eastAsia"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内</w:t>
      </w:r>
      <w:r>
        <w:rPr>
          <w:rFonts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发送</w:t>
      </w:r>
      <w:r>
        <w:rPr>
          <w:rFonts w:hint="eastAsia"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一次</w:t>
      </w:r>
      <w:r>
        <w:rPr>
          <w:rFonts w:ascii="黑体" w:cs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）</w:t>
      </w:r>
    </w:p>
    <w:p>
      <w:pPr>
        <w:ind w:firstLine="360"/>
        <w:jc w:val="left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机器人发送：</w:t>
      </w:r>
    </w:p>
    <w:tbl>
      <w:tblPr>
        <w:tblStyle w:val="17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D7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D6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D5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D4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D2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命令字：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0x06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ID号：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00～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30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1030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预留</w:t>
            </w:r>
          </w:p>
        </w:tc>
        <w:tc>
          <w:tcPr>
            <w:tcW w:w="4120" w:type="dxa"/>
            <w:gridSpan w:val="4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机器人状态：不为0代表机器人异常</w:t>
            </w:r>
          </w:p>
        </w:tc>
      </w:tr>
    </w:tbl>
    <w:p>
      <w:pP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</w:p>
    <w:p>
      <w:pPr>
        <w:ind w:firstLine="420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电梯发送：</w:t>
      </w:r>
    </w:p>
    <w:tbl>
      <w:tblPr>
        <w:tblStyle w:val="17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029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D7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D6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D5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D4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D2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  <w:tc>
          <w:tcPr>
            <w:tcW w:w="1030" w:type="dxa"/>
            <w:shd w:val="clear" w:color="auto" w:fill="C6D9F0" w:themeFill="text2" w:themeFillTint="33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en-US"/>
                <w14:textFill>
                  <w14:solidFill>
                    <w14:schemeClr w14:val="tx1"/>
                  </w14:solidFill>
                </w14:textFill>
              </w:rPr>
              <w:t>D0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命令字：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0x86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ID号：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</w:t>
            </w:r>
            <w:r>
              <w:rPr>
                <w:rFonts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00～</w:t>
            </w: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1029" w:type="dxa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240" w:type="dxa"/>
            <w:gridSpan w:val="8"/>
            <w:vAlign w:val="center"/>
          </w:tcPr>
          <w:p>
            <w:pPr>
              <w:pStyle w:val="35"/>
              <w:ind w:firstLine="0" w:firstLineChars="0"/>
              <w:jc w:val="center"/>
              <w:rPr>
                <w:rFonts w:ascii="宋体" w:hAnsi="宋体" w:eastAsia="宋体" w:cs="黑体"/>
                <w:color w:val="000000" w:themeColor="text1"/>
                <w:sz w:val="15"/>
                <w:szCs w:val="15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黑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0xFF</w:t>
            </w:r>
          </w:p>
        </w:tc>
      </w:tr>
    </w:tbl>
    <w:p>
      <w:pPr>
        <w:widowControl/>
        <w:spacing w:line="240" w:lineRule="auto"/>
        <w:jc w:val="left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240" w:lineRule="auto"/>
        <w:jc w:val="left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240" w:lineRule="auto"/>
        <w:jc w:val="left"/>
        <w:rPr>
          <w:rFonts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附录</w:t>
      </w:r>
      <w:r>
        <w:rPr>
          <w:rFonts w:ascii="黑体" w:cs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：</w:t>
      </w:r>
    </w:p>
    <w:p>
      <w:pPr>
        <w:pStyle w:val="35"/>
        <w:widowControl/>
        <w:numPr>
          <w:ilvl w:val="0"/>
          <w:numId w:val="4"/>
        </w:numPr>
        <w:ind w:firstLineChars="0"/>
        <w:jc w:val="left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在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很多情况下，电梯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实际停站层和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电梯该停站层显示代码并非一一对应，</w:t>
      </w:r>
      <w:r>
        <w:rPr>
          <w:rFonts w:hint="eastAsia" w:ascii="黑体" w:cs="黑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举例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如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下表所示：</w:t>
      </w:r>
    </w:p>
    <w:tbl>
      <w:tblPr>
        <w:tblStyle w:val="17"/>
        <w:tblW w:w="0" w:type="auto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4668"/>
        <w:gridCol w:w="466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927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电梯实际停站层</w:t>
            </w:r>
          </w:p>
        </w:tc>
        <w:tc>
          <w:tcPr>
            <w:tcW w:w="4928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停站层显示代码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927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928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927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928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927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928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927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928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927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928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927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928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4927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4928" w:type="dxa"/>
          </w:tcPr>
          <w:p>
            <w:pPr>
              <w:pStyle w:val="35"/>
              <w:widowControl/>
              <w:ind w:firstLine="0" w:firstLineChars="0"/>
              <w:jc w:val="center"/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ascii="黑体" w:cs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</w:tbl>
    <w:p>
      <w:pPr>
        <w:pStyle w:val="35"/>
        <w:widowControl/>
        <w:ind w:left="360" w:firstLine="0" w:firstLineChars="0"/>
        <w:jc w:val="left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35"/>
        <w:widowControl/>
        <w:ind w:left="360" w:firstLine="0" w:firstLineChars="0"/>
        <w:jc w:val="left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电梯实际停站层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由该梯最底层（如上表的“B2”）开始，从0向上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累加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pStyle w:val="35"/>
        <w:widowControl/>
        <w:ind w:left="360" w:firstLine="0" w:firstLineChars="0"/>
        <w:jc w:val="left"/>
        <w:rPr>
          <w:rFonts w:hint="eastAsia" w:ascii="黑体" w:cs="黑体" w:eastAsiaTheme="minor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机器人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查询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电梯状态时，电梯回复的停站层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为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停站层显示代码</w:t>
      </w:r>
      <w:r>
        <w:rPr>
          <w:rFonts w:hint="eastAsia" w:ascii="黑体" w:cs="黑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，标准显示代码如下表所示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黑体" w:cs="黑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若有非标显示字符，下表由我司非标设计部门另行给出；</w:t>
      </w:r>
    </w:p>
    <w:p>
      <w:pP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</w:p>
    <w:p>
      <w:pPr>
        <w:pStyle w:val="35"/>
        <w:widowControl/>
        <w:ind w:left="360" w:firstLine="0" w:firstLineChars="0"/>
        <w:jc w:val="left"/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709"/>
        <w:gridCol w:w="283"/>
        <w:gridCol w:w="709"/>
        <w:gridCol w:w="709"/>
        <w:gridCol w:w="283"/>
        <w:gridCol w:w="709"/>
        <w:gridCol w:w="709"/>
        <w:gridCol w:w="283"/>
        <w:gridCol w:w="709"/>
        <w:gridCol w:w="709"/>
        <w:gridCol w:w="2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</w:p>
        </w:tc>
        <w:tc>
          <w:tcPr>
            <w:tcW w:w="283" w:type="dxa"/>
            <w:tcBorders>
              <w:top w:val="nil"/>
              <w:bottom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</w:p>
        </w:tc>
        <w:tc>
          <w:tcPr>
            <w:tcW w:w="283" w:type="dxa"/>
            <w:tcBorders>
              <w:top w:val="nil"/>
              <w:bottom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</w:p>
        </w:tc>
        <w:tc>
          <w:tcPr>
            <w:tcW w:w="283" w:type="dxa"/>
            <w:tcBorders>
              <w:top w:val="nil"/>
              <w:bottom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</w:p>
        </w:tc>
        <w:tc>
          <w:tcPr>
            <w:tcW w:w="283" w:type="dxa"/>
            <w:tcBorders>
              <w:top w:val="nil"/>
              <w:bottom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00</w:t>
            </w:r>
          </w:p>
          <w:p>
            <w:pPr>
              <w:jc w:val="center"/>
            </w:pPr>
            <w:r>
              <w:t>01</w:t>
            </w:r>
          </w:p>
          <w:p>
            <w:pPr>
              <w:jc w:val="center"/>
              <w:rPr>
                <w:rFonts w:hint="eastAsia"/>
              </w:rPr>
            </w:pPr>
            <w:r>
              <w:t>02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08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09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无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83" w:type="dxa"/>
            <w:vMerge w:val="restart"/>
            <w:tcBorders>
              <w:top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1E</w:t>
            </w:r>
          </w:p>
          <w:p>
            <w:pPr>
              <w:jc w:val="center"/>
            </w:pPr>
            <w:r>
              <w:t>1F</w:t>
            </w:r>
          </w:p>
          <w:p>
            <w:pPr>
              <w:jc w:val="center"/>
            </w:pPr>
            <w:r>
              <w:t>20</w:t>
            </w:r>
          </w:p>
          <w:p>
            <w:pPr>
              <w:jc w:val="center"/>
            </w:pPr>
            <w:r>
              <w:t>21</w:t>
            </w:r>
          </w:p>
          <w:p>
            <w:pPr>
              <w:jc w:val="center"/>
            </w:pPr>
            <w:r>
              <w:t>22</w:t>
            </w:r>
          </w:p>
          <w:p>
            <w:pPr>
              <w:jc w:val="center"/>
            </w:pPr>
            <w:r>
              <w:t>23</w:t>
            </w:r>
          </w:p>
          <w:p>
            <w:pPr>
              <w:jc w:val="center"/>
            </w:pPr>
            <w:r>
              <w:t>24</w:t>
            </w:r>
          </w:p>
          <w:p>
            <w:pPr>
              <w:jc w:val="center"/>
            </w:pPr>
            <w:r>
              <w:t>25</w:t>
            </w:r>
          </w:p>
          <w:p>
            <w:pPr>
              <w:jc w:val="center"/>
            </w:pPr>
            <w:r>
              <w:t>26</w:t>
            </w:r>
          </w:p>
          <w:p>
            <w:pPr>
              <w:jc w:val="center"/>
            </w:pPr>
            <w:r>
              <w:t>27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30</w:t>
            </w:r>
          </w:p>
          <w:p>
            <w:pPr>
              <w:jc w:val="center"/>
            </w:pPr>
            <w:r>
              <w:t>31</w:t>
            </w:r>
          </w:p>
          <w:p>
            <w:pPr>
              <w:jc w:val="center"/>
            </w:pPr>
            <w:r>
              <w:t>32</w:t>
            </w:r>
          </w:p>
          <w:p>
            <w:pPr>
              <w:jc w:val="center"/>
            </w:pPr>
            <w:r>
              <w:t>33</w:t>
            </w:r>
          </w:p>
          <w:p>
            <w:pPr>
              <w:jc w:val="center"/>
            </w:pPr>
            <w:r>
              <w:t>34</w:t>
            </w:r>
          </w:p>
          <w:p>
            <w:pPr>
              <w:jc w:val="center"/>
            </w:pPr>
            <w:r>
              <w:t>35</w:t>
            </w:r>
          </w:p>
          <w:p>
            <w:pPr>
              <w:jc w:val="center"/>
            </w:pPr>
            <w:r>
              <w:t>36</w:t>
            </w:r>
          </w:p>
          <w:p>
            <w:pPr>
              <w:jc w:val="center"/>
            </w:pPr>
            <w:r>
              <w:t>37</w:t>
            </w:r>
          </w:p>
          <w:p>
            <w:pPr>
              <w:jc w:val="center"/>
            </w:pPr>
            <w:r>
              <w:t>38</w:t>
            </w:r>
          </w:p>
          <w:p>
            <w:pPr>
              <w:jc w:val="center"/>
            </w:pPr>
            <w:r>
              <w:t>39</w:t>
            </w:r>
          </w:p>
        </w:tc>
        <w:tc>
          <w:tcPr>
            <w:tcW w:w="283" w:type="dxa"/>
            <w:vMerge w:val="restart"/>
            <w:tcBorders>
              <w:top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3C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3D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3E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3F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B1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B2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B3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B4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B5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B6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  <w:p>
            <w:pPr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D</w:t>
            </w:r>
          </w:p>
        </w:tc>
        <w:tc>
          <w:tcPr>
            <w:tcW w:w="283" w:type="dxa"/>
            <w:vMerge w:val="restart"/>
            <w:tcBorders>
              <w:top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5A</w:t>
            </w:r>
          </w:p>
          <w:p>
            <w:pPr>
              <w:jc w:val="center"/>
            </w:pPr>
            <w:r>
              <w:t>5B</w:t>
            </w:r>
          </w:p>
          <w:p>
            <w:pPr>
              <w:jc w:val="center"/>
            </w:pPr>
            <w:r>
              <w:t>5C</w:t>
            </w:r>
          </w:p>
          <w:p>
            <w:pPr>
              <w:jc w:val="center"/>
            </w:pPr>
            <w:r>
              <w:t>5D</w:t>
            </w:r>
          </w:p>
          <w:p>
            <w:pPr>
              <w:jc w:val="center"/>
            </w:pPr>
            <w:r>
              <w:t>5E</w:t>
            </w:r>
          </w:p>
          <w:p>
            <w:pPr>
              <w:jc w:val="center"/>
            </w:pPr>
            <w:r>
              <w:t>5F</w:t>
            </w:r>
          </w:p>
          <w:p>
            <w:pPr>
              <w:jc w:val="center"/>
            </w:pPr>
            <w:r>
              <w:t>60</w:t>
            </w:r>
          </w:p>
          <w:p>
            <w:pPr>
              <w:jc w:val="center"/>
            </w:pPr>
            <w:r>
              <w:t>61</w:t>
            </w:r>
          </w:p>
          <w:p>
            <w:pPr>
              <w:jc w:val="center"/>
            </w:pPr>
            <w:r>
              <w:t>62</w:t>
            </w:r>
          </w:p>
          <w:p>
            <w:pPr>
              <w:jc w:val="center"/>
            </w:pPr>
            <w:r>
              <w:t>63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M6</w:t>
            </w:r>
          </w:p>
          <w:p>
            <w:pPr>
              <w:jc w:val="center"/>
            </w:pPr>
            <w:r>
              <w:t>MB</w:t>
            </w:r>
          </w:p>
          <w:p>
            <w:pPr>
              <w:jc w:val="center"/>
            </w:pPr>
            <w:r>
              <w:t>P</w:t>
            </w:r>
          </w:p>
          <w:p>
            <w:pPr>
              <w:jc w:val="center"/>
            </w:pPr>
            <w:r>
              <w:t>P0</w:t>
            </w:r>
          </w:p>
          <w:p>
            <w:pPr>
              <w:jc w:val="center"/>
            </w:pPr>
            <w:r>
              <w:t>P1</w:t>
            </w:r>
          </w:p>
          <w:p>
            <w:pPr>
              <w:jc w:val="center"/>
            </w:pPr>
            <w:r>
              <w:t>P2</w:t>
            </w:r>
          </w:p>
          <w:p>
            <w:pPr>
              <w:jc w:val="center"/>
            </w:pPr>
            <w:r>
              <w:t>P3</w:t>
            </w:r>
          </w:p>
          <w:p>
            <w:pPr>
              <w:jc w:val="center"/>
            </w:pPr>
            <w:r>
              <w:t>P4</w:t>
            </w:r>
          </w:p>
          <w:p>
            <w:pPr>
              <w:jc w:val="center"/>
            </w:pPr>
            <w:r>
              <w:t>P5</w:t>
            </w:r>
          </w:p>
          <w:p>
            <w:pPr>
              <w:jc w:val="center"/>
            </w:pPr>
            <w:r>
              <w:t>PB</w:t>
            </w:r>
          </w:p>
        </w:tc>
        <w:tc>
          <w:tcPr>
            <w:tcW w:w="283" w:type="dxa"/>
            <w:vMerge w:val="restart"/>
            <w:tcBorders>
              <w:top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rPr>
                <w:rFonts w:hint="eastAsia"/>
              </w:rPr>
              <w:t>0</w:t>
            </w:r>
            <w:r>
              <w:t>A</w:t>
            </w:r>
          </w:p>
          <w:p>
            <w:pPr>
              <w:jc w:val="center"/>
            </w:pPr>
            <w:r>
              <w:t>0B</w:t>
            </w:r>
          </w:p>
          <w:p>
            <w:pPr>
              <w:jc w:val="center"/>
            </w:pPr>
            <w:r>
              <w:t>0C</w:t>
            </w:r>
          </w:p>
          <w:p>
            <w:pPr>
              <w:jc w:val="center"/>
            </w:pPr>
            <w:r>
              <w:t>0D</w:t>
            </w:r>
          </w:p>
          <w:p>
            <w:pPr>
              <w:jc w:val="center"/>
            </w:pPr>
            <w:r>
              <w:t>0E</w:t>
            </w:r>
          </w:p>
          <w:p>
            <w:pPr>
              <w:jc w:val="center"/>
            </w:pPr>
            <w:r>
              <w:t>0F</w:t>
            </w:r>
          </w:p>
          <w:p>
            <w:pPr>
              <w:jc w:val="center"/>
            </w:pPr>
            <w:r>
              <w:t>10</w:t>
            </w:r>
          </w:p>
          <w:p>
            <w:pPr>
              <w:jc w:val="center"/>
            </w:pPr>
            <w:r>
              <w:t>11</w:t>
            </w:r>
          </w:p>
          <w:p>
            <w:pPr>
              <w:jc w:val="center"/>
            </w:pPr>
            <w:r>
              <w:t>12</w:t>
            </w:r>
          </w:p>
          <w:p>
            <w:pPr>
              <w:jc w:val="center"/>
            </w:pPr>
            <w:r>
              <w:t>13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10</w:t>
            </w:r>
          </w:p>
          <w:p>
            <w:pPr>
              <w:jc w:val="center"/>
            </w:pPr>
            <w:r>
              <w:t>11</w:t>
            </w:r>
          </w:p>
          <w:p>
            <w:pPr>
              <w:jc w:val="center"/>
            </w:pPr>
            <w:r>
              <w:t>12</w:t>
            </w:r>
          </w:p>
          <w:p>
            <w:pPr>
              <w:jc w:val="center"/>
            </w:pPr>
            <w:r>
              <w:t>13</w:t>
            </w:r>
          </w:p>
          <w:p>
            <w:pPr>
              <w:jc w:val="center"/>
            </w:pPr>
            <w:r>
              <w:t>14</w:t>
            </w:r>
          </w:p>
          <w:p>
            <w:pPr>
              <w:jc w:val="center"/>
            </w:pPr>
            <w:r>
              <w:t>15</w:t>
            </w:r>
          </w:p>
          <w:p>
            <w:pPr>
              <w:jc w:val="center"/>
            </w:pPr>
            <w:r>
              <w:t>16</w:t>
            </w:r>
          </w:p>
          <w:p>
            <w:pPr>
              <w:jc w:val="center"/>
            </w:pPr>
            <w:r>
              <w:t>17</w:t>
            </w:r>
          </w:p>
          <w:p>
            <w:pPr>
              <w:jc w:val="center"/>
            </w:pPr>
            <w:r>
              <w:t>18</w:t>
            </w:r>
          </w:p>
          <w:p>
            <w:pPr>
              <w:jc w:val="center"/>
            </w:pPr>
            <w:r>
              <w:t>19</w:t>
            </w:r>
          </w:p>
        </w:tc>
        <w:tc>
          <w:tcPr>
            <w:tcW w:w="283" w:type="dxa"/>
            <w:vMerge w:val="continue"/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28</w:t>
            </w:r>
          </w:p>
          <w:p>
            <w:pPr>
              <w:jc w:val="center"/>
            </w:pPr>
            <w:r>
              <w:t>29</w:t>
            </w:r>
          </w:p>
          <w:p>
            <w:pPr>
              <w:jc w:val="center"/>
            </w:pPr>
            <w:r>
              <w:t>2A</w:t>
            </w:r>
          </w:p>
          <w:p>
            <w:pPr>
              <w:jc w:val="center"/>
            </w:pPr>
            <w:r>
              <w:t>2B</w:t>
            </w:r>
          </w:p>
          <w:p>
            <w:pPr>
              <w:jc w:val="center"/>
            </w:pPr>
            <w:r>
              <w:t>2C</w:t>
            </w:r>
          </w:p>
          <w:p>
            <w:pPr>
              <w:jc w:val="center"/>
            </w:pPr>
            <w:r>
              <w:t>2D</w:t>
            </w:r>
          </w:p>
          <w:p>
            <w:pPr>
              <w:jc w:val="center"/>
            </w:pPr>
            <w:r>
              <w:t>2E</w:t>
            </w:r>
          </w:p>
          <w:p>
            <w:pPr>
              <w:jc w:val="center"/>
            </w:pPr>
            <w:r>
              <w:t>2F</w:t>
            </w:r>
          </w:p>
          <w:p>
            <w:pPr>
              <w:jc w:val="center"/>
            </w:pPr>
            <w:r>
              <w:t>30</w:t>
            </w:r>
          </w:p>
          <w:p>
            <w:pPr>
              <w:jc w:val="center"/>
            </w:pPr>
            <w:r>
              <w:t>31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40</w:t>
            </w:r>
          </w:p>
          <w:p>
            <w:pPr>
              <w:jc w:val="center"/>
            </w:pPr>
            <w:r>
              <w:t>41</w:t>
            </w:r>
          </w:p>
          <w:p>
            <w:pPr>
              <w:jc w:val="center"/>
            </w:pPr>
            <w:r>
              <w:t>42</w:t>
            </w:r>
          </w:p>
          <w:p>
            <w:pPr>
              <w:jc w:val="center"/>
            </w:pPr>
            <w:r>
              <w:t>43</w:t>
            </w:r>
          </w:p>
          <w:p>
            <w:pPr>
              <w:jc w:val="center"/>
            </w:pPr>
            <w:r>
              <w:t>44</w:t>
            </w:r>
          </w:p>
          <w:p>
            <w:pPr>
              <w:jc w:val="center"/>
            </w:pPr>
            <w:r>
              <w:t>45</w:t>
            </w:r>
          </w:p>
          <w:p>
            <w:pPr>
              <w:jc w:val="center"/>
            </w:pPr>
            <w:r>
              <w:t>46</w:t>
            </w:r>
          </w:p>
          <w:p>
            <w:pPr>
              <w:jc w:val="center"/>
            </w:pPr>
            <w:r>
              <w:t>47</w:t>
            </w:r>
          </w:p>
          <w:p>
            <w:pPr>
              <w:jc w:val="center"/>
            </w:pPr>
            <w:r>
              <w:t>48</w:t>
            </w:r>
          </w:p>
          <w:p>
            <w:pPr>
              <w:jc w:val="center"/>
            </w:pPr>
            <w:r>
              <w:t>0</w:t>
            </w:r>
          </w:p>
        </w:tc>
        <w:tc>
          <w:tcPr>
            <w:tcW w:w="283" w:type="dxa"/>
            <w:vMerge w:val="continue"/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4A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4B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4C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4D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4E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4F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E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G1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G2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G3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GF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</w:t>
            </w:r>
          </w:p>
          <w:p>
            <w:pPr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K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L1</w:t>
            </w:r>
          </w:p>
        </w:tc>
        <w:tc>
          <w:tcPr>
            <w:tcW w:w="283" w:type="dxa"/>
            <w:vMerge w:val="continue"/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64</w:t>
            </w:r>
          </w:p>
          <w:p>
            <w:pPr>
              <w:jc w:val="center"/>
            </w:pPr>
            <w:r>
              <w:t>65</w:t>
            </w:r>
          </w:p>
          <w:p>
            <w:pPr>
              <w:jc w:val="center"/>
            </w:pPr>
            <w:r>
              <w:t>66</w:t>
            </w:r>
          </w:p>
          <w:p>
            <w:pPr>
              <w:jc w:val="center"/>
            </w:pPr>
            <w:r>
              <w:t>67</w:t>
            </w:r>
          </w:p>
          <w:p>
            <w:pPr>
              <w:jc w:val="center"/>
            </w:pPr>
            <w:r>
              <w:t>68</w:t>
            </w:r>
          </w:p>
          <w:p>
            <w:pPr>
              <w:jc w:val="center"/>
            </w:pPr>
            <w:r>
              <w:t>69</w:t>
            </w:r>
          </w:p>
          <w:p>
            <w:pPr>
              <w:jc w:val="center"/>
            </w:pPr>
            <w:r>
              <w:t>6A</w:t>
            </w:r>
          </w:p>
          <w:p>
            <w:pPr>
              <w:jc w:val="center"/>
            </w:pPr>
            <w:r>
              <w:t>6B</w:t>
            </w:r>
          </w:p>
          <w:p>
            <w:pPr>
              <w:jc w:val="center"/>
            </w:pPr>
            <w:r>
              <w:t>6C</w:t>
            </w:r>
          </w:p>
          <w:p>
            <w:pPr>
              <w:jc w:val="center"/>
            </w:pPr>
            <w:r>
              <w:t>6D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PH</w:t>
            </w:r>
          </w:p>
          <w:p>
            <w:pPr>
              <w:jc w:val="center"/>
            </w:pPr>
            <w:r>
              <w:t>PL</w:t>
            </w:r>
          </w:p>
          <w:p>
            <w:pPr>
              <w:jc w:val="center"/>
            </w:pPr>
            <w:r>
              <w:t>PP</w:t>
            </w:r>
          </w:p>
          <w:p>
            <w:pPr>
              <w:jc w:val="center"/>
            </w:pPr>
            <w:r>
              <w:t>R</w:t>
            </w:r>
          </w:p>
          <w:p>
            <w:pPr>
              <w:jc w:val="center"/>
            </w:pPr>
            <w:r>
              <w:t>R1</w:t>
            </w:r>
          </w:p>
          <w:p>
            <w:pPr>
              <w:jc w:val="center"/>
            </w:pPr>
            <w:r>
              <w:t>R2</w:t>
            </w:r>
          </w:p>
          <w:p>
            <w:pPr>
              <w:jc w:val="center"/>
            </w:pPr>
            <w:r>
              <w:t>R3</w:t>
            </w:r>
          </w:p>
          <w:p>
            <w:pPr>
              <w:jc w:val="center"/>
            </w:pPr>
            <w:r>
              <w:t>S</w:t>
            </w:r>
          </w:p>
          <w:p>
            <w:pPr>
              <w:jc w:val="center"/>
            </w:pPr>
            <w:r>
              <w:t>S1</w:t>
            </w:r>
          </w:p>
          <w:p>
            <w:pPr>
              <w:jc w:val="center"/>
            </w:pPr>
            <w:r>
              <w:t>S2</w:t>
            </w:r>
          </w:p>
        </w:tc>
        <w:tc>
          <w:tcPr>
            <w:tcW w:w="283" w:type="dxa"/>
            <w:vMerge w:val="continue"/>
            <w:noWrap w:val="0"/>
            <w:vAlign w:val="top"/>
          </w:tcPr>
          <w:p>
            <w:pPr>
              <w:spacing w:before="120" w:beforeLines="0" w:beforeAutospacing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14</w:t>
            </w:r>
          </w:p>
          <w:p>
            <w:pPr>
              <w:jc w:val="center"/>
            </w:pPr>
            <w:r>
              <w:t>15</w:t>
            </w:r>
          </w:p>
          <w:p>
            <w:pPr>
              <w:jc w:val="center"/>
            </w:pPr>
            <w:r>
              <w:t>16</w:t>
            </w:r>
          </w:p>
          <w:p>
            <w:pPr>
              <w:jc w:val="center"/>
            </w:pPr>
            <w:r>
              <w:t>17</w:t>
            </w:r>
          </w:p>
          <w:p>
            <w:pPr>
              <w:jc w:val="center"/>
            </w:pPr>
            <w:r>
              <w:t>18</w:t>
            </w:r>
          </w:p>
          <w:p>
            <w:pPr>
              <w:jc w:val="center"/>
            </w:pPr>
            <w:r>
              <w:t>19</w:t>
            </w:r>
          </w:p>
          <w:p>
            <w:pPr>
              <w:jc w:val="center"/>
            </w:pPr>
            <w:r>
              <w:t>1A</w:t>
            </w:r>
          </w:p>
          <w:p>
            <w:pPr>
              <w:jc w:val="center"/>
            </w:pPr>
            <w:r>
              <w:t>1B</w:t>
            </w:r>
          </w:p>
          <w:p>
            <w:pPr>
              <w:jc w:val="center"/>
            </w:pPr>
            <w:r>
              <w:t>1C</w:t>
            </w:r>
          </w:p>
          <w:p>
            <w:pPr>
              <w:jc w:val="center"/>
            </w:pPr>
            <w:r>
              <w:t>1D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20</w:t>
            </w:r>
          </w:p>
          <w:p>
            <w:pPr>
              <w:jc w:val="center"/>
            </w:pPr>
            <w:r>
              <w:t>21</w:t>
            </w:r>
          </w:p>
          <w:p>
            <w:pPr>
              <w:jc w:val="center"/>
            </w:pPr>
            <w:r>
              <w:t>22</w:t>
            </w:r>
          </w:p>
          <w:p>
            <w:pPr>
              <w:jc w:val="center"/>
            </w:pPr>
            <w:r>
              <w:t>23</w:t>
            </w:r>
          </w:p>
          <w:p>
            <w:pPr>
              <w:jc w:val="center"/>
            </w:pPr>
            <w:r>
              <w:t>24</w:t>
            </w:r>
          </w:p>
          <w:p>
            <w:pPr>
              <w:jc w:val="center"/>
            </w:pPr>
            <w:r>
              <w:t>25</w:t>
            </w:r>
          </w:p>
          <w:p>
            <w:pPr>
              <w:jc w:val="center"/>
            </w:pPr>
            <w:r>
              <w:t>26</w:t>
            </w:r>
          </w:p>
          <w:p>
            <w:pPr>
              <w:jc w:val="center"/>
            </w:pPr>
            <w:r>
              <w:t>27</w:t>
            </w:r>
          </w:p>
          <w:p>
            <w:pPr>
              <w:jc w:val="center"/>
            </w:pPr>
            <w:r>
              <w:t>28</w:t>
            </w:r>
          </w:p>
          <w:p>
            <w:pPr>
              <w:jc w:val="center"/>
            </w:pPr>
            <w:r>
              <w:t>29</w:t>
            </w:r>
          </w:p>
        </w:tc>
        <w:tc>
          <w:tcPr>
            <w:tcW w:w="283" w:type="dxa"/>
            <w:vMerge w:val="continue"/>
            <w:tcBorders>
              <w:bottom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32</w:t>
            </w:r>
          </w:p>
          <w:p>
            <w:pPr>
              <w:jc w:val="center"/>
            </w:pPr>
            <w:r>
              <w:t>33</w:t>
            </w:r>
          </w:p>
          <w:p>
            <w:pPr>
              <w:jc w:val="center"/>
            </w:pPr>
            <w:r>
              <w:t>34</w:t>
            </w:r>
          </w:p>
          <w:p>
            <w:pPr>
              <w:jc w:val="center"/>
            </w:pPr>
            <w:r>
              <w:t>35</w:t>
            </w:r>
          </w:p>
          <w:p>
            <w:pPr>
              <w:jc w:val="center"/>
            </w:pPr>
            <w:r>
              <w:t>36</w:t>
            </w:r>
          </w:p>
          <w:p>
            <w:pPr>
              <w:jc w:val="center"/>
            </w:pPr>
            <w:r>
              <w:t>37</w:t>
            </w:r>
          </w:p>
          <w:p>
            <w:pPr>
              <w:jc w:val="center"/>
            </w:pPr>
            <w:r>
              <w:t>38</w:t>
            </w:r>
          </w:p>
          <w:p>
            <w:pPr>
              <w:jc w:val="center"/>
            </w:pPr>
            <w:r>
              <w:t>39</w:t>
            </w:r>
          </w:p>
          <w:p>
            <w:pPr>
              <w:jc w:val="center"/>
            </w:pPr>
            <w:r>
              <w:t>3A</w:t>
            </w:r>
          </w:p>
          <w:p>
            <w:pPr>
              <w:jc w:val="center"/>
            </w:pPr>
            <w:r>
              <w:t>3B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-1</w:t>
            </w:r>
          </w:p>
          <w:p>
            <w:pPr>
              <w:jc w:val="center"/>
            </w:pPr>
            <w:r>
              <w:t>-2</w:t>
            </w:r>
          </w:p>
          <w:p>
            <w:pPr>
              <w:jc w:val="center"/>
            </w:pPr>
            <w:r>
              <w:t>-3</w:t>
            </w:r>
          </w:p>
          <w:p>
            <w:pPr>
              <w:jc w:val="center"/>
            </w:pPr>
            <w:r>
              <w:t>-4</w:t>
            </w:r>
          </w:p>
          <w:p>
            <w:pPr>
              <w:jc w:val="center"/>
            </w:pPr>
            <w:r>
              <w:t>-5</w:t>
            </w:r>
          </w:p>
          <w:p>
            <w:pPr>
              <w:jc w:val="center"/>
            </w:pPr>
            <w:r>
              <w:t>1B</w:t>
            </w:r>
          </w:p>
          <w:p>
            <w:pPr>
              <w:jc w:val="center"/>
            </w:pPr>
            <w:r>
              <w:t>2B</w:t>
            </w:r>
          </w:p>
          <w:p>
            <w:pPr>
              <w:jc w:val="center"/>
            </w:pPr>
            <w:r>
              <w:t>3B</w:t>
            </w:r>
          </w:p>
          <w:p>
            <w:pPr>
              <w:jc w:val="center"/>
            </w:pPr>
            <w:r>
              <w:t>4B</w:t>
            </w:r>
          </w:p>
          <w:p>
            <w:pPr>
              <w:jc w:val="center"/>
            </w:pPr>
            <w:r>
              <w:t>5B</w:t>
            </w:r>
          </w:p>
        </w:tc>
        <w:tc>
          <w:tcPr>
            <w:tcW w:w="283" w:type="dxa"/>
            <w:vMerge w:val="continue"/>
            <w:tcBorders>
              <w:bottom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50</w:t>
            </w:r>
          </w:p>
          <w:p>
            <w:pPr>
              <w:jc w:val="center"/>
            </w:pPr>
            <w:r>
              <w:t>51</w:t>
            </w:r>
          </w:p>
          <w:p>
            <w:pPr>
              <w:jc w:val="center"/>
            </w:pPr>
            <w:r>
              <w:t>52</w:t>
            </w:r>
          </w:p>
          <w:p>
            <w:pPr>
              <w:jc w:val="center"/>
            </w:pPr>
            <w:r>
              <w:t>53</w:t>
            </w:r>
          </w:p>
          <w:p>
            <w:pPr>
              <w:jc w:val="center"/>
            </w:pPr>
            <w:r>
              <w:t>54</w:t>
            </w:r>
          </w:p>
          <w:p>
            <w:pPr>
              <w:jc w:val="center"/>
            </w:pPr>
            <w:r>
              <w:t>55</w:t>
            </w:r>
          </w:p>
          <w:p>
            <w:pPr>
              <w:jc w:val="center"/>
            </w:pPr>
            <w:r>
              <w:t>56</w:t>
            </w:r>
          </w:p>
          <w:p>
            <w:pPr>
              <w:jc w:val="center"/>
            </w:pPr>
            <w:r>
              <w:t>57</w:t>
            </w:r>
          </w:p>
          <w:p>
            <w:pPr>
              <w:jc w:val="center"/>
            </w:pPr>
            <w:r>
              <w:t>58</w:t>
            </w:r>
          </w:p>
          <w:p>
            <w:pPr>
              <w:jc w:val="center"/>
            </w:pPr>
            <w:r>
              <w:t>59</w:t>
            </w: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</w:pPr>
            <w:r>
              <w:t>L2</w:t>
            </w:r>
          </w:p>
          <w:p>
            <w:pPr>
              <w:jc w:val="center"/>
            </w:pPr>
            <w:r>
              <w:t>L3</w:t>
            </w:r>
          </w:p>
          <w:p>
            <w:pPr>
              <w:jc w:val="center"/>
            </w:pPr>
            <w:r>
              <w:t>LB</w:t>
            </w:r>
          </w:p>
          <w:p>
            <w:pPr>
              <w:jc w:val="center"/>
            </w:pPr>
            <w:r>
              <w:t>LG</w:t>
            </w:r>
          </w:p>
          <w:p>
            <w:pPr>
              <w:jc w:val="center"/>
            </w:pPr>
            <w:r>
              <w:t>M</w:t>
            </w:r>
          </w:p>
          <w:p>
            <w:pPr>
              <w:jc w:val="center"/>
            </w:pPr>
            <w:r>
              <w:t>M1</w:t>
            </w:r>
          </w:p>
          <w:p>
            <w:pPr>
              <w:jc w:val="center"/>
            </w:pPr>
            <w:r>
              <w:t>M2</w:t>
            </w:r>
          </w:p>
          <w:p>
            <w:pPr>
              <w:jc w:val="center"/>
            </w:pPr>
            <w:r>
              <w:t>M3</w:t>
            </w:r>
          </w:p>
          <w:p>
            <w:pPr>
              <w:jc w:val="center"/>
            </w:pPr>
            <w:r>
              <w:t>M4</w:t>
            </w:r>
          </w:p>
          <w:p>
            <w:pPr>
              <w:jc w:val="center"/>
            </w:pPr>
            <w:r>
              <w:t>M5</w:t>
            </w:r>
          </w:p>
        </w:tc>
        <w:tc>
          <w:tcPr>
            <w:tcW w:w="283" w:type="dxa"/>
            <w:vMerge w:val="continue"/>
            <w:tcBorders>
              <w:bottom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6E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6F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71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73</w:t>
            </w:r>
          </w:p>
          <w:p>
            <w:pPr>
              <w:jc w:val="center"/>
              <w:rPr>
                <w:color w:val="000000"/>
              </w:rPr>
            </w:pPr>
          </w:p>
          <w:p>
            <w:pPr>
              <w:jc w:val="center"/>
              <w:rPr>
                <w:color w:val="000000"/>
              </w:rPr>
            </w:pPr>
          </w:p>
          <w:p>
            <w:pPr>
              <w:jc w:val="center"/>
              <w:rPr>
                <w:color w:val="000000"/>
              </w:rPr>
            </w:pPr>
          </w:p>
          <w:p>
            <w:pPr>
              <w:jc w:val="center"/>
              <w:rPr>
                <w:color w:val="000000"/>
              </w:rPr>
            </w:pPr>
          </w:p>
        </w:tc>
        <w:tc>
          <w:tcPr>
            <w:tcW w:w="709" w:type="dxa"/>
            <w:noWrap w:val="0"/>
            <w:vAlign w:val="top"/>
          </w:tcPr>
          <w:p>
            <w:pPr>
              <w:spacing w:before="120" w:beforeLines="0" w:beforeAutospacing="0"/>
              <w:jc w:val="center"/>
              <w:rPr>
                <w:color w:val="000000"/>
              </w:rPr>
            </w:pPr>
            <w:r>
              <w:rPr>
                <w:color w:val="000000"/>
              </w:rPr>
              <w:t>S3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S4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S5</w:t>
            </w:r>
          </w:p>
          <w:p>
            <w:pPr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无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UB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UG</w:t>
            </w:r>
          </w:p>
          <w:p>
            <w:pPr>
              <w:jc w:val="both"/>
              <w:rPr>
                <w:rFonts w:hint="eastAsia" w:eastAsia="宋体"/>
                <w:color w:val="000000"/>
                <w:lang w:eastAsia="zh-CN"/>
              </w:rPr>
            </w:pPr>
          </w:p>
        </w:tc>
        <w:tc>
          <w:tcPr>
            <w:tcW w:w="283" w:type="dxa"/>
            <w:vMerge w:val="continue"/>
            <w:tcBorders>
              <w:bottom w:val="nil"/>
            </w:tcBorders>
            <w:noWrap w:val="0"/>
            <w:vAlign w:val="top"/>
          </w:tcPr>
          <w:p>
            <w:pPr>
              <w:spacing w:before="120" w:beforeLines="0" w:beforeAutospacing="0"/>
            </w:pPr>
          </w:p>
        </w:tc>
      </w:tr>
    </w:tbl>
    <w:p>
      <w:pPr>
        <w:pStyle w:val="35"/>
        <w:widowControl/>
        <w:ind w:left="360" w:firstLine="0" w:firstLineChars="0"/>
        <w:jc w:val="left"/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35"/>
        <w:widowControl/>
        <w:ind w:left="360" w:firstLine="0" w:firstLineChars="0"/>
        <w:jc w:val="left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机器人在进行轿厢指令登记时，需要提供的停站层为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电梯实际停站层；</w:t>
      </w:r>
    </w:p>
    <w:p>
      <w:pPr>
        <w:pStyle w:val="35"/>
        <w:widowControl/>
        <w:ind w:left="360" w:firstLine="0" w:firstLineChars="0"/>
        <w:jc w:val="left"/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因此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在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实际操作中，机器人应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根据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实际的大楼情况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创建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对应的停站层映射</w:t>
      </w:r>
      <w:r>
        <w:rPr>
          <w:rFonts w:hint="eastAsia"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表并</w:t>
      </w:r>
      <w:r>
        <w:rPr>
          <w:rFonts w:ascii="黑体" w:cs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对交互数据进行相应变换。</w:t>
      </w:r>
    </w:p>
    <w:sectPr>
      <w:headerReference r:id="rId5" w:type="default"/>
      <w:footerReference r:id="rId6" w:type="default"/>
      <w:pgSz w:w="11906" w:h="16838"/>
      <w:pgMar w:top="851" w:right="1133" w:bottom="851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Angsana New">
    <w:panose1 w:val="02020603050405020304"/>
    <w:charset w:val="00"/>
    <w:family w:val="roman"/>
    <w:pitch w:val="default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0" w:type="auto"/>
      <w:jc w:val="center"/>
      <w:tblBorders>
        <w:top w:val="single" w:color="002060" w:sz="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29" w:type="dxa"/>
        <w:left w:w="29" w:type="dxa"/>
        <w:bottom w:w="29" w:type="dxa"/>
        <w:right w:w="29" w:type="dxa"/>
      </w:tblCellMar>
    </w:tblPr>
    <w:tblGrid>
      <w:gridCol w:w="3205"/>
      <w:gridCol w:w="3206"/>
      <w:gridCol w:w="3228"/>
    </w:tblGrid>
    <w:tr>
      <w:tblPrEx>
        <w:tblBorders>
          <w:top w:val="single" w:color="002060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29" w:type="dxa"/>
          <w:left w:w="29" w:type="dxa"/>
          <w:bottom w:w="29" w:type="dxa"/>
          <w:right w:w="29" w:type="dxa"/>
        </w:tblCellMar>
      </w:tblPrEx>
      <w:trPr>
        <w:cantSplit/>
        <w:trHeight w:val="335" w:hRule="atLeast"/>
        <w:jc w:val="center"/>
      </w:trPr>
      <w:tc>
        <w:tcPr>
          <w:tcW w:w="3205" w:type="dxa"/>
        </w:tcPr>
        <w:p>
          <w:pPr>
            <w:rPr>
              <w:rFonts w:asciiTheme="minorEastAsia" w:hAnsiTheme="minorEastAsia"/>
              <w:lang w:eastAsia="en-US"/>
            </w:rPr>
          </w:pPr>
        </w:p>
      </w:tc>
      <w:tc>
        <w:tcPr>
          <w:tcW w:w="3206" w:type="dxa"/>
        </w:tcPr>
        <w:p>
          <w:pPr>
            <w:ind w:firstLine="360" w:firstLineChars="200"/>
            <w:rPr>
              <w:rFonts w:asciiTheme="minorEastAsia" w:hAnsiTheme="minorEastAsia"/>
              <w:sz w:val="18"/>
              <w:szCs w:val="18"/>
              <w:lang w:eastAsia="zh-CN"/>
            </w:rPr>
          </w:pPr>
        </w:p>
      </w:tc>
      <w:tc>
        <w:tcPr>
          <w:tcW w:w="3228" w:type="dxa"/>
        </w:tcPr>
        <w:p>
          <w:pPr>
            <w:jc w:val="right"/>
            <w:rPr>
              <w:rFonts w:asciiTheme="minorEastAsia" w:hAnsiTheme="minorEastAsia"/>
              <w:lang w:eastAsia="en-US"/>
            </w:rPr>
          </w:pPr>
          <w:r>
            <w:rPr>
              <w:rFonts w:asciiTheme="minorEastAsia" w:hAnsiTheme="minorEastAsia"/>
              <w:b/>
              <w:sz w:val="18"/>
              <w:szCs w:val="18"/>
              <w:lang w:eastAsia="en-US"/>
            </w:rPr>
            <w:fldChar w:fldCharType="begin"/>
          </w:r>
          <w:r>
            <w:rPr>
              <w:rFonts w:asciiTheme="minorEastAsia" w:hAnsiTheme="minorEastAsia"/>
              <w:b/>
              <w:sz w:val="18"/>
              <w:szCs w:val="18"/>
              <w:lang w:eastAsia="en-US"/>
            </w:rPr>
            <w:instrText xml:space="preserve">PAGE  \* Arabic  \* MERGEFORMAT</w:instrText>
          </w:r>
          <w:r>
            <w:rPr>
              <w:rFonts w:asciiTheme="minorEastAsia" w:hAnsiTheme="minorEastAsia"/>
              <w:b/>
              <w:sz w:val="18"/>
              <w:szCs w:val="18"/>
              <w:lang w:eastAsia="en-US"/>
            </w:rPr>
            <w:fldChar w:fldCharType="separate"/>
          </w:r>
          <w:r>
            <w:rPr>
              <w:rFonts w:asciiTheme="minorEastAsia" w:hAnsiTheme="minorEastAsia"/>
              <w:sz w:val="18"/>
              <w:szCs w:val="18"/>
              <w:lang w:eastAsia="en-US"/>
            </w:rPr>
            <w:t>4</w:t>
          </w:r>
          <w:r>
            <w:rPr>
              <w:rFonts w:asciiTheme="minorEastAsia" w:hAnsiTheme="minorEastAsia"/>
              <w:b/>
              <w:sz w:val="18"/>
              <w:szCs w:val="18"/>
              <w:lang w:eastAsia="en-US"/>
            </w:rPr>
            <w:fldChar w:fldCharType="end"/>
          </w:r>
          <w:r>
            <w:rPr>
              <w:rFonts w:asciiTheme="minorEastAsia" w:hAnsiTheme="minorEastAsia"/>
              <w:sz w:val="18"/>
              <w:szCs w:val="18"/>
              <w:lang w:eastAsia="en-US"/>
            </w:rPr>
            <w:t xml:space="preserve"> / </w:t>
          </w:r>
          <w:r>
            <w:rPr>
              <w:rFonts w:asciiTheme="minorEastAsia" w:hAnsiTheme="minorEastAsia"/>
              <w:sz w:val="18"/>
              <w:szCs w:val="18"/>
              <w:lang w:eastAsia="en-US"/>
            </w:rPr>
            <w:fldChar w:fldCharType="begin"/>
          </w:r>
          <w:r>
            <w:rPr>
              <w:rFonts w:asciiTheme="minorEastAsia" w:hAnsiTheme="minorEastAsia"/>
              <w:sz w:val="18"/>
              <w:szCs w:val="18"/>
              <w:lang w:eastAsia="zh-CN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18"/>
              <w:szCs w:val="18"/>
              <w:lang w:eastAsia="zh-CN"/>
            </w:rPr>
            <w:fldChar w:fldCharType="separate"/>
          </w:r>
          <w:r>
            <w:rPr>
              <w:rFonts w:asciiTheme="minorEastAsia" w:hAnsiTheme="minorEastAsia"/>
              <w:sz w:val="18"/>
              <w:szCs w:val="18"/>
              <w:lang w:eastAsia="en-US"/>
            </w:rPr>
            <w:t>4</w:t>
          </w:r>
          <w:r>
            <w:rPr>
              <w:rFonts w:asciiTheme="minorEastAsia" w:hAnsiTheme="minorEastAsia"/>
              <w:sz w:val="18"/>
              <w:szCs w:val="18"/>
              <w:lang w:eastAsia="en-US"/>
            </w:rPr>
            <w:fldChar w:fldCharType="end"/>
          </w:r>
        </w:p>
      </w:tc>
    </w:tr>
  </w:tbl>
  <w:p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8">
    <w:p>
      <w:pPr>
        <w:spacing w:line="240" w:lineRule="auto"/>
      </w:pPr>
      <w:r>
        <w:separator/>
      </w:r>
    </w:p>
  </w:footnote>
  <w:footnote w:type="continuationSeparator" w:id="9">
    <w:p>
      <w:pPr>
        <w:spacing w:line="240" w:lineRule="auto"/>
      </w:pPr>
      <w:r>
        <w:continuationSeparator/>
      </w:r>
    </w:p>
  </w:footnote>
  <w:footnote w:id="0">
    <w:p>
      <w:pPr>
        <w:pStyle w:val="13"/>
      </w:pPr>
      <w:r>
        <w:rPr>
          <w:rStyle w:val="23"/>
        </w:rPr>
        <w:footnoteRef/>
      </w:r>
      <w:r>
        <w:t xml:space="preserve"> </w:t>
      </w:r>
      <w:r>
        <w:rPr>
          <w:sz w:val="15"/>
          <w:szCs w:val="15"/>
        </w:rPr>
        <w:t>ID号：机器人的编号。同一台电梯有多个机器人进行访问时，机器人以ID号来区分电梯发送的指令</w:t>
      </w:r>
    </w:p>
  </w:footnote>
  <w:footnote w:id="1">
    <w:p>
      <w:pPr>
        <w:pStyle w:val="13"/>
        <w:rPr>
          <w:sz w:val="15"/>
          <w:szCs w:val="15"/>
        </w:rPr>
      </w:pPr>
      <w:r>
        <w:rPr>
          <w:rStyle w:val="23"/>
          <w:sz w:val="15"/>
          <w:szCs w:val="15"/>
          <w:vertAlign w:val="baseline"/>
        </w:rPr>
        <w:footnoteRef/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预留位</w:t>
      </w:r>
      <w:r>
        <w:rPr>
          <w:sz w:val="15"/>
          <w:szCs w:val="15"/>
        </w:rPr>
        <w:t>默认为</w:t>
      </w:r>
      <w:r>
        <w:rPr>
          <w:rFonts w:hint="eastAsia"/>
          <w:sz w:val="15"/>
          <w:szCs w:val="15"/>
        </w:rPr>
        <w:t>0</w:t>
      </w:r>
    </w:p>
  </w:footnote>
  <w:footnote w:id="2">
    <w:p>
      <w:pPr>
        <w:pStyle w:val="13"/>
        <w:rPr>
          <w:sz w:val="15"/>
          <w:szCs w:val="15"/>
        </w:rPr>
      </w:pPr>
      <w:r>
        <w:rPr>
          <w:rStyle w:val="23"/>
          <w:sz w:val="15"/>
          <w:szCs w:val="15"/>
          <w:vertAlign w:val="baseline"/>
        </w:rPr>
        <w:footnoteRef/>
      </w:r>
      <w:r>
        <w:rPr>
          <w:sz w:val="15"/>
          <w:szCs w:val="15"/>
        </w:rPr>
        <w:t xml:space="preserve"> 电梯所处楼层：该电梯的</w:t>
      </w:r>
      <w:r>
        <w:rPr>
          <w:rFonts w:hint="eastAsia"/>
          <w:sz w:val="15"/>
          <w:szCs w:val="15"/>
        </w:rPr>
        <w:t>停站层显示代码</w:t>
      </w:r>
      <w:r>
        <w:rPr>
          <w:sz w:val="15"/>
          <w:szCs w:val="15"/>
        </w:rPr>
        <w:t>，</w:t>
      </w:r>
      <w:r>
        <w:rPr>
          <w:rFonts w:hint="eastAsia"/>
          <w:sz w:val="15"/>
          <w:szCs w:val="15"/>
        </w:rPr>
        <w:t>电梯休眠时</w:t>
      </w:r>
      <w:r>
        <w:rPr>
          <w:sz w:val="15"/>
          <w:szCs w:val="15"/>
        </w:rPr>
        <w:t>，该数据可能为零</w:t>
      </w:r>
    </w:p>
  </w:footnote>
  <w:footnote w:id="3">
    <w:p>
      <w:pPr>
        <w:pStyle w:val="13"/>
      </w:pPr>
      <w:r>
        <w:rPr>
          <w:rStyle w:val="23"/>
          <w:sz w:val="15"/>
          <w:szCs w:val="15"/>
          <w:vertAlign w:val="baseline"/>
        </w:rPr>
        <w:footnoteRef/>
      </w:r>
      <w:r>
        <w:rPr>
          <w:rFonts w:hint="eastAsia"/>
          <w:sz w:val="15"/>
          <w:szCs w:val="15"/>
        </w:rPr>
        <w:t xml:space="preserve"> 机器人登记楼层</w:t>
      </w:r>
      <w:r>
        <w:rPr>
          <w:sz w:val="15"/>
          <w:szCs w:val="15"/>
        </w:rPr>
        <w:t>：</w:t>
      </w:r>
      <w:r>
        <w:rPr>
          <w:rFonts w:hint="eastAsia"/>
          <w:sz w:val="15"/>
          <w:szCs w:val="15"/>
        </w:rPr>
        <w:t>机器人发送</w:t>
      </w:r>
      <w:r>
        <w:rPr>
          <w:sz w:val="15"/>
          <w:szCs w:val="15"/>
        </w:rPr>
        <w:t>的数据为电梯</w:t>
      </w:r>
      <w:r>
        <w:rPr>
          <w:rFonts w:hint="eastAsia"/>
          <w:sz w:val="15"/>
          <w:szCs w:val="15"/>
        </w:rPr>
        <w:t>实际</w:t>
      </w:r>
      <w:r>
        <w:rPr>
          <w:sz w:val="15"/>
          <w:szCs w:val="15"/>
        </w:rPr>
        <w:t>停站</w:t>
      </w:r>
      <w:r>
        <w:rPr>
          <w:rFonts w:hint="eastAsia"/>
          <w:sz w:val="15"/>
          <w:szCs w:val="15"/>
        </w:rPr>
        <w:t>层</w:t>
      </w:r>
      <w:r>
        <w:rPr>
          <w:sz w:val="15"/>
          <w:szCs w:val="15"/>
        </w:rPr>
        <w:t>，</w:t>
      </w:r>
      <w:r>
        <w:rPr>
          <w:rFonts w:hint="eastAsia"/>
          <w:sz w:val="15"/>
          <w:szCs w:val="15"/>
        </w:rPr>
        <w:t>默认</w:t>
      </w:r>
      <w:r>
        <w:rPr>
          <w:sz w:val="15"/>
          <w:szCs w:val="15"/>
        </w:rPr>
        <w:t>为FF</w:t>
      </w:r>
      <w:r>
        <w:rPr>
          <w:rFonts w:hint="eastAsia"/>
          <w:sz w:val="15"/>
          <w:szCs w:val="15"/>
        </w:rPr>
        <w:t>（具体</w:t>
      </w:r>
      <w:r>
        <w:rPr>
          <w:sz w:val="15"/>
          <w:szCs w:val="15"/>
        </w:rPr>
        <w:t>参见附录）</w:t>
      </w:r>
      <w:r>
        <w:rPr>
          <w:rFonts w:hint="eastAsia"/>
          <w:sz w:val="15"/>
          <w:szCs w:val="15"/>
        </w:rPr>
        <w:t>；实际</w:t>
      </w:r>
      <w:r>
        <w:rPr>
          <w:sz w:val="15"/>
          <w:szCs w:val="15"/>
        </w:rPr>
        <w:t>停站</w:t>
      </w:r>
      <w:r>
        <w:rPr>
          <w:rFonts w:hint="eastAsia"/>
          <w:sz w:val="15"/>
          <w:szCs w:val="15"/>
        </w:rPr>
        <w:t>层</w:t>
      </w:r>
      <w:r>
        <w:rPr>
          <w:sz w:val="15"/>
          <w:szCs w:val="15"/>
        </w:rPr>
        <w:t>不超过</w:t>
      </w:r>
      <w:r>
        <w:rPr>
          <w:rFonts w:hint="eastAsia"/>
          <w:sz w:val="15"/>
          <w:szCs w:val="15"/>
        </w:rPr>
        <w:t>64层</w:t>
      </w:r>
      <w:r>
        <w:rPr>
          <w:sz w:val="15"/>
          <w:szCs w:val="15"/>
        </w:rPr>
        <w:t>，即数据范围为</w:t>
      </w:r>
      <w:r>
        <w:rPr>
          <w:rFonts w:hint="eastAsia"/>
          <w:sz w:val="15"/>
          <w:szCs w:val="15"/>
        </w:rPr>
        <w:t>0-63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wordWrap w:val="0"/>
      <w:jc w:val="right"/>
    </w:pPr>
    <w:r>
      <w:rPr>
        <w:b/>
        <w:color w:val="FF0000"/>
        <w:position w:val="6"/>
        <w:sz w:val="40"/>
      </w:rPr>
      <w:t>CONFIDENTIAL</w:t>
    </w:r>
  </w:p>
  <w:p>
    <w:pPr>
      <w:pStyle w:val="11"/>
      <w:tabs>
        <w:tab w:val="left" w:pos="5625"/>
        <w:tab w:val="right" w:pos="9332"/>
      </w:tabs>
      <w:rPr>
        <w:b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BB0BEA"/>
    <w:multiLevelType w:val="multilevel"/>
    <w:tmpl w:val="17BB0BE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7A0B9A"/>
    <w:multiLevelType w:val="multilevel"/>
    <w:tmpl w:val="197A0B9A"/>
    <w:lvl w:ilvl="0" w:tentative="0">
      <w:start w:val="1"/>
      <w:numFmt w:val="bullet"/>
      <w:pStyle w:val="38"/>
      <w:lvlText w:val=""/>
      <w:lvlJc w:val="left"/>
      <w:pPr>
        <w:ind w:left="142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2">
    <w:nsid w:val="1C285A31"/>
    <w:multiLevelType w:val="multilevel"/>
    <w:tmpl w:val="1C285A3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D60746E"/>
    <w:multiLevelType w:val="multilevel"/>
    <w:tmpl w:val="5D60746E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8"/>
    <w:footnote w:id="9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31F"/>
    <w:rsid w:val="00001652"/>
    <w:rsid w:val="00003969"/>
    <w:rsid w:val="00005271"/>
    <w:rsid w:val="0001305C"/>
    <w:rsid w:val="00015098"/>
    <w:rsid w:val="00024C8A"/>
    <w:rsid w:val="00032F37"/>
    <w:rsid w:val="0003533B"/>
    <w:rsid w:val="00041323"/>
    <w:rsid w:val="00042591"/>
    <w:rsid w:val="00047D7B"/>
    <w:rsid w:val="000500CF"/>
    <w:rsid w:val="00050B00"/>
    <w:rsid w:val="000514B9"/>
    <w:rsid w:val="00053D22"/>
    <w:rsid w:val="00061509"/>
    <w:rsid w:val="0006564A"/>
    <w:rsid w:val="000666DE"/>
    <w:rsid w:val="000710B9"/>
    <w:rsid w:val="000714C6"/>
    <w:rsid w:val="00071E0E"/>
    <w:rsid w:val="00074A42"/>
    <w:rsid w:val="00080532"/>
    <w:rsid w:val="00086986"/>
    <w:rsid w:val="00090E35"/>
    <w:rsid w:val="000A0C99"/>
    <w:rsid w:val="000A3F2E"/>
    <w:rsid w:val="000A5161"/>
    <w:rsid w:val="000A732F"/>
    <w:rsid w:val="000B3797"/>
    <w:rsid w:val="000C17DE"/>
    <w:rsid w:val="000C1E08"/>
    <w:rsid w:val="000D4A11"/>
    <w:rsid w:val="000D76FA"/>
    <w:rsid w:val="000D7743"/>
    <w:rsid w:val="000E271F"/>
    <w:rsid w:val="000F3258"/>
    <w:rsid w:val="000F6457"/>
    <w:rsid w:val="001013E4"/>
    <w:rsid w:val="00103C8A"/>
    <w:rsid w:val="00104951"/>
    <w:rsid w:val="00107133"/>
    <w:rsid w:val="001126D2"/>
    <w:rsid w:val="00113EC4"/>
    <w:rsid w:val="001158C5"/>
    <w:rsid w:val="00115E37"/>
    <w:rsid w:val="001379D3"/>
    <w:rsid w:val="0014672F"/>
    <w:rsid w:val="001528E4"/>
    <w:rsid w:val="00161CAC"/>
    <w:rsid w:val="001661B9"/>
    <w:rsid w:val="00167F0C"/>
    <w:rsid w:val="00181553"/>
    <w:rsid w:val="00182B4D"/>
    <w:rsid w:val="001866C1"/>
    <w:rsid w:val="00186D22"/>
    <w:rsid w:val="0019047F"/>
    <w:rsid w:val="00192447"/>
    <w:rsid w:val="001939DE"/>
    <w:rsid w:val="00195854"/>
    <w:rsid w:val="001A4589"/>
    <w:rsid w:val="001C3127"/>
    <w:rsid w:val="001D5336"/>
    <w:rsid w:val="001D70F0"/>
    <w:rsid w:val="001E50A8"/>
    <w:rsid w:val="001E5C2F"/>
    <w:rsid w:val="001E7CEF"/>
    <w:rsid w:val="001F2F52"/>
    <w:rsid w:val="001F6B7C"/>
    <w:rsid w:val="001F719F"/>
    <w:rsid w:val="001F761F"/>
    <w:rsid w:val="00200BBE"/>
    <w:rsid w:val="0020290D"/>
    <w:rsid w:val="002079C3"/>
    <w:rsid w:val="002147B2"/>
    <w:rsid w:val="00217DDC"/>
    <w:rsid w:val="002232B9"/>
    <w:rsid w:val="00226B66"/>
    <w:rsid w:val="00227888"/>
    <w:rsid w:val="00235C00"/>
    <w:rsid w:val="00237A93"/>
    <w:rsid w:val="00250DD5"/>
    <w:rsid w:val="00262F9F"/>
    <w:rsid w:val="00270545"/>
    <w:rsid w:val="00270889"/>
    <w:rsid w:val="00280BF0"/>
    <w:rsid w:val="00280D96"/>
    <w:rsid w:val="002851C0"/>
    <w:rsid w:val="00285CB3"/>
    <w:rsid w:val="002862C4"/>
    <w:rsid w:val="002A3B39"/>
    <w:rsid w:val="002B1EF4"/>
    <w:rsid w:val="002B52D0"/>
    <w:rsid w:val="002C06C7"/>
    <w:rsid w:val="002C3075"/>
    <w:rsid w:val="002D0AE3"/>
    <w:rsid w:val="002D1D4F"/>
    <w:rsid w:val="002D5692"/>
    <w:rsid w:val="002D5707"/>
    <w:rsid w:val="002E2DD1"/>
    <w:rsid w:val="002E6DDF"/>
    <w:rsid w:val="002E7CBA"/>
    <w:rsid w:val="002F0A9B"/>
    <w:rsid w:val="002F33FB"/>
    <w:rsid w:val="002F4F0D"/>
    <w:rsid w:val="00315D77"/>
    <w:rsid w:val="00322528"/>
    <w:rsid w:val="00326381"/>
    <w:rsid w:val="00326A19"/>
    <w:rsid w:val="00335D51"/>
    <w:rsid w:val="00341969"/>
    <w:rsid w:val="00341D97"/>
    <w:rsid w:val="00357214"/>
    <w:rsid w:val="003671CD"/>
    <w:rsid w:val="003705EC"/>
    <w:rsid w:val="00370EF4"/>
    <w:rsid w:val="003742C2"/>
    <w:rsid w:val="00377C0A"/>
    <w:rsid w:val="00380850"/>
    <w:rsid w:val="00383B08"/>
    <w:rsid w:val="00390EAB"/>
    <w:rsid w:val="00391B4F"/>
    <w:rsid w:val="003924FD"/>
    <w:rsid w:val="00392CA4"/>
    <w:rsid w:val="003A101A"/>
    <w:rsid w:val="003A6C44"/>
    <w:rsid w:val="003A7B69"/>
    <w:rsid w:val="003B3CD3"/>
    <w:rsid w:val="003C023C"/>
    <w:rsid w:val="003C28D5"/>
    <w:rsid w:val="003C4139"/>
    <w:rsid w:val="003D2B45"/>
    <w:rsid w:val="003D4A4C"/>
    <w:rsid w:val="003D4FC0"/>
    <w:rsid w:val="003E411F"/>
    <w:rsid w:val="003E722A"/>
    <w:rsid w:val="003F2C59"/>
    <w:rsid w:val="003F57C5"/>
    <w:rsid w:val="004007F6"/>
    <w:rsid w:val="00410711"/>
    <w:rsid w:val="00414644"/>
    <w:rsid w:val="00415E4B"/>
    <w:rsid w:val="004256E2"/>
    <w:rsid w:val="00427B4E"/>
    <w:rsid w:val="00431506"/>
    <w:rsid w:val="0044251A"/>
    <w:rsid w:val="00464EDB"/>
    <w:rsid w:val="00466AC9"/>
    <w:rsid w:val="004824EE"/>
    <w:rsid w:val="0048254B"/>
    <w:rsid w:val="004828E3"/>
    <w:rsid w:val="004837A2"/>
    <w:rsid w:val="00483BC8"/>
    <w:rsid w:val="004867B1"/>
    <w:rsid w:val="00491107"/>
    <w:rsid w:val="004972CC"/>
    <w:rsid w:val="004A039D"/>
    <w:rsid w:val="004B13E2"/>
    <w:rsid w:val="004C5DCF"/>
    <w:rsid w:val="004C6F7F"/>
    <w:rsid w:val="004D3561"/>
    <w:rsid w:val="004D65F2"/>
    <w:rsid w:val="004D70CC"/>
    <w:rsid w:val="004E44C1"/>
    <w:rsid w:val="004E6A63"/>
    <w:rsid w:val="004F04B6"/>
    <w:rsid w:val="004F3A9A"/>
    <w:rsid w:val="004F7CE5"/>
    <w:rsid w:val="005031D9"/>
    <w:rsid w:val="005112C3"/>
    <w:rsid w:val="00520355"/>
    <w:rsid w:val="00521C97"/>
    <w:rsid w:val="00523CB5"/>
    <w:rsid w:val="00527A92"/>
    <w:rsid w:val="00542FB5"/>
    <w:rsid w:val="00544436"/>
    <w:rsid w:val="00545037"/>
    <w:rsid w:val="005456FF"/>
    <w:rsid w:val="005466FC"/>
    <w:rsid w:val="0055624F"/>
    <w:rsid w:val="00557FAB"/>
    <w:rsid w:val="00565811"/>
    <w:rsid w:val="005709B6"/>
    <w:rsid w:val="005733F0"/>
    <w:rsid w:val="00575640"/>
    <w:rsid w:val="00576223"/>
    <w:rsid w:val="0057641F"/>
    <w:rsid w:val="00581D0F"/>
    <w:rsid w:val="00585735"/>
    <w:rsid w:val="0058576A"/>
    <w:rsid w:val="0059307D"/>
    <w:rsid w:val="00593C6A"/>
    <w:rsid w:val="00593DAF"/>
    <w:rsid w:val="0059455A"/>
    <w:rsid w:val="00597156"/>
    <w:rsid w:val="005A1660"/>
    <w:rsid w:val="005A274F"/>
    <w:rsid w:val="005B1575"/>
    <w:rsid w:val="005B1867"/>
    <w:rsid w:val="005B2838"/>
    <w:rsid w:val="005B2ED7"/>
    <w:rsid w:val="005B64EC"/>
    <w:rsid w:val="005B73A5"/>
    <w:rsid w:val="005C3110"/>
    <w:rsid w:val="005D61B0"/>
    <w:rsid w:val="005E510F"/>
    <w:rsid w:val="005F1DF2"/>
    <w:rsid w:val="00603C6A"/>
    <w:rsid w:val="006060E9"/>
    <w:rsid w:val="006064C9"/>
    <w:rsid w:val="00611EFD"/>
    <w:rsid w:val="006148DE"/>
    <w:rsid w:val="0061547F"/>
    <w:rsid w:val="0061664A"/>
    <w:rsid w:val="006251CC"/>
    <w:rsid w:val="00627FD8"/>
    <w:rsid w:val="00637324"/>
    <w:rsid w:val="00637E37"/>
    <w:rsid w:val="00644090"/>
    <w:rsid w:val="00650A81"/>
    <w:rsid w:val="00651A41"/>
    <w:rsid w:val="00652133"/>
    <w:rsid w:val="00652504"/>
    <w:rsid w:val="00661A87"/>
    <w:rsid w:val="0066717D"/>
    <w:rsid w:val="00672C3A"/>
    <w:rsid w:val="00676F00"/>
    <w:rsid w:val="00677111"/>
    <w:rsid w:val="0068547B"/>
    <w:rsid w:val="0069031F"/>
    <w:rsid w:val="00691B25"/>
    <w:rsid w:val="00693236"/>
    <w:rsid w:val="006A3FDC"/>
    <w:rsid w:val="006A601D"/>
    <w:rsid w:val="006B5C3B"/>
    <w:rsid w:val="006C5325"/>
    <w:rsid w:val="006D08F2"/>
    <w:rsid w:val="006D1CDF"/>
    <w:rsid w:val="006D5378"/>
    <w:rsid w:val="006D7F10"/>
    <w:rsid w:val="006E1AF8"/>
    <w:rsid w:val="006E1E1F"/>
    <w:rsid w:val="006E2278"/>
    <w:rsid w:val="006F232C"/>
    <w:rsid w:val="006F614C"/>
    <w:rsid w:val="00714CB4"/>
    <w:rsid w:val="0071745F"/>
    <w:rsid w:val="007318A6"/>
    <w:rsid w:val="00734715"/>
    <w:rsid w:val="00736850"/>
    <w:rsid w:val="00744C23"/>
    <w:rsid w:val="00750727"/>
    <w:rsid w:val="007530AA"/>
    <w:rsid w:val="007613E9"/>
    <w:rsid w:val="007620FC"/>
    <w:rsid w:val="0076558A"/>
    <w:rsid w:val="0077482F"/>
    <w:rsid w:val="00775405"/>
    <w:rsid w:val="007773C1"/>
    <w:rsid w:val="007816DB"/>
    <w:rsid w:val="007838B3"/>
    <w:rsid w:val="007A0F5F"/>
    <w:rsid w:val="007B0FC8"/>
    <w:rsid w:val="007B6C4F"/>
    <w:rsid w:val="007C024B"/>
    <w:rsid w:val="007C4349"/>
    <w:rsid w:val="007C7A76"/>
    <w:rsid w:val="007D4913"/>
    <w:rsid w:val="007D510E"/>
    <w:rsid w:val="007E0FC5"/>
    <w:rsid w:val="007E41D8"/>
    <w:rsid w:val="007E50D3"/>
    <w:rsid w:val="007E573E"/>
    <w:rsid w:val="00803E05"/>
    <w:rsid w:val="00804075"/>
    <w:rsid w:val="00812FDE"/>
    <w:rsid w:val="00813769"/>
    <w:rsid w:val="008256BD"/>
    <w:rsid w:val="00841D2D"/>
    <w:rsid w:val="00846988"/>
    <w:rsid w:val="00846AD0"/>
    <w:rsid w:val="008569A0"/>
    <w:rsid w:val="00856F51"/>
    <w:rsid w:val="008636CD"/>
    <w:rsid w:val="00865A63"/>
    <w:rsid w:val="008710CD"/>
    <w:rsid w:val="00871C20"/>
    <w:rsid w:val="0087250D"/>
    <w:rsid w:val="00876F2B"/>
    <w:rsid w:val="008806E0"/>
    <w:rsid w:val="008911A2"/>
    <w:rsid w:val="008971D8"/>
    <w:rsid w:val="0089721D"/>
    <w:rsid w:val="008A2BB4"/>
    <w:rsid w:val="008B0BAF"/>
    <w:rsid w:val="008B2401"/>
    <w:rsid w:val="008B3749"/>
    <w:rsid w:val="008B790D"/>
    <w:rsid w:val="008C4BCB"/>
    <w:rsid w:val="008D122A"/>
    <w:rsid w:val="008D4695"/>
    <w:rsid w:val="008D4814"/>
    <w:rsid w:val="008D6BF2"/>
    <w:rsid w:val="008E11D6"/>
    <w:rsid w:val="008E55A7"/>
    <w:rsid w:val="008E5AC6"/>
    <w:rsid w:val="008E5AF4"/>
    <w:rsid w:val="008F1C82"/>
    <w:rsid w:val="008F1FAD"/>
    <w:rsid w:val="008F4B32"/>
    <w:rsid w:val="009005CA"/>
    <w:rsid w:val="00901982"/>
    <w:rsid w:val="00905E94"/>
    <w:rsid w:val="0090654B"/>
    <w:rsid w:val="00912591"/>
    <w:rsid w:val="009132F0"/>
    <w:rsid w:val="009153A6"/>
    <w:rsid w:val="009264F3"/>
    <w:rsid w:val="00930E89"/>
    <w:rsid w:val="00931A72"/>
    <w:rsid w:val="00941BAE"/>
    <w:rsid w:val="00947337"/>
    <w:rsid w:val="0095315B"/>
    <w:rsid w:val="00956471"/>
    <w:rsid w:val="00956E50"/>
    <w:rsid w:val="0096127C"/>
    <w:rsid w:val="00963F53"/>
    <w:rsid w:val="009660A9"/>
    <w:rsid w:val="00967F3D"/>
    <w:rsid w:val="0097658C"/>
    <w:rsid w:val="00977569"/>
    <w:rsid w:val="00981CB5"/>
    <w:rsid w:val="0098231F"/>
    <w:rsid w:val="00984413"/>
    <w:rsid w:val="009865D8"/>
    <w:rsid w:val="00987092"/>
    <w:rsid w:val="00990937"/>
    <w:rsid w:val="00990DD3"/>
    <w:rsid w:val="0099501A"/>
    <w:rsid w:val="009A0D8E"/>
    <w:rsid w:val="009A2385"/>
    <w:rsid w:val="009B403B"/>
    <w:rsid w:val="009C2D1B"/>
    <w:rsid w:val="009D16F5"/>
    <w:rsid w:val="009D6DDC"/>
    <w:rsid w:val="009D780F"/>
    <w:rsid w:val="009E15E4"/>
    <w:rsid w:val="009E16E4"/>
    <w:rsid w:val="009E3176"/>
    <w:rsid w:val="00A014AC"/>
    <w:rsid w:val="00A02059"/>
    <w:rsid w:val="00A03BA3"/>
    <w:rsid w:val="00A04248"/>
    <w:rsid w:val="00A15799"/>
    <w:rsid w:val="00A23C26"/>
    <w:rsid w:val="00A26913"/>
    <w:rsid w:val="00A2710B"/>
    <w:rsid w:val="00A32E84"/>
    <w:rsid w:val="00A35818"/>
    <w:rsid w:val="00A36E4D"/>
    <w:rsid w:val="00A4566F"/>
    <w:rsid w:val="00A50B1A"/>
    <w:rsid w:val="00A50B66"/>
    <w:rsid w:val="00A55261"/>
    <w:rsid w:val="00A61A91"/>
    <w:rsid w:val="00A64D8F"/>
    <w:rsid w:val="00A74748"/>
    <w:rsid w:val="00A81CFF"/>
    <w:rsid w:val="00A8454F"/>
    <w:rsid w:val="00A91A65"/>
    <w:rsid w:val="00A91DD4"/>
    <w:rsid w:val="00A94027"/>
    <w:rsid w:val="00A95CA2"/>
    <w:rsid w:val="00AA102F"/>
    <w:rsid w:val="00AA2470"/>
    <w:rsid w:val="00AA2EFF"/>
    <w:rsid w:val="00AA66E0"/>
    <w:rsid w:val="00AB2FCB"/>
    <w:rsid w:val="00AC02DD"/>
    <w:rsid w:val="00AC3B08"/>
    <w:rsid w:val="00AC3F65"/>
    <w:rsid w:val="00AF2E48"/>
    <w:rsid w:val="00B01899"/>
    <w:rsid w:val="00B05DE1"/>
    <w:rsid w:val="00B107FF"/>
    <w:rsid w:val="00B136FF"/>
    <w:rsid w:val="00B16F77"/>
    <w:rsid w:val="00B17771"/>
    <w:rsid w:val="00B20097"/>
    <w:rsid w:val="00B21259"/>
    <w:rsid w:val="00B21753"/>
    <w:rsid w:val="00B229F0"/>
    <w:rsid w:val="00B25D78"/>
    <w:rsid w:val="00B45329"/>
    <w:rsid w:val="00B50AAD"/>
    <w:rsid w:val="00B85B77"/>
    <w:rsid w:val="00B9225A"/>
    <w:rsid w:val="00B97DAF"/>
    <w:rsid w:val="00BA0A54"/>
    <w:rsid w:val="00BA0E62"/>
    <w:rsid w:val="00BB06DF"/>
    <w:rsid w:val="00BB1B7B"/>
    <w:rsid w:val="00BB2602"/>
    <w:rsid w:val="00BC2057"/>
    <w:rsid w:val="00BC48B9"/>
    <w:rsid w:val="00BD2420"/>
    <w:rsid w:val="00BF0F3D"/>
    <w:rsid w:val="00BF66D7"/>
    <w:rsid w:val="00C04E12"/>
    <w:rsid w:val="00C1251F"/>
    <w:rsid w:val="00C146F8"/>
    <w:rsid w:val="00C149C4"/>
    <w:rsid w:val="00C14EA3"/>
    <w:rsid w:val="00C16C2A"/>
    <w:rsid w:val="00C276A3"/>
    <w:rsid w:val="00C302BD"/>
    <w:rsid w:val="00C33060"/>
    <w:rsid w:val="00C33A5A"/>
    <w:rsid w:val="00C4501D"/>
    <w:rsid w:val="00C46507"/>
    <w:rsid w:val="00C51240"/>
    <w:rsid w:val="00C52378"/>
    <w:rsid w:val="00C74A75"/>
    <w:rsid w:val="00C82A10"/>
    <w:rsid w:val="00C87CD5"/>
    <w:rsid w:val="00C941F8"/>
    <w:rsid w:val="00CA0A82"/>
    <w:rsid w:val="00CA29DB"/>
    <w:rsid w:val="00CA6F88"/>
    <w:rsid w:val="00CB47F7"/>
    <w:rsid w:val="00CD2B51"/>
    <w:rsid w:val="00CD4C56"/>
    <w:rsid w:val="00CE0F2F"/>
    <w:rsid w:val="00CE3476"/>
    <w:rsid w:val="00CE7EC1"/>
    <w:rsid w:val="00CF374D"/>
    <w:rsid w:val="00CF4735"/>
    <w:rsid w:val="00CF7BAD"/>
    <w:rsid w:val="00D02564"/>
    <w:rsid w:val="00D02E78"/>
    <w:rsid w:val="00D36E6D"/>
    <w:rsid w:val="00D42CF7"/>
    <w:rsid w:val="00D4584E"/>
    <w:rsid w:val="00D478D4"/>
    <w:rsid w:val="00D50DF4"/>
    <w:rsid w:val="00D56B2A"/>
    <w:rsid w:val="00D56E38"/>
    <w:rsid w:val="00D601D2"/>
    <w:rsid w:val="00D72C7A"/>
    <w:rsid w:val="00D76201"/>
    <w:rsid w:val="00D86D7F"/>
    <w:rsid w:val="00D86DE0"/>
    <w:rsid w:val="00D976AC"/>
    <w:rsid w:val="00DA0B94"/>
    <w:rsid w:val="00DA2A53"/>
    <w:rsid w:val="00DA61E4"/>
    <w:rsid w:val="00DC3A38"/>
    <w:rsid w:val="00DC7016"/>
    <w:rsid w:val="00DE3659"/>
    <w:rsid w:val="00DE5F33"/>
    <w:rsid w:val="00DE7A25"/>
    <w:rsid w:val="00DF5377"/>
    <w:rsid w:val="00DF673E"/>
    <w:rsid w:val="00E01499"/>
    <w:rsid w:val="00E1651B"/>
    <w:rsid w:val="00E3027B"/>
    <w:rsid w:val="00E43112"/>
    <w:rsid w:val="00E44165"/>
    <w:rsid w:val="00E519F6"/>
    <w:rsid w:val="00E6182F"/>
    <w:rsid w:val="00E673DF"/>
    <w:rsid w:val="00E6758C"/>
    <w:rsid w:val="00E725EC"/>
    <w:rsid w:val="00E7364C"/>
    <w:rsid w:val="00E76B60"/>
    <w:rsid w:val="00E81A64"/>
    <w:rsid w:val="00E83200"/>
    <w:rsid w:val="00E8549D"/>
    <w:rsid w:val="00E9102F"/>
    <w:rsid w:val="00E91E4D"/>
    <w:rsid w:val="00EA0F8D"/>
    <w:rsid w:val="00EA198C"/>
    <w:rsid w:val="00EA2AB0"/>
    <w:rsid w:val="00EB3607"/>
    <w:rsid w:val="00EB44AF"/>
    <w:rsid w:val="00EB4BD4"/>
    <w:rsid w:val="00EB6A9A"/>
    <w:rsid w:val="00ED64E2"/>
    <w:rsid w:val="00EE363D"/>
    <w:rsid w:val="00EE427F"/>
    <w:rsid w:val="00EE64EE"/>
    <w:rsid w:val="00EF74A5"/>
    <w:rsid w:val="00F038E9"/>
    <w:rsid w:val="00F134F6"/>
    <w:rsid w:val="00F1367C"/>
    <w:rsid w:val="00F1421D"/>
    <w:rsid w:val="00F174B7"/>
    <w:rsid w:val="00F2259C"/>
    <w:rsid w:val="00F22CA2"/>
    <w:rsid w:val="00F2328A"/>
    <w:rsid w:val="00F23ACF"/>
    <w:rsid w:val="00F243C2"/>
    <w:rsid w:val="00F2616A"/>
    <w:rsid w:val="00F27A76"/>
    <w:rsid w:val="00F309DC"/>
    <w:rsid w:val="00F32EF4"/>
    <w:rsid w:val="00F34E68"/>
    <w:rsid w:val="00F3508E"/>
    <w:rsid w:val="00F41728"/>
    <w:rsid w:val="00F42F23"/>
    <w:rsid w:val="00F55302"/>
    <w:rsid w:val="00F60227"/>
    <w:rsid w:val="00F6312D"/>
    <w:rsid w:val="00F649AE"/>
    <w:rsid w:val="00F65BEE"/>
    <w:rsid w:val="00F669F1"/>
    <w:rsid w:val="00F6772B"/>
    <w:rsid w:val="00F67EFA"/>
    <w:rsid w:val="00F7088C"/>
    <w:rsid w:val="00F77E32"/>
    <w:rsid w:val="00F81F25"/>
    <w:rsid w:val="00F84D32"/>
    <w:rsid w:val="00F8653F"/>
    <w:rsid w:val="00F94AA9"/>
    <w:rsid w:val="00F96C21"/>
    <w:rsid w:val="00FB33B0"/>
    <w:rsid w:val="00FC026F"/>
    <w:rsid w:val="00FD1064"/>
    <w:rsid w:val="00FD4249"/>
    <w:rsid w:val="00FD4914"/>
    <w:rsid w:val="00FD5402"/>
    <w:rsid w:val="00FD642C"/>
    <w:rsid w:val="00FE4DE1"/>
    <w:rsid w:val="00FF28CC"/>
    <w:rsid w:val="010D22B0"/>
    <w:rsid w:val="01DE3C8D"/>
    <w:rsid w:val="03BF367A"/>
    <w:rsid w:val="047C1D7F"/>
    <w:rsid w:val="07E37FA6"/>
    <w:rsid w:val="0E5B0122"/>
    <w:rsid w:val="108425EB"/>
    <w:rsid w:val="121936A6"/>
    <w:rsid w:val="145D63C8"/>
    <w:rsid w:val="154A6291"/>
    <w:rsid w:val="16421954"/>
    <w:rsid w:val="17877441"/>
    <w:rsid w:val="18CD34DA"/>
    <w:rsid w:val="199622CC"/>
    <w:rsid w:val="1ABB2E87"/>
    <w:rsid w:val="1B6C6E72"/>
    <w:rsid w:val="1DE06B25"/>
    <w:rsid w:val="1EB2357B"/>
    <w:rsid w:val="1F3D625D"/>
    <w:rsid w:val="1FEF6634"/>
    <w:rsid w:val="210D1FA4"/>
    <w:rsid w:val="217A76E2"/>
    <w:rsid w:val="22356F80"/>
    <w:rsid w:val="230F1D12"/>
    <w:rsid w:val="25A540B7"/>
    <w:rsid w:val="28F15EEB"/>
    <w:rsid w:val="2917173F"/>
    <w:rsid w:val="2B9B08C3"/>
    <w:rsid w:val="2BA44CE8"/>
    <w:rsid w:val="2C0F348C"/>
    <w:rsid w:val="2E137465"/>
    <w:rsid w:val="2F2B1725"/>
    <w:rsid w:val="2FB948F5"/>
    <w:rsid w:val="31B813C4"/>
    <w:rsid w:val="31F60ED4"/>
    <w:rsid w:val="326F1964"/>
    <w:rsid w:val="345E75C0"/>
    <w:rsid w:val="37947EDD"/>
    <w:rsid w:val="37A73319"/>
    <w:rsid w:val="38C420A7"/>
    <w:rsid w:val="3DE1147E"/>
    <w:rsid w:val="3FEF1A77"/>
    <w:rsid w:val="41C117DC"/>
    <w:rsid w:val="447D38BF"/>
    <w:rsid w:val="44C03B9F"/>
    <w:rsid w:val="483757AE"/>
    <w:rsid w:val="489F3BA3"/>
    <w:rsid w:val="4A8A7984"/>
    <w:rsid w:val="4BC07A0A"/>
    <w:rsid w:val="4D9E57B0"/>
    <w:rsid w:val="4E1515CB"/>
    <w:rsid w:val="4E1D0210"/>
    <w:rsid w:val="514C08B3"/>
    <w:rsid w:val="5227531A"/>
    <w:rsid w:val="524B7534"/>
    <w:rsid w:val="54695C40"/>
    <w:rsid w:val="56182B5A"/>
    <w:rsid w:val="58AE7DFB"/>
    <w:rsid w:val="590F78AA"/>
    <w:rsid w:val="5CC518CD"/>
    <w:rsid w:val="5EEF0BCA"/>
    <w:rsid w:val="60B01F30"/>
    <w:rsid w:val="61BB57DA"/>
    <w:rsid w:val="623747F6"/>
    <w:rsid w:val="681328ED"/>
    <w:rsid w:val="6CA13EAD"/>
    <w:rsid w:val="71BD0837"/>
    <w:rsid w:val="78E9090E"/>
    <w:rsid w:val="7A347B67"/>
    <w:rsid w:val="7A6A5374"/>
    <w:rsid w:val="7B453FF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numPr>
        <w:ilvl w:val="0"/>
        <w:numId w:val="1"/>
      </w:numPr>
      <w:spacing w:beforeLines="100" w:afterLines="100"/>
      <w:jc w:val="left"/>
      <w:outlineLvl w:val="0"/>
    </w:pPr>
    <w:rPr>
      <w:rFonts w:ascii="黑体" w:eastAsia="黑体"/>
      <w:iCs/>
    </w:rPr>
  </w:style>
  <w:style w:type="paragraph" w:styleId="3">
    <w:name w:val="heading 2"/>
    <w:basedOn w:val="1"/>
    <w:next w:val="1"/>
    <w:link w:val="28"/>
    <w:unhideWhenUsed/>
    <w:qFormat/>
    <w:uiPriority w:val="0"/>
    <w:pPr>
      <w:numPr>
        <w:ilvl w:val="1"/>
        <w:numId w:val="1"/>
      </w:numPr>
      <w:ind w:left="200" w:leftChars="200"/>
      <w:jc w:val="left"/>
      <w:outlineLvl w:val="1"/>
    </w:pPr>
    <w:rPr>
      <w:rFonts w:ascii="黑体" w:hAnsi="Cambria"/>
      <w:bCs/>
      <w:szCs w:val="32"/>
    </w:rPr>
  </w:style>
  <w:style w:type="paragraph" w:styleId="4">
    <w:name w:val="heading 3"/>
    <w:basedOn w:val="1"/>
    <w:next w:val="1"/>
    <w:link w:val="29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ind w:hanging="350" w:hangingChars="350"/>
      <w:outlineLvl w:val="2"/>
    </w:pPr>
    <w:rPr>
      <w:rFonts w:ascii="黑体"/>
      <w:bCs/>
      <w:szCs w:val="32"/>
    </w:rPr>
  </w:style>
  <w:style w:type="paragraph" w:styleId="5">
    <w:name w:val="heading 4"/>
    <w:basedOn w:val="1"/>
    <w:next w:val="1"/>
    <w:link w:val="30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ind w:left="795" w:leftChars="795" w:hanging="441" w:hangingChars="441"/>
      <w:outlineLvl w:val="3"/>
    </w:pPr>
    <w:rPr>
      <w:rFonts w:ascii="黑体" w:hAnsi="Cambria"/>
      <w:bCs/>
      <w:szCs w:val="28"/>
    </w:rPr>
  </w:style>
  <w:style w:type="paragraph" w:styleId="6">
    <w:name w:val="heading 5"/>
    <w:basedOn w:val="1"/>
    <w:next w:val="1"/>
    <w:link w:val="31"/>
    <w:unhideWhenUsed/>
    <w:qFormat/>
    <w:uiPriority w:val="9"/>
    <w:pPr>
      <w:keepNext/>
      <w:keepLines/>
      <w:spacing w:before="280" w:after="290" w:line="376" w:lineRule="auto"/>
      <w:ind w:left="315" w:hanging="315" w:hangingChars="150"/>
      <w:outlineLvl w:val="4"/>
    </w:pPr>
    <w:rPr>
      <w:rFonts w:ascii="黑体" w:cs="宋体"/>
      <w:bCs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annotation text"/>
    <w:basedOn w:val="1"/>
    <w:link w:val="39"/>
    <w:semiHidden/>
    <w:unhideWhenUsed/>
    <w:qFormat/>
    <w:uiPriority w:val="99"/>
    <w:pPr>
      <w:jc w:val="left"/>
    </w:pPr>
  </w:style>
  <w:style w:type="paragraph" w:styleId="9">
    <w:name w:val="endnote text"/>
    <w:basedOn w:val="1"/>
    <w:link w:val="42"/>
    <w:semiHidden/>
    <w:unhideWhenUsed/>
    <w:qFormat/>
    <w:uiPriority w:val="99"/>
    <w:pPr>
      <w:snapToGrid w:val="0"/>
      <w:jc w:val="left"/>
    </w:pPr>
  </w:style>
  <w:style w:type="paragraph" w:styleId="10">
    <w:name w:val="Balloon Text"/>
    <w:basedOn w:val="1"/>
    <w:link w:val="27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1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footnote text"/>
    <w:basedOn w:val="1"/>
    <w:link w:val="41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paragraph" w:styleId="15">
    <w:name w:val="annotation subject"/>
    <w:basedOn w:val="8"/>
    <w:next w:val="8"/>
    <w:link w:val="40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rPr>
      <w:rFonts w:ascii="Times New Roman" w:hAnsi="Times New Roman" w:cs="Times New Roman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29" w:type="dxa"/>
        <w:left w:w="29" w:type="dxa"/>
        <w:bottom w:w="29" w:type="dxa"/>
        <w:right w:w="29" w:type="dxa"/>
      </w:tblCellMar>
    </w:tblPr>
    <w:trPr>
      <w:cantSplit/>
    </w:trPr>
  </w:style>
  <w:style w:type="character" w:styleId="19">
    <w:name w:val="Strong"/>
    <w:basedOn w:val="18"/>
    <w:qFormat/>
    <w:uiPriority w:val="0"/>
    <w:rPr>
      <w:b/>
      <w:bCs/>
    </w:rPr>
  </w:style>
  <w:style w:type="character" w:styleId="20">
    <w:name w:val="endnote reference"/>
    <w:basedOn w:val="18"/>
    <w:semiHidden/>
    <w:unhideWhenUsed/>
    <w:qFormat/>
    <w:uiPriority w:val="99"/>
    <w:rPr>
      <w:vertAlign w:val="superscript"/>
    </w:rPr>
  </w:style>
  <w:style w:type="character" w:styleId="21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8"/>
    <w:semiHidden/>
    <w:unhideWhenUsed/>
    <w:qFormat/>
    <w:uiPriority w:val="99"/>
    <w:rPr>
      <w:vertAlign w:val="superscript"/>
    </w:rPr>
  </w:style>
  <w:style w:type="character" w:customStyle="1" w:styleId="24">
    <w:name w:val="页眉 Char"/>
    <w:basedOn w:val="18"/>
    <w:link w:val="12"/>
    <w:qFormat/>
    <w:uiPriority w:val="99"/>
    <w:rPr>
      <w:sz w:val="18"/>
      <w:szCs w:val="18"/>
    </w:rPr>
  </w:style>
  <w:style w:type="character" w:customStyle="1" w:styleId="25">
    <w:name w:val="页脚 Char"/>
    <w:basedOn w:val="18"/>
    <w:link w:val="11"/>
    <w:qFormat/>
    <w:uiPriority w:val="99"/>
    <w:rPr>
      <w:sz w:val="18"/>
      <w:szCs w:val="18"/>
    </w:rPr>
  </w:style>
  <w:style w:type="character" w:customStyle="1" w:styleId="26">
    <w:name w:val="标题 1 Char"/>
    <w:basedOn w:val="18"/>
    <w:link w:val="2"/>
    <w:qFormat/>
    <w:uiPriority w:val="0"/>
    <w:rPr>
      <w:rFonts w:ascii="黑体" w:hAnsi="Times New Roman" w:eastAsia="黑体" w:cs="Times New Roman"/>
      <w:iCs/>
      <w:kern w:val="2"/>
      <w:sz w:val="21"/>
      <w:szCs w:val="24"/>
    </w:rPr>
  </w:style>
  <w:style w:type="character" w:customStyle="1" w:styleId="27">
    <w:name w:val="批注框文本 Char"/>
    <w:basedOn w:val="18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标题 2 Char"/>
    <w:basedOn w:val="18"/>
    <w:link w:val="3"/>
    <w:qFormat/>
    <w:uiPriority w:val="0"/>
    <w:rPr>
      <w:rFonts w:ascii="黑体" w:hAnsi="Cambria" w:eastAsia="宋体" w:cs="Times New Roman"/>
      <w:bCs/>
      <w:kern w:val="2"/>
      <w:sz w:val="21"/>
      <w:szCs w:val="32"/>
    </w:rPr>
  </w:style>
  <w:style w:type="character" w:customStyle="1" w:styleId="29">
    <w:name w:val="标题 3 Char"/>
    <w:basedOn w:val="18"/>
    <w:link w:val="4"/>
    <w:qFormat/>
    <w:uiPriority w:val="0"/>
    <w:rPr>
      <w:rFonts w:ascii="黑体" w:hAnsi="Times New Roman" w:eastAsia="宋体" w:cs="Times New Roman"/>
      <w:bCs/>
      <w:kern w:val="2"/>
      <w:sz w:val="21"/>
      <w:szCs w:val="32"/>
    </w:rPr>
  </w:style>
  <w:style w:type="character" w:customStyle="1" w:styleId="30">
    <w:name w:val="标题 4 Char"/>
    <w:basedOn w:val="18"/>
    <w:link w:val="5"/>
    <w:qFormat/>
    <w:uiPriority w:val="0"/>
    <w:rPr>
      <w:rFonts w:ascii="黑体" w:hAnsi="Cambria" w:eastAsia="宋体" w:cs="Times New Roman"/>
      <w:bCs/>
      <w:kern w:val="2"/>
      <w:sz w:val="21"/>
      <w:szCs w:val="28"/>
    </w:rPr>
  </w:style>
  <w:style w:type="character" w:customStyle="1" w:styleId="31">
    <w:name w:val="标题 5 Char"/>
    <w:basedOn w:val="18"/>
    <w:link w:val="6"/>
    <w:qFormat/>
    <w:uiPriority w:val="9"/>
    <w:rPr>
      <w:rFonts w:ascii="黑体" w:hAnsi="Times New Roman" w:eastAsia="宋体" w:cs="宋体"/>
      <w:bCs/>
      <w:szCs w:val="28"/>
    </w:rPr>
  </w:style>
  <w:style w:type="paragraph" w:customStyle="1" w:styleId="32">
    <w:name w:val="zhengwen444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3">
    <w:name w:val="style81"/>
    <w:basedOn w:val="18"/>
    <w:qFormat/>
    <w:uiPriority w:val="0"/>
    <w:rPr>
      <w:color w:val="000000"/>
      <w:sz w:val="21"/>
      <w:szCs w:val="21"/>
    </w:rPr>
  </w:style>
  <w:style w:type="paragraph" w:customStyle="1" w:styleId="34">
    <w:name w:val="无间隔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5">
    <w:name w:val="List Paragraph"/>
    <w:basedOn w:val="1"/>
    <w:qFormat/>
    <w:uiPriority w:val="34"/>
    <w:pPr>
      <w:spacing w:line="240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36">
    <w:name w:val="TableHead"/>
    <w:basedOn w:val="1"/>
    <w:qFormat/>
    <w:uiPriority w:val="1"/>
    <w:pPr>
      <w:widowControl/>
      <w:tabs>
        <w:tab w:val="left" w:pos="1440"/>
        <w:tab w:val="left" w:pos="2268"/>
        <w:tab w:val="left" w:pos="4678"/>
      </w:tabs>
      <w:spacing w:line="180" w:lineRule="exact"/>
      <w:jc w:val="center"/>
    </w:pPr>
    <w:rPr>
      <w:rFonts w:ascii="Arial" w:hAnsi="Arial" w:eastAsiaTheme="minorEastAsia"/>
      <w:b/>
      <w:kern w:val="0"/>
      <w:sz w:val="18"/>
      <w:szCs w:val="20"/>
      <w:lang w:eastAsia="en-US"/>
    </w:rPr>
  </w:style>
  <w:style w:type="paragraph" w:customStyle="1" w:styleId="37">
    <w:name w:val="TableText"/>
    <w:basedOn w:val="1"/>
    <w:qFormat/>
    <w:uiPriority w:val="0"/>
    <w:pPr>
      <w:widowControl/>
      <w:tabs>
        <w:tab w:val="left" w:pos="1440"/>
        <w:tab w:val="left" w:pos="2268"/>
        <w:tab w:val="left" w:pos="4678"/>
      </w:tabs>
      <w:spacing w:line="240" w:lineRule="auto"/>
      <w:ind w:left="72" w:right="72"/>
      <w:jc w:val="left"/>
    </w:pPr>
    <w:rPr>
      <w:rFonts w:ascii="Arial" w:hAnsi="Arial" w:eastAsiaTheme="minorEastAsia"/>
      <w:kern w:val="0"/>
      <w:sz w:val="18"/>
      <w:szCs w:val="20"/>
      <w:lang w:eastAsia="en-US"/>
    </w:rPr>
  </w:style>
  <w:style w:type="paragraph" w:customStyle="1" w:styleId="38">
    <w:name w:val="TableBullet"/>
    <w:basedOn w:val="37"/>
    <w:qFormat/>
    <w:uiPriority w:val="1"/>
    <w:pPr>
      <w:numPr>
        <w:ilvl w:val="0"/>
        <w:numId w:val="2"/>
      </w:numPr>
      <w:ind w:left="288" w:hanging="144"/>
    </w:pPr>
  </w:style>
  <w:style w:type="character" w:customStyle="1" w:styleId="39">
    <w:name w:val="批注文字 Char"/>
    <w:basedOn w:val="18"/>
    <w:link w:val="8"/>
    <w:semiHidden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0">
    <w:name w:val="批注主题 Char"/>
    <w:basedOn w:val="39"/>
    <w:link w:val="15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character" w:customStyle="1" w:styleId="41">
    <w:name w:val="脚注文本 Char"/>
    <w:basedOn w:val="18"/>
    <w:link w:val="13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42">
    <w:name w:val="尾注文本 Char"/>
    <w:basedOn w:val="18"/>
    <w:link w:val="9"/>
    <w:semiHidden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6ED9934-9BF4-4D46-8375-5635FF35CA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234</Words>
  <Characters>1335</Characters>
  <Lines>11</Lines>
  <Paragraphs>3</Paragraphs>
  <TotalTime>5</TotalTime>
  <ScaleCrop>false</ScaleCrop>
  <LinksUpToDate>false</LinksUpToDate>
  <CharactersWithSpaces>1566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2018-05-21T04:32:00Z</dcterms:created>
  <dc:creator>雨林木风</dc:creator>
  <cp:lastModifiedBy>FENGYP</cp:lastModifiedBy>
  <cp:lastPrinted>2017-09-08T04:47:00Z</cp:lastPrinted>
  <dcterms:modified xsi:type="dcterms:W3CDTF">2021-07-06T06:53:44Z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09C1801D7E6549AD9A1C86738AEF2941</vt:lpwstr>
  </property>
</Properties>
</file>