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CYMATICS WITH MACHINES</w:t>
      </w:r>
    </w:p>
    <w:p>
      <w:pPr>
        <w:jc w:val="center"/>
      </w:pPr>
      <w:r>
        <w:rPr>
          <w:i/>
          <w:color w:val="555555"/>
          <w:sz w:val="24"/>
        </w:rPr>
        <w:t>Cimática com Máquinas</w:t>
      </w:r>
    </w:p>
    <w:p>
      <w:pPr>
        <w:jc w:val="center"/>
      </w:pPr>
      <w:r>
        <w:rPr>
          <w:i/>
          <w:sz w:val="22"/>
        </w:rPr>
        <w:t>A bilingual public exhibition on the mathematics of sound, visible form, and resonance</w:t>
      </w:r>
    </w:p>
    <w:p>
      <w:pPr>
        <w:jc w:val="center"/>
      </w:pPr>
      <w:r>
        <w:rPr>
          <w:color w:val="555555"/>
          <w:sz w:val="20"/>
        </w:rPr>
        <w:t>XII Bienal da Sociedade Brasileira de Matemática — UFRN, Natal, Brazil — 2026</w:t>
        <w:br/>
        <w:t>Exhibition Track T10 — Geometry and Topology</w:t>
      </w:r>
    </w:p>
    <w:p>
      <w:pPr>
        <w:jc w:val="center"/>
      </w:pPr>
      <w:r>
        <w:rPr>
          <w:color w:val="555555"/>
          <w:sz w:val="20"/>
        </w:rPr>
        <w:t>Pablo Nogueira Grossi  |  G6 LLC, Newark, NJ  |  grossi-ops.github.io/Atratores</w:t>
      </w:r>
    </w:p>
    <w:p/>
    <w:p>
      <w:pPr>
        <w:spacing w:before="120" w:after="40"/>
      </w:pPr>
      <w:r>
        <w:rPr>
          <w:b/>
          <w:color w:val="2E5C8A"/>
          <w:sz w:val="24"/>
        </w:rPr>
        <w:t>WHY THIS IS SUBMITTED AS A WORK SAMPLE</w:t>
      </w:r>
    </w:p>
    <w:p>
      <w:pPr>
        <w:spacing w:after="80"/>
      </w:pPr>
      <w:r>
        <w:t>This document describes Cymatics with Machines, an interactive public exhibition designed and produced by the applicant for the XII Biennial of the Brazilian Mathematical Society (SBM) at the Federal University of Rio Grande do Norte (UFRN), Natal, Brazil, 2026. It is the closest precedent in the applicant's practice to the Cajueiro Workshops project proposed for NYFA fiscal sponsorship: a bilingual, community-facing, hands-on exhibition built around research, delivered to a non-specialist audience, and released with free educational materials.</w:t>
      </w:r>
    </w:p>
    <w:p>
      <w:pPr>
        <w:spacing w:before="120" w:after="40"/>
      </w:pPr>
      <w:r>
        <w:rPr>
          <w:b/>
          <w:color w:val="2E5C8A"/>
          <w:sz w:val="24"/>
        </w:rPr>
        <w:t>WHAT THE EXHIBITION IS</w:t>
      </w:r>
    </w:p>
    <w:p>
      <w:pPr>
        <w:spacing w:after="80"/>
      </w:pPr>
      <w:r>
        <w:t>Cymatics with Machines transforms a classical phenomenon — Chladni figures — into a tactile experience. Fine sand placed on a vibrating metal plate migrates on its own toward the plate's nodal lines. The patterns that emerge are a direct, visible image of the plate's vibrational modes: mathematics becoming form in front of the visitor, without equations.</w:t>
      </w:r>
    </w:p>
    <w:p>
      <w:pPr>
        <w:spacing w:after="80"/>
      </w:pPr>
      <w:r>
        <w:t>The exhibition is guided by one accessible question: what does mathematics select when it vibrates? Prerequisites: none. Primary audience: undergraduate students, math and physics teachers, and general public curious about the relationship between sound, geometry, and space. Delivered bilingually in Portuguese and English.</w:t>
      </w:r>
    </w:p>
    <w:p>
      <w:pPr>
        <w:spacing w:before="120" w:after="40"/>
      </w:pPr>
      <w:r>
        <w:rPr>
          <w:b/>
          <w:color w:val="2E5C8A"/>
          <w:sz w:val="24"/>
        </w:rPr>
        <w:t>THE FIVE STATIONS</w:t>
      </w:r>
    </w:p>
    <w:p>
      <w:pPr>
        <w:spacing w:after="80"/>
      </w:pPr>
      <w:r>
        <w:t>The exhibition occupies a 2 × 1 m table and hosts 3–4 visitors simultaneously.</w:t>
      </w:r>
    </w:p>
    <w:p>
      <w:pPr>
        <w:pStyle w:val="ListBullet"/>
        <w:spacing w:after="20"/>
      </w:pPr>
      <w:r>
        <w:t>M1 — Physical Chladni plate. A 0.5 mm stainless steel plate mounted on a subwoofer driven by a signal generator (100 Hz – 2 kHz). Visitors sweep the frequency and watch the sand-patterns form.</w:t>
      </w:r>
    </w:p>
    <w:p>
      <w:pPr>
        <w:pStyle w:val="ListBullet"/>
        <w:spacing w:after="20"/>
      </w:pPr>
      <w:r>
        <w:t>M2 — Digital Chladni generator. A browser-based simulator (the Chladni module of the applicant's dm3 Soundworks suite) on a tablet. Visitors pick a vibrational mode and see the resulting pattern drawn in real time; the tablet can send the corresponding frequency back to M1.</w:t>
      </w:r>
    </w:p>
    <w:p>
      <w:pPr>
        <w:pStyle w:val="ListBullet"/>
        <w:spacing w:after="20"/>
      </w:pPr>
      <w:r>
        <w:t>M3 — Binaural beats. Two slightly-different sine tones produce an audible beat. A hands-on illustration of superposition and of what our ears actually measure.</w:t>
      </w:r>
    </w:p>
    <w:p>
      <w:pPr>
        <w:pStyle w:val="ListBullet"/>
        <w:spacing w:after="20"/>
      </w:pPr>
      <w:r>
        <w:t>M4 — One-dimensional resonant chamber. A 30 cm acrylic tube with foam granules, visualizing longitudinal modes in a simpler geometry.</w:t>
      </w:r>
    </w:p>
    <w:p>
      <w:pPr>
        <w:pStyle w:val="ListBullet"/>
        <w:spacing w:after="20"/>
      </w:pPr>
      <w:r>
        <w:t>M5 — 'Draw Your Drum.' A tablet with a lightweight finite-element solver. Visitors trace a shape with their finger and watch the first ten nodal patterns appear. Sits alongside a classical pair of non-identical shapes that produce identical spectra — the Gordon–Webb–Wolpert isospectral drums — so visitors physically see that two different shapes can sound the same.</w:t>
      </w:r>
    </w:p>
    <w:p>
      <w:pPr>
        <w:spacing w:before="120" w:after="40"/>
      </w:pPr>
      <w:r>
        <w:rPr>
          <w:b/>
          <w:color w:val="2E5C8A"/>
          <w:sz w:val="24"/>
        </w:rPr>
        <w:t>CULTURAL CONTEXT PANEL</w:t>
      </w:r>
    </w:p>
    <w:p>
      <w:pPr>
        <w:spacing w:after="80"/>
      </w:pPr>
      <w:r>
        <w:t>A short curated panel dedicates space to resonant architecture in Brazilian tradition — the baroque churches of Ouro Preto, the Teatro da Paz in Belém, the berimbau as a string-gourd-coin resonator — alongside archaeoacoustic sites such as Chavín de Huántar and the Hypogeum of Ħal Saflieni. This material is framed as active research rather than consensus. The consensus point the exhibition makes is that the same mathematics of eigenfunctions of the Laplacian describes the sound of these spaces as faithfully as it describes a vibrating plate on a table.</w:t>
      </w:r>
    </w:p>
    <w:p>
      <w:pPr>
        <w:spacing w:before="120" w:after="40"/>
      </w:pPr>
      <w:r>
        <w:rPr>
          <w:b/>
          <w:color w:val="2E5C8A"/>
          <w:sz w:val="24"/>
        </w:rPr>
        <w:t>PUBLIC DELIVERABLES (ALL CC BY 4.0, FREELY DISTRIBUTED)</w:t>
      </w:r>
    </w:p>
    <w:p>
      <w:pPr>
        <w:pStyle w:val="ListBullet"/>
        <w:spacing w:after="20"/>
      </w:pPr>
      <w:r>
        <w:t>Cymatics in the Classroom — a bilingual booklet of fifteen reproducible experiments for secondary and undergraduate teaching, released open-access on Zenodo.</w:t>
      </w:r>
    </w:p>
    <w:p>
      <w:pPr>
        <w:pStyle w:val="ListBullet"/>
        <w:spacing w:after="20"/>
      </w:pPr>
      <w:r>
        <w:t>Open-source code for the finite-element solver powering Station M5, with full reproduction instructions.</w:t>
      </w:r>
    </w:p>
    <w:p>
      <w:pPr>
        <w:pStyle w:val="ListBullet"/>
        <w:spacing w:after="20"/>
      </w:pPr>
      <w:r>
        <w:t>Open-hardware plans for the physical Chladni plate — parts list, budget in BRL, half-day build guide.</w:t>
      </w:r>
    </w:p>
    <w:p>
      <w:pPr>
        <w:pStyle w:val="ListBullet"/>
        <w:spacing w:after="20"/>
      </w:pPr>
      <w:r>
        <w:t>Video documentation of visitor-generated figures, curated and published after the event.</w:t>
      </w:r>
    </w:p>
    <w:p>
      <w:pPr>
        <w:spacing w:before="120" w:after="40"/>
      </w:pPr>
      <w:r>
        <w:rPr>
          <w:b/>
          <w:color w:val="2E5C8A"/>
          <w:sz w:val="24"/>
        </w:rPr>
        <w:t>HOW THIS RELATES TO CAJUEIRO WORKSHOPS</w:t>
      </w:r>
    </w:p>
    <w:p>
      <w:pPr>
        <w:spacing w:after="80"/>
      </w:pPr>
      <w:r>
        <w:t>Cajueiro Workshops is not a departure from the applicant's practice. It is the U.S. community-based instantiation of the same approach already being delivered through this exhibition in Brazil. The two projects share the same core method and the same deliverable logic:</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sz w:val="19"/>
              </w:rPr>
              <w:t>Design dimension</w:t>
            </w:r>
          </w:p>
        </w:tc>
        <w:tc>
          <w:tcPr>
            <w:tcW w:type="dxa" w:w="3264"/>
          </w:tcPr>
          <w:p>
            <w:r>
              <w:rPr>
                <w:sz w:val="19"/>
              </w:rPr>
              <w:t>Cymatics with Machines (Brazil, 2026)</w:t>
            </w:r>
          </w:p>
        </w:tc>
        <w:tc>
          <w:tcPr>
            <w:tcW w:type="dxa" w:w="3264"/>
          </w:tcPr>
          <w:p>
            <w:r>
              <w:rPr>
                <w:sz w:val="19"/>
              </w:rPr>
              <w:t>Cajueiro Workshops (New Jersey, 2026–27)</w:t>
            </w:r>
          </w:p>
        </w:tc>
      </w:tr>
      <w:tr>
        <w:tc>
          <w:tcPr>
            <w:tcW w:type="dxa" w:w="3264"/>
          </w:tcPr>
          <w:p>
            <w:r>
              <w:rPr>
                <w:sz w:val="19"/>
              </w:rPr>
              <w:t>Setting</w:t>
            </w:r>
          </w:p>
        </w:tc>
        <w:tc>
          <w:tcPr>
            <w:tcW w:type="dxa" w:w="3264"/>
          </w:tcPr>
          <w:p>
            <w:r>
              <w:rPr>
                <w:sz w:val="19"/>
              </w:rPr>
              <w:t>Public interactive exhibition at a national academic biennial</w:t>
            </w:r>
          </w:p>
        </w:tc>
        <w:tc>
          <w:tcPr>
            <w:tcW w:type="dxa" w:w="3264"/>
          </w:tcPr>
          <w:p>
            <w:r>
              <w:rPr>
                <w:sz w:val="19"/>
              </w:rPr>
              <w:t>Public workshops and installation at a community language school</w:t>
            </w:r>
          </w:p>
        </w:tc>
      </w:tr>
      <w:tr>
        <w:tc>
          <w:tcPr>
            <w:tcW w:type="dxa" w:w="3264"/>
          </w:tcPr>
          <w:p>
            <w:r>
              <w:rPr>
                <w:sz w:val="19"/>
              </w:rPr>
              <w:t>Audience</w:t>
            </w:r>
          </w:p>
        </w:tc>
        <w:tc>
          <w:tcPr>
            <w:tcW w:type="dxa" w:w="3264"/>
          </w:tcPr>
          <w:p>
            <w:r>
              <w:rPr>
                <w:sz w:val="19"/>
              </w:rPr>
              <w:t>Students, educators, general public</w:t>
            </w:r>
          </w:p>
        </w:tc>
        <w:tc>
          <w:tcPr>
            <w:tcW w:type="dxa" w:w="3264"/>
          </w:tcPr>
          <w:p>
            <w:r>
              <w:rPr>
                <w:sz w:val="19"/>
              </w:rPr>
              <w:t>Adult immigrant learners and Newark/Elizabeth community</w:t>
            </w:r>
          </w:p>
        </w:tc>
      </w:tr>
      <w:tr>
        <w:tc>
          <w:tcPr>
            <w:tcW w:type="dxa" w:w="3264"/>
          </w:tcPr>
          <w:p>
            <w:r>
              <w:rPr>
                <w:sz w:val="19"/>
              </w:rPr>
              <w:t>Language</w:t>
            </w:r>
          </w:p>
        </w:tc>
        <w:tc>
          <w:tcPr>
            <w:tcW w:type="dxa" w:w="3264"/>
          </w:tcPr>
          <w:p>
            <w:r>
              <w:rPr>
                <w:sz w:val="19"/>
              </w:rPr>
              <w:t>Bilingual Portuguese / English</w:t>
            </w:r>
          </w:p>
        </w:tc>
        <w:tc>
          <w:tcPr>
            <w:tcW w:type="dxa" w:w="3264"/>
          </w:tcPr>
          <w:p>
            <w:r>
              <w:rPr>
                <w:sz w:val="19"/>
              </w:rPr>
              <w:t>Bilingual Portuguese / English</w:t>
            </w:r>
          </w:p>
        </w:tc>
      </w:tr>
      <w:tr>
        <w:tc>
          <w:tcPr>
            <w:tcW w:type="dxa" w:w="3264"/>
          </w:tcPr>
          <w:p>
            <w:r>
              <w:rPr>
                <w:sz w:val="19"/>
              </w:rPr>
              <w:t>Public deliverable</w:t>
            </w:r>
          </w:p>
        </w:tc>
        <w:tc>
          <w:tcPr>
            <w:tcW w:type="dxa" w:w="3264"/>
          </w:tcPr>
          <w:p>
            <w:r>
              <w:rPr>
                <w:sz w:val="19"/>
              </w:rPr>
              <w:t>Free bilingual booklet, open code, open hardware</w:t>
            </w:r>
          </w:p>
        </w:tc>
        <w:tc>
          <w:tcPr>
            <w:tcW w:type="dxa" w:w="3264"/>
          </w:tcPr>
          <w:p>
            <w:r>
              <w:rPr>
                <w:sz w:val="19"/>
              </w:rPr>
              <w:t>Free bilingual community report and documentation</w:t>
            </w:r>
          </w:p>
        </w:tc>
      </w:tr>
    </w:tbl>
    <w:p/>
    <w:p>
      <w:pPr>
        <w:spacing w:after="80"/>
      </w:pPr>
      <w:r>
        <w:t>The Cajueiro cajueiro — a Lusophone cultural image, the cashew tree as a space of gathering — plays the same role in the NJ project that the physical Chladni plate plays here: a concrete, visible center around which participants gather, contribute, and see how their individual contributions form a shared pattern.</w:t>
      </w:r>
    </w:p>
    <w:p>
      <w:pPr>
        <w:spacing w:before="120" w:after="40"/>
      </w:pPr>
      <w:r>
        <w:rPr>
          <w:b/>
          <w:color w:val="2E5C8A"/>
          <w:sz w:val="24"/>
        </w:rPr>
        <w:t>WIDER PRACTICE AND LONG-HORIZON CONTEXT</w:t>
      </w:r>
    </w:p>
    <w:p>
      <w:pPr>
        <w:spacing w:after="80"/>
      </w:pPr>
      <w:r>
        <w:t>Cymatics with Machines and Cajueiro Workshops are two public outputs of a longer practice. The digital companion for the exhibition — dm3 Soundworks (totogt.github.io/AXLE/impa-portal.html) — is part of a larger open platform the applicant is developing for research-driven public work at the intersection of mathematics, sound, and visual form. The long-range ambition is a permanent physical home for the dm3 machines; NYFA fiscal sponsorship for Cajueiro Workshops is the first formal grant step along that longer path.</w:t>
      </w:r>
    </w:p>
    <w:p>
      <w:pPr>
        <w:spacing w:before="120" w:after="40"/>
      </w:pPr>
      <w:r>
        <w:rPr>
          <w:b/>
          <w:color w:val="2E5C8A"/>
          <w:sz w:val="24"/>
        </w:rPr>
        <w:t>BOTTOM LINE FOR THE PANEL</w:t>
      </w:r>
    </w:p>
    <w:p>
      <w:pPr>
        <w:spacing w:after="80"/>
      </w:pPr>
      <w:r>
        <w:t>What the panel is looking at is not a math proof. It is the applicant's evidence of a public-facing, bilingual, research-to-form practice, already being delivered to a Brazilian public through this exhibition. Cajueiro Workshops takes the same method — take serious research, translate it into a visible, participatory form, deliver it free in two languages — and brings it to immigrant adult learners in Newark and Elizabeth, NJ.</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