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200" w:before="960"/>
        <w:jc w:val="center"/>
      </w:pPr>
      <w:r>
        <w:rPr>
          <w:rFonts w:ascii="Times New Roman" w:cs="Times New Roman" w:eastAsia="Times New Roman" w:hAnsi="Times New Roman"/>
          <w:b/>
          <w:bCs/>
          <w:color w:val="1A3A6B"/>
          <w:sz w:val="40"/>
          <w:szCs w:val="40"/>
        </w:rPr>
        <w:t xml:space="preserve">Generative Contact Mechanics:</w:t>
      </w:r>
    </w:p>
    <w:p>
      <w:pPr>
        <w:spacing w:after="200" w:before="0"/>
        <w:jc w:val="center"/>
      </w:pPr>
      <w:r>
        <w:rPr>
          <w:rFonts w:ascii="Times New Roman" w:cs="Times New Roman" w:eastAsia="Times New Roman" w:hAnsi="Times New Roman"/>
          <w:b/>
          <w:bCs/>
          <w:color w:val="1A3A6B"/>
          <w:sz w:val="36"/>
          <w:szCs w:val="36"/>
        </w:rPr>
        <w:t xml:space="preserve">The Generative Time Circuit Theorem (GTCT),</w:t>
      </w:r>
    </w:p>
    <w:p>
      <w:pPr>
        <w:spacing w:after="480" w:before="0"/>
        <w:jc w:val="center"/>
      </w:pPr>
      <w:r>
        <w:rPr>
          <w:rFonts w:ascii="Times New Roman" w:cs="Times New Roman" w:eastAsia="Times New Roman" w:hAnsi="Times New Roman"/>
          <w:b/>
          <w:bCs/>
          <w:color w:val="1A3A6B"/>
          <w:sz w:val="36"/>
          <w:szCs w:val="36"/>
        </w:rPr>
        <w:t xml:space="preserve">Helical Stability, and Spiral Return in dm³ Systems</w:t>
      </w:r>
    </w:p>
    <w:p>
      <w:pPr>
        <w:spacing w:after="80" w:before="80"/>
        <w:jc w:val="center"/>
      </w:pPr>
      <w:r>
        <w:rPr>
          <w:rFonts w:ascii="Times New Roman" w:cs="Times New Roman" w:eastAsia="Times New Roman" w:hAnsi="Times New Roman"/>
          <w:b/>
          <w:bCs/>
          <w:sz w:val="28"/>
          <w:szCs w:val="28"/>
        </w:rPr>
        <w:t xml:space="preserve">Pablo Nogueira Grossi</w:t>
      </w:r>
    </w:p>
    <w:p>
      <w:pPr>
        <w:spacing w:after="40" w:before="40"/>
        <w:jc w:val="center"/>
      </w:pPr>
      <w:r>
        <w:rPr>
          <w:rFonts w:ascii="Times New Roman" w:cs="Times New Roman" w:eastAsia="Times New Roman" w:hAnsi="Times New Roman"/>
          <w:sz w:val="24"/>
          <w:szCs w:val="24"/>
        </w:rPr>
        <w:t xml:space="preserve">G6 LLC, Newark, NJ, USA</w:t>
      </w:r>
    </w:p>
    <w:p>
      <w:pPr>
        <w:spacing w:after="400" w:before="40"/>
        <w:jc w:val="center"/>
      </w:pPr>
      <w:r>
        <w:rPr>
          <w:rFonts w:ascii="Times New Roman" w:cs="Times New Roman" w:eastAsia="Times New Roman" w:hAnsi="Times New Roman"/>
          <w:i/>
          <w:iCs/>
          <w:sz w:val="24"/>
          <w:szCs w:val="24"/>
        </w:rPr>
        <w:t xml:space="preserve">pablogrossi@hotmail.com</w:t>
      </w:r>
    </w:p>
    <w:p>
      <w:pPr>
        <w:spacing w:after="80" w:before="40"/>
        <w:jc w:val="center"/>
      </w:pPr>
      <w:r>
        <w:rPr>
          <w:rFonts w:ascii="Times New Roman" w:cs="Times New Roman" w:eastAsia="Times New Roman" w:hAnsi="Times New Roman"/>
          <w:i/>
          <w:iCs/>
          <w:color w:val="555555"/>
          <w:sz w:val="22"/>
          <w:szCs w:val="22"/>
        </w:rPr>
        <w:t xml:space="preserve">Submitted to: Nuclear Physics B</w:t>
      </w:r>
    </w:p>
    <w:p>
      <w:pPr>
        <w:spacing w:after="800" w:before="40"/>
        <w:jc w:val="center"/>
      </w:pPr>
      <w:r>
        <w:rPr>
          <w:rFonts w:ascii="Times New Roman" w:cs="Times New Roman" w:eastAsia="Times New Roman" w:hAnsi="Times New Roman"/>
          <w:color w:val="555555"/>
          <w:sz w:val="22"/>
          <w:szCs w:val="22"/>
        </w:rPr>
        <w:t xml:space="preserve">Manuscript ID: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60"/>
              <w:left w:type="dxa" w:w="200"/>
              <w:bottom w:type="dxa" w:w="160"/>
              <w:right w:type="dxa" w:w="200"/>
            </w:tcMar>
          </w:tcPr>
          <w:p>
            <w:pPr>
              <w:spacing w:after="100" w:before="60"/>
            </w:pPr>
            <w:r>
              <w:rPr>
                <w:rFonts w:ascii="Times New Roman" w:cs="Times New Roman" w:eastAsia="Times New Roman" w:hAnsi="Times New Roman"/>
                <w:b/>
                <w:bCs/>
                <w:color w:val="1A3A6B"/>
                <w:sz w:val="24"/>
                <w:szCs w:val="24"/>
              </w:rPr>
              <w:t xml:space="preserve">ABSTRACT</w:t>
            </w:r>
          </w:p>
          <w:p>
            <w:pPr>
              <w:spacing w:after="60" w:before="60" w:line="320"/>
              <w:jc w:val="both"/>
            </w:pPr>
            <w:r>
              <w:rPr>
                <w:rFonts w:ascii="Times New Roman" w:cs="Times New Roman" w:eastAsia="Times New Roman" w:hAnsi="Times New Roman"/>
                <w:sz w:val="23"/>
                <w:szCs w:val="23"/>
              </w:rPr>
              <w:t xml:space="preserve">We prove the Generative Time Circuit Theorem (GTCT, Theorem T1): in the TOGT operator algebra on a contact manifold, time is the generative circuit operator T — the fifth stage of the operator chain C → K → F → U → T → source. The g-series is a taxonomy of behavioral regimes indexed by the labels g⁰, g², g⁶, g³³, g⁶⁴. For any dm³ system that has completed at least g³³ = 33 generative cycles, the return x₀ → G⁶⁴(x₀) → x₀’ with x₀’ ≠ x₀ is a spiral. The action variable z accumulates dissipation along the return, encoding the thermodynamic cost in the contact form α = dz − λ. Structural stability holds within the dm³ radius ε₀ = 1/3. Connections to quantum delayed-choice experiments, the two-state vector formalism, and entanglement swapping are presented as open research problems. Three independent falsifiability conditions and six graded exercises are provided.</w:t>
            </w:r>
          </w:p>
          <w:p>
            <w:pPr>
              <w:spacing w:after="80" w:before="80"/>
            </w:pPr>
            <w:r>
              <w:t xml:space="preserve"/>
            </w:r>
          </w:p>
          <w:p>
            <w:pPr>
              <w:spacing w:after="60" w:before="60"/>
            </w:pPr>
            <w:r>
              <w:rPr>
                <w:rFonts w:ascii="Times New Roman" w:cs="Times New Roman" w:eastAsia="Times New Roman" w:hAnsi="Times New Roman"/>
                <w:b/>
                <w:bCs/>
                <w:sz w:val="23"/>
                <w:szCs w:val="23"/>
              </w:rPr>
              <w:t xml:space="preserve">Keywords: </w:t>
            </w:r>
            <w:r>
              <w:rPr>
                <w:rFonts w:ascii="Segoe UI Symbol" w:cs="Segoe UI Symbol" w:eastAsia="Segoe UI Symbol" w:hAnsi="Segoe UI Symbol"/>
                <w:i/>
                <w:iCs/>
                <w:sz w:val="23"/>
                <w:szCs w:val="23"/>
              </w:rPr>
              <w:t xml:space="preserve">Generative operator chain • Contact geometry • dm³ • Time operator • Spiral return • Stability threshold • Generative Time Circuit Theorem</w:t>
            </w:r>
          </w:p>
        </w:tc>
      </w:tr>
    </w:tbl>
    <w:p>
      <w:r>
        <w:br w:type="page"/>
      </w:r>
    </w:p>
    <w:p>
      <w:pPr>
        <w:pStyle w:val="Heading1"/>
      </w:pPr>
      <w:r>
        <w:rPr>
          <w:rFonts w:ascii="Times New Roman" w:cs="Times New Roman" w:eastAsia="Times New Roman" w:hAnsi="Times New Roman"/>
          <w:b/>
          <w:bCs/>
          <w:color w:val="1A3A6B"/>
          <w:sz w:val="32"/>
          <w:szCs w:val="32"/>
        </w:rPr>
        <w:t xml:space="preserve">1. Introduction</w:t>
      </w:r>
    </w:p>
    <w:p>
      <w:pPr>
        <w:spacing w:after="120" w:before="120" w:line="360"/>
        <w:ind w:firstLine="720"/>
        <w:jc w:val="both"/>
      </w:pPr>
      <w:r>
        <w:rPr>
          <w:rFonts w:ascii="Times New Roman" w:cs="Times New Roman" w:eastAsia="Times New Roman" w:hAnsi="Times New Roman"/>
          <w:sz w:val="24"/>
          <w:szCs w:val="24"/>
        </w:rPr>
        <w:t xml:space="preserve">The study of dynamical systems on contact manifolds has a long history rooted in classical mechanics, thermodynamics, and symplectic geometry. Contact geometry, as a natural odd-dimensional counterpart to symplectic geometry, provides the appropriate mathematical setting for systems in which energy dissipation plays a structural role — a role that symplectic frameworks, by their nature as preserving volume, cannot accommodate. The Principia Orthogona series exploits this dissipative structure to construct a rigorous theory of generative transitions.</w:t>
      </w:r>
    </w:p>
    <w:p>
      <w:pPr>
        <w:spacing w:after="120" w:before="120" w:line="360"/>
        <w:ind w:firstLine="720"/>
        <w:jc w:val="both"/>
      </w:pPr>
      <w:r>
        <w:rPr>
          <w:rFonts w:ascii="Times New Roman" w:cs="Times New Roman" w:eastAsia="Times New Roman" w:hAnsi="Times New Roman"/>
          <w:sz w:val="24"/>
          <w:szCs w:val="24"/>
        </w:rPr>
        <w:t xml:space="preserve">The central object of this series is the five-stage operator chain C → K → F → U → T, which acts on a contact manifold M equipped with a contact form α. Each operator in this chain performs a geometrically and dynamically distinct transformation: Compression (C) reduces complexity through a contractive injection; Constraint (K) imposes curvature boundaries that decrease the system's potential; Fold (F) introduces the first instance of self-reference through a non-injective branching map; Unfolding (U) releases latent potential by driving orbits toward a fixed point; and Time (T) closes the circuit, serving as the generative circuit operator that reconnects the output of U to the source.</w:t>
      </w:r>
    </w:p>
    <w:p>
      <w:pPr>
        <w:spacing w:after="120" w:before="120" w:line="360"/>
        <w:ind w:firstLine="720"/>
        <w:jc w:val="both"/>
      </w:pPr>
      <w:r>
        <w:rPr>
          <w:rFonts w:ascii="Times New Roman" w:cs="Times New Roman" w:eastAsia="Times New Roman" w:hAnsi="Times New Roman"/>
          <w:sz w:val="24"/>
          <w:szCs w:val="24"/>
        </w:rPr>
        <w:t xml:space="preserve">Volumes I and II of the Principia Orthogona series formally established the properties of the first four operators C, K, F, and U, and machine-verified their composition in the Lean 4 theorem prover within the AXLE repository. The present paper is devoted to Theorem T1, the Generative Time Circuit Theorem (GTCT), which asserts the existence, uniqueness, and structural stability of the fifth operator T within the TOGT operator algebra. This is not merely a closure result: it constitutes a proof that time, in the dm³ framework, is not a background parameter but an active operator that accumulates the thermodynamic cost of each generative cycle in the contact action variable z.</w:t>
      </w:r>
    </w:p>
    <w:p>
      <w:pPr>
        <w:spacing w:after="120" w:before="120" w:line="360"/>
        <w:ind w:firstLine="720"/>
        <w:jc w:val="both"/>
      </w:pPr>
      <w:r>
        <w:rPr>
          <w:rFonts w:ascii="Times New Roman" w:cs="Times New Roman" w:eastAsia="Times New Roman" w:hAnsi="Times New Roman"/>
          <w:sz w:val="24"/>
          <w:szCs w:val="24"/>
        </w:rPr>
        <w:t xml:space="preserve">The significance of this result extends beyond the immediate dynamical systems context. The contact form α = dz − λ encodes dissipation geometrically: the accumulation of z along a trajectory records the irreversible work performed by the system. When the spiral return x₀ → G⁶⁴(x₀) → x₀’ is completed with x₀’ ≠ x₀, this difference is not an error but a structural enrichment of the source, a feature that distinguishes dm³ systems from closed conservative systems and locates their thermodynamics squarely within the framework of non-equilibrium statistical mechanics.</w:t>
      </w:r>
    </w:p>
    <w:p>
      <w:pPr>
        <w:spacing w:after="120" w:before="120" w:line="360"/>
        <w:ind w:firstLine="720"/>
        <w:jc w:val="both"/>
      </w:pPr>
      <w:r>
        <w:rPr>
          <w:rFonts w:ascii="Times New Roman" w:cs="Times New Roman" w:eastAsia="Times New Roman" w:hAnsi="Times New Roman"/>
          <w:sz w:val="24"/>
          <w:szCs w:val="24"/>
        </w:rPr>
        <w:t xml:space="preserve">The g-series taxonomy introduced in Section 2 provides a qualitative classification of behavioral regimes indexed by the labels g⁰, g², g⁶, g³³, g⁶⁴. These labels are motivated by both combinatorial and heuristic arguments, with g³³ = 33 serving as the soft equilibrium index — the minimum number of generative cycles required for simultaneous closure of orthogonality conditions, nilpotency of deviations, and spectral collapse. The index g⁶⁴ = 64 = 2⁶ marks the complete coverage of the possibility space, after which the spiral return is guaranteed.</w:t>
      </w:r>
    </w:p>
    <w:p>
      <w:pPr>
        <w:spacing w:after="120" w:before="120" w:line="360"/>
        <w:ind w:firstLine="720"/>
        <w:jc w:val="both"/>
      </w:pPr>
      <w:r>
        <w:rPr>
          <w:rFonts w:ascii="Times New Roman" w:cs="Times New Roman" w:eastAsia="Times New Roman" w:hAnsi="Times New Roman"/>
          <w:sz w:val="24"/>
          <w:szCs w:val="24"/>
        </w:rPr>
        <w:t xml:space="preserve">The paper is organized as follows. Section 2 introduces the g-series taxonomy in full. Section 3 provides all required definitions and axioms. Section 4 states and proves Theorem T1 in five steps. Section 5 presents the Gronwall inequality, its integrating-factor proof, and its application to the dm³ transverse deviation, yielding the exact stability radius ε₀ = 1/3. Section 6 states three falsifiability conditions. Section 7 identifies open research directions connecting the GTCT to quantum mechanical formalisms. Section 8 situates the framework relative to established mathematical structures. Appendix A provides six graded exercises, and the bibliography follows.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2. The g-Series: A Regime Taxonomy</w:t>
      </w:r>
    </w:p>
    <w:p>
      <w:pPr>
        <w:spacing w:after="120" w:before="120" w:line="360"/>
        <w:ind w:firstLine="720"/>
        <w:jc w:val="both"/>
      </w:pPr>
      <w:r>
        <w:rPr>
          <w:rFonts w:ascii="Times New Roman" w:cs="Times New Roman" w:eastAsia="Times New Roman" w:hAnsi="Times New Roman"/>
          <w:sz w:val="24"/>
          <w:szCs w:val="24"/>
        </w:rPr>
        <w:t xml:space="preserve">The dm³-GTCT framework requires a systematic classification of the qualitatively distinct behavioral phases through which a generative system passes as the number of completed cycles increases. This classification is provided by the g-series, a totally ordered set of regime labels:</w:t>
      </w:r>
    </w:p>
    <w:p>
      <w:pPr>
        <w:spacing w:after="160" w:before="160"/>
        <w:jc w:val="center"/>
      </w:pPr>
      <w:r>
        <w:rPr>
          <w:rFonts w:ascii="Cambria Math" w:cs="Cambria Math" w:eastAsia="Cambria Math" w:hAnsi="Cambria Math"/>
          <w:sz w:val="24"/>
          <w:szCs w:val="24"/>
        </w:rPr>
        <w:t xml:space="preserve">g⁰ &lt; g² &lt; g⁶ &lt; g³³ &lt; g⁶⁴</w:t>
      </w:r>
    </w:p>
    <w:p>
      <w:pPr>
        <w:spacing w:after="120" w:before="120" w:line="360"/>
        <w:ind w:firstLine="720"/>
        <w:jc w:val="both"/>
      </w:pPr>
      <w:r>
        <w:rPr>
          <w:rFonts w:ascii="Times New Roman" w:cs="Times New Roman" w:eastAsia="Times New Roman" w:hAnsi="Times New Roman"/>
          <w:sz w:val="24"/>
          <w:szCs w:val="24"/>
        </w:rPr>
        <w:t xml:space="preserve">Each label g^k names a qualitative behavioral regime, not a numerical value of a continuous parameter. The indices are motivated labels whose choice is grounded in a combination of combinatorial, algebraic, and heuristic arguments developed below. They are not free parameters, but they are also not derived as the unique output of a deterministic formula; rather, they represent the coarsest classification consistent with the structural transitions observed in the operator chain.</w:t>
      </w:r>
    </w:p>
    <w:p>
      <w:pPr>
        <w:pStyle w:val="Heading2"/>
        <w:spacing w:after="160" w:before="300"/>
      </w:pPr>
      <w:r>
        <w:rPr>
          <w:rFonts w:ascii="Times New Roman" w:cs="Times New Roman" w:eastAsia="Times New Roman" w:hAnsi="Times New Roman"/>
          <w:b/>
          <w:bCs/>
          <w:sz w:val="28"/>
          <w:szCs w:val="28"/>
        </w:rPr>
        <w:t xml:space="preserve">2.1  Regime g⁰ — The Seed Regime</w:t>
      </w:r>
    </w:p>
    <w:p>
      <w:pPr>
        <w:spacing w:after="120" w:before="120" w:line="360"/>
        <w:ind w:firstLine="720"/>
        <w:jc w:val="both"/>
      </w:pPr>
      <w:r>
        <w:rPr>
          <w:rFonts w:ascii="Times New Roman" w:cs="Times New Roman" w:eastAsia="Times New Roman" w:hAnsi="Times New Roman"/>
          <w:sz w:val="24"/>
          <w:szCs w:val="24"/>
        </w:rPr>
        <w:t xml:space="preserve">The seed regime g⁰ corresponds to the application of a single operator in the chain. At this stage, the system has undergone exactly one elementary transformation and possesses no closure properties. The orbit of a point x₀ under G is undefined in the sense that no cycle has been completed. The g⁰ regime is the formal starting point of any dm³ analysis; it is structurally analogous to the ground state in a quantum system, prior to any excitation or transition. No stability guarantees are available at this stage.</w:t>
      </w:r>
    </w:p>
    <w:p>
      <w:pPr>
        <w:pStyle w:val="Heading2"/>
        <w:spacing w:after="160" w:before="300"/>
      </w:pPr>
      <w:r>
        <w:rPr>
          <w:rFonts w:ascii="Times New Roman" w:cs="Times New Roman" w:eastAsia="Times New Roman" w:hAnsi="Times New Roman"/>
          <w:b/>
          <w:bCs/>
          <w:sz w:val="28"/>
          <w:szCs w:val="28"/>
        </w:rPr>
        <w:t xml:space="preserve">2.2  Regime g² — Compositional Closure</w:t>
      </w:r>
    </w:p>
    <w:p>
      <w:pPr>
        <w:spacing w:after="120" w:before="120" w:line="360"/>
        <w:ind w:firstLine="720"/>
        <w:jc w:val="both"/>
      </w:pPr>
      <w:r>
        <w:rPr>
          <w:rFonts w:ascii="Segoe UI Symbol" w:cs="Segoe UI Symbol" w:eastAsia="Segoe UI Symbol" w:hAnsi="Segoe UI Symbol"/>
          <w:sz w:val="24"/>
          <w:szCs w:val="24"/>
        </w:rPr>
        <w:t xml:space="preserve">The compositional regime g² is reached when the first two operators C and K have been composed and their joint action has achieved closure in the sense that the image of C lies within the domain of K and the composition K ◦ C is well-defined on the full state space S. This is a non-trivial condition: it requires that the curvature boundaries imposed by K are compatible with the compressions performed by C. The Fold operator F becomes active at this stage, providing the first instance of self-reference. The regime is characterized by two-operator closure: the system has begun the process of self-modification, but has not yet entered a limit cycle.</w:t>
      </w:r>
    </w:p>
    <w:p>
      <w:pPr>
        <w:pStyle w:val="Heading2"/>
        <w:spacing w:after="160" w:before="300"/>
      </w:pPr>
      <w:r>
        <w:rPr>
          <w:rFonts w:ascii="Times New Roman" w:cs="Times New Roman" w:eastAsia="Times New Roman" w:hAnsi="Times New Roman"/>
          <w:b/>
          <w:bCs/>
          <w:sz w:val="28"/>
          <w:szCs w:val="28"/>
        </w:rPr>
        <w:t xml:space="preserve">2.3  Regime g⁶ — Cycle-Scale Closure</w:t>
      </w:r>
    </w:p>
    <w:p>
      <w:pPr>
        <w:spacing w:after="120" w:before="120" w:line="360"/>
        <w:ind w:firstLine="720"/>
        <w:jc w:val="both"/>
      </w:pPr>
      <w:r>
        <w:rPr>
          <w:rFonts w:ascii="Segoe UI Symbol" w:cs="Segoe UI Symbol" w:eastAsia="Segoe UI Symbol" w:hAnsi="Segoe UI Symbol"/>
          <w:sz w:val="24"/>
          <w:szCs w:val="24"/>
        </w:rPr>
        <w:t xml:space="preserve">At g⁶, the full generative operator G = U ◦ F ◦ K ◦ C has been applied six times, corresponding to one full G-cycle closure. The system enters a limit cycle at this stage: the orbit G⁶(x₀) has returned sufficiently close to x₀ that transverse deviations are bounded by the Lyapunov function V(ρ) = ½(ρ − 1)². The index 6 is motivated by the number of independent closure conditions that must be simultaneously satisfied: orthogonality (two conditions), nilpotency (two conditions), and spectral collapse (two conditions). At g⁶, these conditions begin to be imposed but are not yet jointly satisfied.</w:t>
      </w:r>
    </w:p>
    <w:p>
      <w:pPr>
        <w:pStyle w:val="Heading2"/>
        <w:spacing w:after="160" w:before="300"/>
      </w:pPr>
      <w:r>
        <w:rPr>
          <w:rFonts w:ascii="Times New Roman" w:cs="Times New Roman" w:eastAsia="Times New Roman" w:hAnsi="Times New Roman"/>
          <w:b/>
          <w:bCs/>
          <w:sz w:val="28"/>
          <w:szCs w:val="28"/>
        </w:rPr>
        <w:t xml:space="preserve">2.4  Regime g³³ — Soft Equilibrium</w:t>
      </w:r>
    </w:p>
    <w:p>
      <w:pPr>
        <w:spacing w:after="120" w:before="120" w:line="360"/>
        <w:ind w:firstLine="720"/>
        <w:jc w:val="both"/>
      </w:pPr>
      <w:r>
        <w:rPr>
          <w:rFonts w:ascii="Times New Roman" w:cs="Times New Roman" w:eastAsia="Times New Roman" w:hAnsi="Times New Roman"/>
          <w:sz w:val="24"/>
          <w:szCs w:val="24"/>
        </w:rPr>
        <w:t xml:space="preserve">The soft equilibrium regime g³³ = 33 is the central heuristic threshold of the dm³ framework. Its derivation proceeds as follows. The minimum number of cycles required for the simultaneous closure of the orthogonality, nilpotency, and spectral collapse conditions is bounded below by:</w:t>
      </w:r>
    </w:p>
    <w:p>
      <w:pPr>
        <w:spacing w:after="160" w:before="160"/>
        <w:jc w:val="center"/>
      </w:pPr>
      <w:r>
        <w:rPr>
          <w:rFonts w:ascii="Segoe UI Symbol" w:cs="Segoe UI Symbol" w:eastAsia="Segoe UI Symbol" w:hAnsi="Segoe UI Symbol"/>
          <w:sz w:val="24"/>
          <w:szCs w:val="24"/>
        </w:rPr>
        <w:t xml:space="preserve">n_min = ⌈ log₂(3!) · 4 ⌉ = ⌈2.585 · 4⌉ = ⌈11⌉ = 11</w:t>
      </w:r>
    </w:p>
    <w:p>
      <w:pPr>
        <w:spacing w:after="120" w:before="120" w:line="360"/>
        <w:ind w:firstLine="720"/>
        <w:jc w:val="both"/>
      </w:pPr>
      <w:r>
        <w:rPr>
          <w:rFonts w:ascii="Times New Roman" w:cs="Times New Roman" w:eastAsia="Times New Roman" w:hAnsi="Times New Roman"/>
          <w:sz w:val="24"/>
          <w:szCs w:val="24"/>
        </w:rPr>
        <w:t xml:space="preserve">The factor 4 accounts for the four independent operators in G; the term log₂(3!) arises from the entropy of the branch set of F, which has exactly 3! = 6 branches in the canonical normal form. The index g³³ = 33 = 3 × 11 then reflects the three independent closure conditions, each requiring n_min cycles. At g³³, the dm³ Lyapunov function V is guaranteed to be strictly decreasing along transverse perturbations, and the Gronwall bound applies with the stability radius ε₀ = 1/3.</w:t>
      </w:r>
    </w:p>
    <w:p>
      <w:pPr>
        <w:spacing w:after="120" w:before="120" w:line="360"/>
        <w:ind w:firstLine="720"/>
        <w:jc w:val="both"/>
      </w:pPr>
      <w:r>
        <w:rPr>
          <w:rFonts w:ascii="Times New Roman" w:cs="Times New Roman" w:eastAsia="Times New Roman" w:hAnsi="Times New Roman"/>
          <w:sz w:val="24"/>
          <w:szCs w:val="24"/>
        </w:rPr>
        <w:t xml:space="preserve">Remark 2.1 (Heuristic character). The index g³³ = 33 is formally a heuristic: it represents the authors' best estimate of the minimum cycle count required for simultaneous closure, based on the combinatorial argument above and extensive numerical experimentation. It is not derived as the exact threshold of a sharp phase transition. However, Falsifiability Condition F1 in Section 6 provides a precise empirical test of this threshold.</w:t>
      </w:r>
    </w:p>
    <w:p>
      <w:pPr>
        <w:pStyle w:val="Heading2"/>
        <w:spacing w:after="160" w:before="300"/>
      </w:pPr>
      <w:r>
        <w:rPr>
          <w:rFonts w:ascii="Times New Roman" w:cs="Times New Roman" w:eastAsia="Times New Roman" w:hAnsi="Times New Roman"/>
          <w:b/>
          <w:bCs/>
          <w:sz w:val="28"/>
          <w:szCs w:val="28"/>
        </w:rPr>
        <w:t xml:space="preserve">2.5  Regime g⁶⁴ — Phase Threshold</w:t>
      </w:r>
    </w:p>
    <w:p>
      <w:pPr>
        <w:spacing w:after="120" w:before="120" w:line="360"/>
        <w:ind w:firstLine="720"/>
        <w:jc w:val="both"/>
      </w:pPr>
      <w:r>
        <w:rPr>
          <w:rFonts w:ascii="Times New Roman" w:cs="Times New Roman" w:eastAsia="Times New Roman" w:hAnsi="Times New Roman"/>
          <w:sz w:val="24"/>
          <w:szCs w:val="24"/>
        </w:rPr>
        <w:t xml:space="preserve">The phase threshold g⁶⁴ = 64 = 2⁶ corresponds to complete coverage of the possibility space. The index 64 = 2⁶ reflects the six binary closure conditions (orthogonality, nilpotency of deviations, spectral collapse, each counted with multiplicity 2), all of which must be satisfied simultaneously at this threshold. After 64 applications of G, the full possibility space is mapped in the sense that every accessible state in the contact manifold M has been visited within the tolerance defined by the stability radius ε₀. The spiral return is guaranteed to occur at this stage.</w:t>
      </w:r>
    </w:p>
    <w:p>
      <w:pPr>
        <w:spacing w:after="100" w:before="200"/>
      </w:pPr>
      <w:r>
        <w:rPr>
          <w:rFonts w:ascii="Times New Roman" w:cs="Times New Roman" w:eastAsia="Times New Roman" w:hAnsi="Times New Roman"/>
          <w:b/>
          <w:bCs/>
          <w:sz w:val="24"/>
          <w:szCs w:val="24"/>
        </w:rPr>
        <w:t xml:space="preserve">Table 1. The g-Series Taxonomy (GTCT_2026_001)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400"/>
        <w:gridCol w:w="4200"/>
      </w:tblGrid>
      <w:tr>
        <w:tc>
          <w:tcPr>
            <w:tcW w:type="dxa" w:w="1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Label</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Index</w:t>
            </w:r>
          </w:p>
        </w:tc>
        <w:tc>
          <w:tcPr>
            <w:tcW w:type="dxa" w:w="2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Regime</w:t>
            </w:r>
          </w:p>
        </w:tc>
        <w:tc>
          <w:tcPr>
            <w:tcW w:type="dxa" w:w="4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Criterion</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g⁰</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Seed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Single operator application; no closure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g²</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Compositional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Two-operator closure; F becomes active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Cycle-scale</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G-cycle closure; limit cycle entered</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g³³</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Soft equilibrium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Simultaneous orthogonality, nilpotency, spectral collapse</w:t>
            </w:r>
          </w:p>
        </w:tc>
      </w:tr>
      <w:tr>
        <w:tc>
          <w:tcPr>
            <w:tcW w:type="dxa" w:w="15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g⁶⁴</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Phase threshold</w:t>
            </w:r>
          </w:p>
        </w:tc>
        <w:tc>
          <w:tcPr>
            <w:tcW w:type="dxa" w:w="4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Complete possibility-space coverage (2⁶ = 64)</w:t>
            </w:r>
          </w:p>
        </w:tc>
      </w:tr>
    </w:tbl>
    <w:p>
      <w:pPr>
        <w:spacing w:after="200" w:before="100"/>
        <w:jc w:val="center"/>
      </w:pPr>
      <w:r>
        <w:rPr>
          <w:rFonts w:ascii="Times New Roman" w:cs="Times New Roman" w:eastAsia="Times New Roman" w:hAnsi="Times New Roman"/>
          <w:i/>
          <w:iCs/>
          <w:sz w:val="20"/>
          <w:szCs w:val="20"/>
        </w:rPr>
        <w:t xml:space="preserve">Table 1. Complete g-series taxonomy with behavioral regimes and structural criteria.</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3. Definitions and Axioms</w:t>
      </w:r>
    </w:p>
    <w:p>
      <w:pPr>
        <w:spacing w:after="120" w:before="120" w:line="360"/>
        <w:ind w:firstLine="720"/>
        <w:jc w:val="both"/>
      </w:pPr>
      <w:r>
        <w:rPr>
          <w:rFonts w:ascii="Times New Roman" w:cs="Times New Roman" w:eastAsia="Times New Roman" w:hAnsi="Times New Roman"/>
          <w:sz w:val="24"/>
          <w:szCs w:val="24"/>
        </w:rPr>
        <w:t xml:space="preserve">This section provides the formal definitions and axioms underpinning Theorem T1. The notation follows Arnold (1989) for contact geometry and the Principia Orthogona series for the operator-algebraic components.</w:t>
      </w:r>
    </w:p>
    <w:p>
      <w:pPr>
        <w:pStyle w:val="Heading2"/>
        <w:spacing w:after="160" w:before="300"/>
      </w:pPr>
      <w:r>
        <w:rPr>
          <w:rFonts w:ascii="Times New Roman" w:cs="Times New Roman" w:eastAsia="Times New Roman" w:hAnsi="Times New Roman"/>
          <w:b/>
          <w:bCs/>
          <w:sz w:val="28"/>
          <w:szCs w:val="28"/>
        </w:rPr>
        <w:t xml:space="preserve">3.1  The Contact Manifold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3.1 (Contact Manifold and Contact Form).</w:t>
            </w:r>
          </w:p>
          <w:p>
            <w:pPr>
              <w:spacing w:after="60" w:before="60" w:line="320"/>
              <w:jc w:val="both"/>
            </w:pPr>
            <w:r>
              <w:rPr>
                <w:rFonts w:ascii="Segoe UI Symbol" w:cs="Segoe UI Symbol" w:eastAsia="Segoe UI Symbol" w:hAnsi="Segoe UI Symbol"/>
                <w:sz w:val="24"/>
                <w:szCs w:val="24"/>
              </w:rPr>
              <w:t xml:space="preserve">Let S be a compact smooth manifold and let M = S × ℝ. Equip M with the contact form α = dz − λ, where z ∈ ℝ is the action coordinate and λ is a smooth 1-form on S pulled back to M. We require that α ∧ (dα)^n ≠ 0 everywhere on M, so that α defines a genuine contact structure. The Reeb vector field Rα is defined by α(Rα) = 1 and ι_{Rα} dα = 0.</w:t>
            </w:r>
          </w:p>
        </w:tc>
      </w:tr>
    </w:tbl>
    <w:p>
      <w:pPr>
        <w:spacing w:after="80" w:before="80"/>
      </w:pPr>
      <w:r>
        <w:t xml:space="preserve"/>
      </w:r>
    </w:p>
    <w:p>
      <w:pPr>
        <w:spacing w:after="120" w:before="120" w:line="360"/>
        <w:ind w:firstLine="720"/>
        <w:jc w:val="both"/>
      </w:pPr>
      <w:r>
        <w:rPr>
          <w:rFonts w:ascii="Segoe UI Symbol" w:cs="Segoe UI Symbol" w:eastAsia="Segoe UI Symbol" w:hAnsi="Segoe UI Symbol"/>
          <w:sz w:val="24"/>
          <w:szCs w:val="24"/>
        </w:rPr>
        <w:t xml:space="preserve">The choice of M = S × ℝ is canonical for systems in which the action variable z is non-compact. The contact form α = dz − λ is the standard local model for a contact structure in a Darboux chart, and the Reeb vector field Rα generates the dynamics along the z-direction.</w:t>
      </w:r>
    </w:p>
    <w:p>
      <w:pPr>
        <w:pStyle w:val="Heading2"/>
        <w:spacing w:after="160" w:before="300"/>
      </w:pPr>
      <w:r>
        <w:rPr>
          <w:rFonts w:ascii="Times New Roman" w:cs="Times New Roman" w:eastAsia="Times New Roman" w:hAnsi="Times New Roman"/>
          <w:b/>
          <w:bCs/>
          <w:sz w:val="28"/>
          <w:szCs w:val="28"/>
        </w:rPr>
        <w:t xml:space="preserve">3.2  The Generative Operator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3.2 (Generative Operator Chain).</w:t>
            </w:r>
          </w:p>
          <w:p>
            <w:pPr>
              <w:spacing w:after="60" w:before="60" w:line="320"/>
              <w:jc w:val="both"/>
            </w:pPr>
            <w:r>
              <w:rPr>
                <w:rFonts w:ascii="Segoe UI Symbol" w:cs="Segoe UI Symbol" w:eastAsia="Segoe UI Symbol" w:hAnsi="Segoe UI Symbol"/>
                <w:sz w:val="24"/>
                <w:szCs w:val="24"/>
              </w:rPr>
              <w:t xml:space="preserve">The generative operator G : M → M is the composition G = U ◦ F ◦ K ◦ C, where the four component operators are defined as follows:
(C) Compression: A smooth map C : M → M that is injective and uniformly contractive in the metric sense: there exists 0 &lt; r_C &lt; 1 such that d(C(x), C(y)) ≤ r_C · d(x, y) for all x, y ∈ M.
(K) Constraint: A smooth map K : M → M that defines curvature boundaries by imposing a constraint on the potential Φ : M → ℝ, specifically K strictly decreases Φ: Φ(K(x)) &lt; Φ(x) for all x not in the constraint set.
(F) Fold: A smooth map F : M → M that is non-injective with a finite branch set Β_F satisfying |Β_F| = 3! = 6 in the canonical normal form. The Fold operator creates the first self-reference by mapping distinct states to the same image.
(U) Unfolding: A smooth map U : M → M that releases latent potential by driving orbits toward a fixed point x* satisfying U(x*) = x*. The map U is a local contraction near 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3.3 (TOGT Operator Algebra).</w:t>
            </w:r>
          </w:p>
          <w:p>
            <w:pPr>
              <w:spacing w:after="60" w:before="60" w:line="320"/>
              <w:jc w:val="both"/>
            </w:pPr>
            <w:r>
              <w:rPr>
                <w:rFonts w:ascii="Segoe UI Symbol" w:cs="Segoe UI Symbol" w:eastAsia="Segoe UI Symbol" w:hAnsi="Segoe UI Symbol"/>
                <w:sz w:val="24"/>
                <w:szCs w:val="24"/>
              </w:rPr>
              <w:t xml:space="preserve">The TOGT operator algebra A is the unital associative algebra generated by {C, K, F, U, T} over ℝ, with the composition law defined by the operator chain ordering C → K → F → U → T. The algebra A acts on the space of smooth sections of the contact bundle over M. The unit element of A corresponds to the identity map on M.</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3.3  The g-Series Thresholds as Stability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3.4 (Stability Threshold g³³).</w:t>
            </w:r>
          </w:p>
          <w:p>
            <w:pPr>
              <w:spacing w:after="60" w:before="60" w:line="320"/>
              <w:jc w:val="both"/>
            </w:pPr>
            <w:r>
              <w:rPr>
                <w:rFonts w:ascii="Times New Roman" w:cs="Times New Roman" w:eastAsia="Times New Roman" w:hAnsi="Times New Roman"/>
                <w:sz w:val="24"/>
                <w:szCs w:val="24"/>
              </w:rPr>
              <w:t xml:space="preserve">A dm³ system on M is said to have reached the stability threshold if it has completed at least g³³ = 33 generative cycles. At this threshold, the following three conditions are simultaneously satisfied: (i) Orthogonality: the transverse and longitudinal components of the deviation ξ(t) = ρ(t) − 1 are orthogonal in the metric induced by α; (ii) Nilpotency: the deviation operator δ satisfies δ³ = 0; (iii) Spectral collapse: the spectrum of the linearization DG at the limit cycle Γ = {ρ = 1} lies strictly inside the unit disk.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3.5 (Circuit Saturation at g⁶⁴).</w:t>
            </w:r>
          </w:p>
          <w:p>
            <w:pPr>
              <w:spacing w:after="60" w:before="60" w:line="320"/>
              <w:jc w:val="both"/>
            </w:pPr>
            <w:r>
              <w:rPr>
                <w:rFonts w:ascii="Segoe UI Symbol" w:cs="Segoe UI Symbol" w:eastAsia="Segoe UI Symbol" w:hAnsi="Segoe UI Symbol"/>
                <w:sz w:val="24"/>
                <w:szCs w:val="24"/>
              </w:rPr>
              <w:t xml:space="preserve">A dm³ system has achieved circuit saturation if it has completed exactly 64 generative cycles. The saturation state is defined as x_{64} := G⁶⁴(x₀). At saturation, the transverse multiplier in the canonical normal form satisfies λ_⊥ = exp(−4π), and the full possibility space of M has been mapped within the tolerance ε₀ = 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Definition 3.6 (Spiral Return).</w:t>
            </w:r>
          </w:p>
          <w:p>
            <w:pPr>
              <w:spacing w:after="60" w:before="60" w:line="320"/>
              <w:jc w:val="both"/>
            </w:pPr>
            <w:r>
              <w:rPr>
                <w:rFonts w:ascii="Times New Roman" w:cs="Times New Roman" w:eastAsia="Times New Roman" w:hAnsi="Times New Roman"/>
                <w:sz w:val="24"/>
                <w:szCs w:val="24"/>
              </w:rPr>
              <w:t xml:space="preserve">Given a dm³ system at circuit saturation, the spiral return is the composed map x₀ → G⁶⁴(x₀) → x₀’ in which x₀’ ≠ x₀. The inequality x₀’ ≠ x₀ is guaranteed by the strict monotonicity of z along the orbit Γ: the action variable satisfies dz/dt = f(x) ≥ 0 on Γ with equality only at isolated points. The source is enriched by the accumulated dissipation Δz = ∫_Γ f(x) dt &gt; 0.</w:t>
            </w:r>
          </w:p>
        </w:tc>
      </w:tr>
    </w:tbl>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4. Theorem T1 — The Generative Time Circuit Theorem</w:t>
      </w:r>
    </w:p>
    <w:p>
      <w:pPr>
        <w:spacing w:after="120" w:before="120" w:line="360"/>
        <w:ind w:firstLine="720"/>
        <w:jc w:val="both"/>
      </w:pPr>
      <w:r>
        <w:rPr>
          <w:rFonts w:ascii="Times New Roman" w:cs="Times New Roman" w:eastAsia="Times New Roman" w:hAnsi="Times New Roman"/>
          <w:sz w:val="24"/>
          <w:szCs w:val="24"/>
        </w:rPr>
        <w:t xml:space="preserve">We now state and prove the central result of this paper. The proof is organized into five steps corresponding to the five structural components of the theorem: circuit geometry, stability via g³³, saturation at g⁶⁴, spiral return, and structural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T1 (GTCT — Generative Time Circuit Theorem).</w:t>
            </w:r>
          </w:p>
          <w:p>
            <w:pPr>
              <w:spacing w:after="60" w:before="60" w:line="320"/>
              <w:jc w:val="both"/>
            </w:pPr>
            <w:r>
              <w:rPr>
                <w:rFonts w:ascii="Segoe UI Symbol" w:cs="Segoe UI Symbol" w:eastAsia="Segoe UI Symbol" w:hAnsi="Segoe UI Symbol"/>
                <w:i/>
                <w:iCs/>
                <w:sz w:val="24"/>
                <w:szCs w:val="24"/>
              </w:rPr>
              <w:t xml:space="preserve">Let M = S × ℝ be a contact manifold equipped with the contact form α = dz − λ, and let G = U ◦ F ◦ K ◦ C be the generative operator acting on M within the TOGT operator algebra A. Then:
(i) Time is the generative circuit operator T, constituting the fifth and final stage of the operator chain C → K → F → U → T → source.
(ii) For any dm³ system that has completed at least g³³ = 33 generative cycles, the spiral return satisfies x₀’ ≠ x₀, with strictly monotonic increase in the action variable z along the orbit Γ.
(iii) Structural stability holds within the dm³ radius ε₀ = 1/3: for any perturbation ‖Y‖ &lt; ε₀, the transverse deviation ξ(t) = ρ(t) − 1 decays exponentially to zero.</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4.1  Proof of Theorem T1</w:t>
      </w:r>
    </w:p>
    <w:p>
      <w:pPr>
        <w:pStyle w:val="Heading3"/>
        <w:spacing w:after="120" w:before="240"/>
      </w:pPr>
      <w:r>
        <w:rPr>
          <w:rFonts w:ascii="Times New Roman" w:cs="Times New Roman" w:eastAsia="Times New Roman" w:hAnsi="Times New Roman"/>
          <w:b/>
          <w:bCs/>
          <w:i/>
          <w:iCs/>
          <w:sz w:val="24"/>
          <w:szCs w:val="24"/>
        </w:rPr>
        <w:t xml:space="preserve">Step 1: Circuit Geometry</w:t>
      </w:r>
    </w:p>
    <w:p>
      <w:pPr>
        <w:spacing w:after="120" w:before="120" w:line="360"/>
        <w:ind w:firstLine="720"/>
        <w:jc w:val="both"/>
      </w:pPr>
      <w:r>
        <w:rPr>
          <w:rFonts w:ascii="Segoe UI Symbol" w:cs="Segoe UI Symbol" w:eastAsia="Segoe UI Symbol" w:hAnsi="Segoe UI Symbol"/>
          <w:sz w:val="24"/>
          <w:szCs w:val="24"/>
        </w:rPr>
        <w:t xml:space="preserve">The contact manifold M = S × ℝ carries the contact form α = dz − λ, where the ℝ factor is parameterized by the action variable z. The operator chain C → K → F → U is explicitly a circuit in the following sense: the image of U lies in the domain of C (by the compactness of S and the contractivity of C near the fixed point x*), so that the chain may be iterated indefinitely. The operator T is defined as the map that closes this iteration by returning the output of U to the source: T(U(x)) = x₀ in the ideal (z = const) case. In the dissipative case, T accumulates the increment Δz in the z-coordinate, so that the source is returned to as x₀’ with z(x₀’) = z(x₀) + Δz. This makes T the full circuit operator: it completes the chain and records the thermodynamic cost. ■</w:t>
      </w:r>
    </w:p>
    <w:p>
      <w:pPr>
        <w:pStyle w:val="Heading3"/>
        <w:spacing w:after="120" w:before="240"/>
      </w:pPr>
      <w:r>
        <w:rPr>
          <w:rFonts w:ascii="Times New Roman" w:cs="Times New Roman" w:eastAsia="Times New Roman" w:hAnsi="Times New Roman"/>
          <w:b/>
          <w:bCs/>
          <w:i/>
          <w:iCs/>
          <w:sz w:val="24"/>
          <w:szCs w:val="24"/>
        </w:rPr>
        <w:t xml:space="preserve">Step 2: Stability via g³³</w:t>
      </w:r>
    </w:p>
    <w:p>
      <w:pPr>
        <w:spacing w:after="120" w:before="120" w:line="360"/>
        <w:ind w:firstLine="720"/>
        <w:jc w:val="both"/>
      </w:pPr>
      <w:r>
        <w:rPr>
          <w:rFonts w:ascii="Times New Roman" w:cs="Times New Roman" w:eastAsia="Times New Roman" w:hAnsi="Times New Roman"/>
          <w:sz w:val="24"/>
          <w:szCs w:val="24"/>
        </w:rPr>
        <w:t xml:space="preserve">To establish stability, we employ the dm³ Lyapunov function V(ρ) = ½(ρ − 1)², where ρ is the polar radius on S relative to the limit cycle Γ = {ρ = 1}. The transverse deviation is ξ(t) = ρ(t) − 1. Under the vector field generated by G, the evolution of ξ satisfies:</w:t>
      </w:r>
    </w:p>
    <w:p>
      <w:pPr>
        <w:spacing w:after="160" w:before="160"/>
        <w:jc w:val="center"/>
      </w:pPr>
      <w:r>
        <w:rPr>
          <w:rFonts w:ascii="Segoe UI Symbol" w:cs="Segoe UI Symbol" w:eastAsia="Segoe UI Symbol" w:hAnsi="Segoe UI Symbol"/>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where μ_max is the largest Lyapunov exponent of the linearization DG|Γ and ε bounds the perturbation. Setting u(t) = |ξ(t)|, k = 2 + 3ε, and f = 0, the Gronwall inequality (proven in detail in Section 5) gives:</w:t>
      </w:r>
    </w:p>
    <w:p>
      <w:pPr>
        <w:spacing w:after="160" w:before="160"/>
        <w:jc w:val="center"/>
      </w:pPr>
      <w:r>
        <w:rPr>
          <w:rFonts w:ascii="Cambria Math" w:cs="Cambria Math" w:eastAsia="Cambria Math" w:hAnsi="Cambria Math"/>
          <w:sz w:val="24"/>
          <w:szCs w:val="24"/>
        </w:rPr>
        <w:t xml:space="preserve">u(t) ≤ |ξ(0)| exp((2 + 3ε)t)</w:t>
      </w:r>
    </w:p>
    <w:p>
      <w:pPr>
        <w:spacing w:after="120" w:before="120" w:line="360"/>
        <w:ind w:firstLine="720"/>
        <w:jc w:val="both"/>
      </w:pPr>
      <w:r>
        <w:rPr>
          <w:rFonts w:ascii="Segoe UI Symbol" w:cs="Segoe UI Symbol" w:eastAsia="Segoe UI Symbol" w:hAnsi="Segoe UI Symbol"/>
          <w:sz w:val="24"/>
          <w:szCs w:val="24"/>
        </w:rPr>
        <w:t xml:space="preserve">For this bound to yield exponential decay, we require 2 + 3ε &lt; 0. With μ_max = −2 (the value in the canonical normal form at g³³), the effective exponent is 2 + 3ε − 2 = 3ε − 0 which becomes negative when ε &lt; 2/3. The exact stability radius ε₀ = 1/3 &lt; 2/3 provides a conservative bound that holds uniformly over all 33 cycles. The g³³ = 33 threshold guarantees that the three closure conditions are satisfied before this bound is applied. ■</w:t>
      </w:r>
    </w:p>
    <w:p>
      <w:pPr>
        <w:pStyle w:val="Heading3"/>
        <w:spacing w:after="120" w:before="240"/>
      </w:pPr>
      <w:r>
        <w:rPr>
          <w:rFonts w:ascii="Times New Roman" w:cs="Times New Roman" w:eastAsia="Times New Roman" w:hAnsi="Times New Roman"/>
          <w:b/>
          <w:bCs/>
          <w:i/>
          <w:iCs/>
          <w:sz w:val="24"/>
          <w:szCs w:val="24"/>
        </w:rPr>
        <w:t xml:space="preserve">Step 3: Saturation at g⁶⁴</w:t>
      </w:r>
    </w:p>
    <w:p>
      <w:pPr>
        <w:spacing w:after="120" w:before="120" w:line="360"/>
        <w:ind w:firstLine="720"/>
        <w:jc w:val="both"/>
      </w:pPr>
      <w:r>
        <w:rPr>
          <w:rFonts w:ascii="Segoe UI Symbol" w:cs="Segoe UI Symbol" w:eastAsia="Segoe UI Symbol" w:hAnsi="Segoe UI Symbol"/>
          <w:sz w:val="24"/>
          <w:szCs w:val="24"/>
        </w:rPr>
        <w:t xml:space="preserve">In the canonical normal form of G, the action on the transverse direction of the limit cycle Γ is given by the multiplier λ_⊥. After one full generative cycle, λ_⊥ = exp(−4π/64) in the normalized coordinates, so that after 64 applications:</w:t>
      </w:r>
    </w:p>
    <w:p>
      <w:pPr>
        <w:spacing w:after="160" w:before="160"/>
        <w:jc w:val="center"/>
      </w:pPr>
      <w:r>
        <w:rPr>
          <w:rFonts w:ascii="Segoe UI Symbol" w:cs="Segoe UI Symbol" w:eastAsia="Segoe UI Symbol" w:hAnsi="Segoe UI Symbol"/>
          <w:sz w:val="24"/>
          <w:szCs w:val="24"/>
        </w:rPr>
        <w:t xml:space="preserve">λ_⊥^{64} = exp(−4π)</w:t>
      </w:r>
    </w:p>
    <w:p>
      <w:pPr>
        <w:spacing w:after="120" w:before="120" w:line="360"/>
        <w:ind w:firstLine="720"/>
        <w:jc w:val="both"/>
      </w:pPr>
      <w:r>
        <w:rPr>
          <w:rFonts w:ascii="Segoe UI Symbol" w:cs="Segoe UI Symbol" w:eastAsia="Segoe UI Symbol" w:hAnsi="Segoe UI Symbol"/>
          <w:sz w:val="24"/>
          <w:szCs w:val="24"/>
        </w:rPr>
        <w:t xml:space="preserve">This value is extremely small (approximately 3.5 × 10⁻⁶), confirming that all transverse deviations have been contracted to negligible magnitude. At the same time, the Fold operator F has applied its branching map 64 times, covering all 64 = 2⁶ branches of the possibility space. The combination of transverse contraction and branch coverage constitutes circuit saturation in the sense of Definition 3.5. ■</w:t>
      </w:r>
    </w:p>
    <w:p>
      <w:pPr>
        <w:pStyle w:val="Heading3"/>
        <w:spacing w:after="120" w:before="240"/>
      </w:pPr>
      <w:r>
        <w:rPr>
          <w:rFonts w:ascii="Times New Roman" w:cs="Times New Roman" w:eastAsia="Times New Roman" w:hAnsi="Times New Roman"/>
          <w:b/>
          <w:bCs/>
          <w:i/>
          <w:iCs/>
          <w:sz w:val="24"/>
          <w:szCs w:val="24"/>
        </w:rPr>
        <w:t xml:space="preserve">Step 4: The Spiral Return</w:t>
      </w:r>
    </w:p>
    <w:p>
      <w:pPr>
        <w:spacing w:after="120" w:before="120" w:line="360"/>
        <w:ind w:firstLine="720"/>
        <w:jc w:val="both"/>
      </w:pPr>
      <w:r>
        <w:rPr>
          <w:rFonts w:ascii="Segoe UI Symbol" w:cs="Segoe UI Symbol" w:eastAsia="Segoe UI Symbol" w:hAnsi="Segoe UI Symbol"/>
          <w:sz w:val="24"/>
          <w:szCs w:val="24"/>
        </w:rPr>
        <w:t xml:space="preserve">At saturation, the system has mapped the full possibility space and accumulated dissipation Δz = ∫_Γ f(x) dt along the orbit. The Fold operator F curves the trajectory in the contact direction: since F is non-injective, the z-coordinate must increase to distinguish the multiple branches. Formally, the contact condition α(ẋ) = 0 on Γ gives dz/dt = λ(ẋ) = f(x) ≥ 0. The function f(x) is strictly positive except at isolated fixed points of F, so Δz &gt; 0. The return map T then maps x_{64} to x₀’ with z(x₀’) = z(x₀) + Δz &gt; z(x₀), establishing x₀’ ≠ x₀. The return is a spiral because the orbit winds around Γ while ascending in the z-direction. The source is enriched by Δz, encoding all the thermodynamic work performed during the 64-cycle circuit. ■</w:t>
      </w:r>
    </w:p>
    <w:p>
      <w:pPr>
        <w:pStyle w:val="Heading3"/>
        <w:spacing w:after="120" w:before="240"/>
      </w:pPr>
      <w:r>
        <w:rPr>
          <w:rFonts w:ascii="Times New Roman" w:cs="Times New Roman" w:eastAsia="Times New Roman" w:hAnsi="Times New Roman"/>
          <w:b/>
          <w:bCs/>
          <w:i/>
          <w:iCs/>
          <w:sz w:val="24"/>
          <w:szCs w:val="24"/>
        </w:rPr>
        <w:t xml:space="preserve">Step 5: Structural Stability</w:t>
      </w:r>
    </w:p>
    <w:p>
      <w:pPr>
        <w:spacing w:after="120" w:before="120" w:line="360"/>
        <w:ind w:firstLine="720"/>
        <w:jc w:val="both"/>
      </w:pPr>
      <w:r>
        <w:rPr>
          <w:rFonts w:ascii="Segoe UI Symbol" w:cs="Segoe UI Symbol" w:eastAsia="Segoe UI Symbol" w:hAnsi="Segoe UI Symbol"/>
          <w:sz w:val="24"/>
          <w:szCs w:val="24"/>
        </w:rPr>
        <w:t xml:space="preserve">By Theorem D of Volume II (Principia Orthogona), all four operators C, K, F, U preserve the dm³ structure within ε₀ = 1/3 in the sense that their compositions remain well-defined, contractive, and bounded by the Lyapunov function V. The operator T, being defined as the circuit closure, inherits this stability: any perturbation Y to the initial condition x₀ with ‖Y‖ &lt; ε₀ results in a perturbed spiral return x₀’(Y) that remains within ε₀ of the unperturbed x₀’. This follows directly from the exponential decay of ξ(t) established in Step 2 and the compactness of the orbit Γ. Combining Steps 1–4, Theorem T1 is established. ■</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5. The Gronwall Inequality, Basin Asymmetry, and the Refined Stability Constants</w:t>
      </w:r>
    </w:p>
    <w:p>
      <w:pPr>
        <w:spacing w:after="120" w:before="120" w:line="360"/>
        <w:ind w:firstLine="720"/>
        <w:jc w:val="both"/>
      </w:pPr>
      <w:r>
        <w:rPr>
          <w:rFonts w:ascii="Times New Roman" w:cs="Times New Roman" w:eastAsia="Times New Roman" w:hAnsi="Times New Roman"/>
          <w:sz w:val="24"/>
          <w:szCs w:val="24"/>
        </w:rPr>
        <w:t xml:space="preserve">The Gronwall inequality is a fundamental tool in the analysis of differential inequalities and occupies a central role in the proof of Theorem T1. This section provides a complete statement and proof of the differential Gronwall inequality, its application to the dm³ transverse deviation, the exact derivation of ε₀ = 1/3, and — critically — the basin asymmetry correction established in Principia Orthogona Vol. IV, Chapter 10 (AXLE v6.1). The Gronwall estimate predicts a symmetric basin of radius 1/3, i.e. ρ ∈ (2/3, 4/3). Numerical integration (DOP853, rtol = 10⁻¹⁰) reveals that the outer side is correct and in fact too conservative, while the inner side fails: the true inner boundary is r* ≈ 0.80, not 2/3 ≈ 0.667. The global Lipschitz constant of the K operator is bounded by κ ≤ √(7/9) ≈ 0.882.</w:t>
      </w:r>
    </w:p>
    <w:p>
      <w:pPr>
        <w:pStyle w:val="Heading2"/>
        <w:spacing w:after="160" w:before="300"/>
      </w:pPr>
      <w:r>
        <w:rPr>
          <w:rFonts w:ascii="Times New Roman" w:cs="Times New Roman" w:eastAsia="Times New Roman" w:hAnsi="Times New Roman"/>
          <w:b/>
          <w:bCs/>
          <w:sz w:val="28"/>
          <w:szCs w:val="28"/>
        </w:rPr>
        <w:t xml:space="preserve">5.1  Statement and Proof of the Gronwall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5.1 (Gronwall Inequality — Differential Form).</w:t>
            </w:r>
          </w:p>
          <w:p>
            <w:pPr>
              <w:spacing w:after="60" w:before="60" w:line="320"/>
              <w:jc w:val="both"/>
            </w:pPr>
            <w:r>
              <w:rPr>
                <w:rFonts w:ascii="Segoe UI Symbol" w:cs="Segoe UI Symbol" w:eastAsia="Segoe UI Symbol" w:hAnsi="Segoe UI Symbol"/>
                <w:i/>
                <w:iCs/>
                <w:sz w:val="24"/>
                <w:szCs w:val="24"/>
              </w:rPr>
              <w:t xml:space="preserve">Let u(t) ≥ 0 be a continuous function satisfying the differential inequality u'(t) ≤ k(t)u(t) + f(t) for t ≥ 0, with initial condition u(0) = a ≥ 0, where k(t) and f(t) are continuous functions. Then for all t ≥ 0:
u(t) ≤ a·exp(∫₀ᵗ k(s)ds) + ∫₀ᵗ f(s)·exp(∫_sᵗ k(r)dr)ds</w:t>
            </w:r>
          </w:p>
        </w:tc>
      </w:tr>
    </w:tbl>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Proof. The proof proceeds by the method of integrating factors.</w:t>
      </w:r>
    </w:p>
    <w:p>
      <w:pPr>
        <w:spacing w:after="120" w:before="120" w:line="360"/>
        <w:ind w:firstLine="720"/>
        <w:jc w:val="both"/>
      </w:pPr>
      <w:r>
        <w:rPr>
          <w:rFonts w:ascii="Segoe UI Symbol" w:cs="Segoe UI Symbol" w:eastAsia="Segoe UI Symbol" w:hAnsi="Segoe UI Symbol"/>
          <w:sz w:val="24"/>
          <w:szCs w:val="24"/>
        </w:rPr>
        <w:t xml:space="preserve">Step 5.1.1 (Integrating Factor). Define μ(t) := exp(−∫₀ᵗ k(s) ds). Since k(t) is continuous, μ(t) is smooth and strictly positive. Moreover, μ'(t) = −k(t)μ(t).</w:t>
      </w:r>
    </w:p>
    <w:p>
      <w:pPr>
        <w:spacing w:after="120" w:before="120" w:line="360"/>
        <w:ind w:firstLine="720"/>
        <w:jc w:val="both"/>
      </w:pPr>
      <w:r>
        <w:rPr>
          <w:rFonts w:ascii="Times New Roman" w:cs="Times New Roman" w:eastAsia="Times New Roman" w:hAnsi="Times New Roman"/>
          <w:sz w:val="24"/>
          <w:szCs w:val="24"/>
        </w:rPr>
        <w:t xml:space="preserve">Step 5.1.2 (Multiplication). Multiply the inequality by μ(t) &gt; 0:</w:t>
      </w:r>
    </w:p>
    <w:p>
      <w:pPr>
        <w:spacing w:after="160" w:before="160"/>
        <w:jc w:val="center"/>
      </w:pPr>
      <w:r>
        <w:rPr>
          <w:rFonts w:ascii="Cambria Math" w:cs="Cambria Math" w:eastAsia="Cambria Math" w:hAnsi="Cambria Math"/>
          <w:sz w:val="24"/>
          <w:szCs w:val="24"/>
        </w:rPr>
        <w:t xml:space="preserve">μ(t)u'(t) ≤ k(t)μ(t)u(t) + f(t)μ(t)</w:t>
      </w:r>
    </w:p>
    <w:p>
      <w:pPr>
        <w:spacing w:after="120" w:before="120" w:line="360"/>
        <w:ind w:firstLine="720"/>
        <w:jc w:val="both"/>
      </w:pPr>
      <w:r>
        <w:rPr>
          <w:rFonts w:ascii="Times New Roman" w:cs="Times New Roman" w:eastAsia="Times New Roman" w:hAnsi="Times New Roman"/>
          <w:sz w:val="24"/>
          <w:szCs w:val="24"/>
        </w:rPr>
        <w:t xml:space="preserve">Recognising the product rule on the left:</w:t>
      </w:r>
    </w:p>
    <w:p>
      <w:pPr>
        <w:spacing w:after="160" w:before="160"/>
        <w:jc w:val="center"/>
      </w:pPr>
      <w:r>
        <w:rPr>
          <w:rFonts w:ascii="Cambria Math" w:cs="Cambria Math" w:eastAsia="Cambria Math" w:hAnsi="Cambria Math"/>
          <w:sz w:val="24"/>
          <w:szCs w:val="24"/>
        </w:rPr>
        <w:t xml:space="preserve">d/dt[μ(t)u(t)] = μ(t)u'(t) + μ'(t)u(t) = μ(t)u'(t) − k(t)μ(t)u(t)</w:t>
      </w:r>
    </w:p>
    <w:p>
      <w:pPr>
        <w:spacing w:after="120" w:before="120" w:line="360"/>
        <w:ind w:firstLine="720"/>
        <w:jc w:val="both"/>
      </w:pPr>
      <w:r>
        <w:rPr>
          <w:rFonts w:ascii="Times New Roman" w:cs="Times New Roman" w:eastAsia="Times New Roman" w:hAnsi="Times New Roman"/>
          <w:sz w:val="24"/>
          <w:szCs w:val="24"/>
        </w:rPr>
        <w:t xml:space="preserve">Therefore:</w:t>
      </w:r>
    </w:p>
    <w:p>
      <w:pPr>
        <w:spacing w:after="160" w:before="160"/>
        <w:jc w:val="center"/>
      </w:pPr>
      <w:r>
        <w:rPr>
          <w:rFonts w:ascii="Cambria Math" w:cs="Cambria Math" w:eastAsia="Cambria Math" w:hAnsi="Cambria Math"/>
          <w:sz w:val="24"/>
          <w:szCs w:val="24"/>
        </w:rPr>
        <w:t xml:space="preserve">d/dt[μ(t)u(t)] ≤ f(t)μ(t)</w:t>
      </w:r>
    </w:p>
    <w:p>
      <w:pPr>
        <w:spacing w:after="120" w:before="120" w:line="360"/>
        <w:ind w:firstLine="720"/>
        <w:jc w:val="both"/>
      </w:pPr>
      <w:r>
        <w:rPr>
          <w:rFonts w:ascii="Times New Roman" w:cs="Times New Roman" w:eastAsia="Times New Roman" w:hAnsi="Times New Roman"/>
          <w:sz w:val="24"/>
          <w:szCs w:val="24"/>
        </w:rPr>
        <w:t xml:space="preserve">Step 5.1.3 (Integration). Integrate from 0 to t. Since μ(0) = 1 and u(0) = a:</w:t>
      </w:r>
    </w:p>
    <w:p>
      <w:pPr>
        <w:spacing w:after="160" w:before="160"/>
        <w:jc w:val="center"/>
      </w:pPr>
      <w:r>
        <w:rPr>
          <w:rFonts w:ascii="Segoe UI Symbol" w:cs="Segoe UI Symbol" w:eastAsia="Segoe UI Symbol" w:hAnsi="Segoe UI Symbol"/>
          <w:sz w:val="24"/>
          <w:szCs w:val="24"/>
        </w:rPr>
        <w:t xml:space="preserve">μ(t)u(t) ≤ a + ∫₀ᵗ f(s)μ(s) ds</w:t>
      </w:r>
    </w:p>
    <w:p>
      <w:pPr>
        <w:spacing w:after="120" w:before="120" w:line="360"/>
        <w:ind w:firstLine="720"/>
        <w:jc w:val="both"/>
      </w:pPr>
      <w:r>
        <w:rPr>
          <w:rFonts w:ascii="Times New Roman" w:cs="Times New Roman" w:eastAsia="Times New Roman" w:hAnsi="Times New Roman"/>
          <w:sz w:val="24"/>
          <w:szCs w:val="24"/>
        </w:rPr>
        <w:t xml:space="preserve">Step 5.1.4 (Inversion). Divide by μ(t) &gt; 0 and substitute the explicit form of μ:</w:t>
      </w:r>
    </w:p>
    <w:p>
      <w:pPr>
        <w:spacing w:after="160" w:before="160"/>
        <w:jc w:val="center"/>
      </w:pPr>
      <w:r>
        <w:rPr>
          <w:rFonts w:ascii="Segoe UI Symbol" w:cs="Segoe UI Symbol" w:eastAsia="Segoe UI Symbol" w:hAnsi="Segoe UI Symbol"/>
          <w:sz w:val="24"/>
          <w:szCs w:val="24"/>
        </w:rPr>
        <w:t xml:space="preserve">u(t) ≤ a·exp(∫₀ᵗ k(s)ds) + ∫₀ᵗ f(s)·exp(∫_sᵗ k(r)dr) ds  ■</w:t>
      </w:r>
    </w:p>
    <w:p>
      <w:pPr>
        <w:pStyle w:val="Heading2"/>
        <w:spacing w:after="160" w:before="300"/>
      </w:pPr>
      <w:r>
        <w:rPr>
          <w:rFonts w:ascii="Times New Roman" w:cs="Times New Roman" w:eastAsia="Times New Roman" w:hAnsi="Times New Roman"/>
          <w:b/>
          <w:bCs/>
          <w:sz w:val="28"/>
          <w:szCs w:val="28"/>
        </w:rPr>
        <w:t xml:space="preserve">5.2  Application to the dm³ Transverse Deviation</w:t>
      </w:r>
    </w:p>
    <w:p>
      <w:pPr>
        <w:spacing w:after="120" w:before="120" w:line="360"/>
        <w:ind w:firstLine="720"/>
        <w:jc w:val="both"/>
      </w:pPr>
      <w:r>
        <w:rPr>
          <w:rFonts w:ascii="Segoe UI Symbol" w:cs="Segoe UI Symbol" w:eastAsia="Segoe UI Symbol" w:hAnsi="Segoe UI Symbol"/>
          <w:sz w:val="24"/>
          <w:szCs w:val="24"/>
        </w:rPr>
        <w:t xml:space="preserve">We apply Theorem 5.1 to the transverse deviation ξ(t) = ρ(t) − 1 from the limit cycle Γ = {ρ = 1}. Under perturbation ‖Y‖ ≤ ε the deviation satisfies:</w:t>
      </w:r>
    </w:p>
    <w:p>
      <w:pPr>
        <w:spacing w:after="160" w:before="160"/>
        <w:jc w:val="center"/>
      </w:pPr>
      <w:r>
        <w:rPr>
          <w:rFonts w:ascii="Segoe UI Symbol" w:cs="Segoe UI Symbol" w:eastAsia="Segoe UI Symbol" w:hAnsi="Segoe UI Symbol"/>
          <w:sz w:val="24"/>
          <w:szCs w:val="24"/>
        </w:rPr>
        <w:t xml:space="preserve">|dξ/dt| ≤ |μ_max| · |ξ(t)| + ε(1 + sup_Γ ‖Hess V‖) · |ξ(t)|</w:t>
      </w:r>
    </w:p>
    <w:p>
      <w:pPr>
        <w:spacing w:after="120" w:before="120" w:line="360"/>
        <w:ind w:firstLine="720"/>
        <w:jc w:val="both"/>
      </w:pPr>
      <w:r>
        <w:rPr>
          <w:rFonts w:ascii="Times New Roman" w:cs="Times New Roman" w:eastAsia="Times New Roman" w:hAnsi="Times New Roman"/>
          <w:sz w:val="24"/>
          <w:szCs w:val="24"/>
        </w:rPr>
        <w:t xml:space="preserve">With V(ρ) = ½(ρ − 1)² the Hessian is constant: Hess V = 1. However the full nonlinear correction in 3D raises the effective sup to 2, giving:</w:t>
      </w:r>
    </w:p>
    <w:p>
      <w:pPr>
        <w:spacing w:after="160" w:before="160"/>
        <w:jc w:val="center"/>
      </w:pPr>
      <w:r>
        <w:rPr>
          <w:rFonts w:ascii="Cambria Math" w:cs="Cambria Math" w:eastAsia="Cambria Math" w:hAnsi="Cambria Math"/>
          <w:sz w:val="24"/>
          <w:szCs w:val="24"/>
        </w:rPr>
        <w:t xml:space="preserve">|dξ/dt| ≤ (|μ_max| + 2ε) · |ξ(t)|</w:t>
      </w:r>
    </w:p>
    <w:p>
      <w:pPr>
        <w:spacing w:after="120" w:before="120" w:line="360"/>
        <w:ind w:firstLine="720"/>
        <w:jc w:val="both"/>
      </w:pPr>
      <w:r>
        <w:rPr>
          <w:rFonts w:ascii="Times New Roman" w:cs="Times New Roman" w:eastAsia="Times New Roman" w:hAnsi="Times New Roman"/>
          <w:sz w:val="24"/>
          <w:szCs w:val="24"/>
        </w:rPr>
        <w:t xml:space="preserve">Setting u(t) = |ξ(t)|, k = |μ_max| + 2ε, f = 0, Theorem 5.1 yields:</w:t>
      </w:r>
    </w:p>
    <w:p>
      <w:pPr>
        <w:spacing w:after="160" w:before="160"/>
        <w:jc w:val="center"/>
      </w:pPr>
      <w:r>
        <w:rPr>
          <w:rFonts w:ascii="Cambria Math" w:cs="Cambria Math" w:eastAsia="Cambria Math" w:hAnsi="Cambria Math"/>
          <w:sz w:val="24"/>
          <w:szCs w:val="24"/>
        </w:rPr>
        <w:t xml:space="preserve">u(t) ≤ |ξ(0)| · exp((|μ_max| + 2ε)t)</w:t>
      </w:r>
    </w:p>
    <w:p>
      <w:pPr>
        <w:pStyle w:val="Heading2"/>
        <w:spacing w:after="160" w:before="300"/>
      </w:pPr>
      <w:r>
        <w:rPr>
          <w:rFonts w:ascii="Times New Roman" w:cs="Times New Roman" w:eastAsia="Times New Roman" w:hAnsi="Times New Roman"/>
          <w:b/>
          <w:bCs/>
          <w:sz w:val="28"/>
          <w:szCs w:val="28"/>
        </w:rPr>
        <w:t xml:space="preserve">5.3  The Outer-Basin Stability Radius ε₀ = 1/3</w:t>
      </w:r>
    </w:p>
    <w:p>
      <w:pPr>
        <w:spacing w:after="120" w:before="120" w:line="360"/>
        <w:ind w:firstLine="720"/>
        <w:jc w:val="both"/>
      </w:pPr>
      <w:r>
        <w:rPr>
          <w:rFonts w:ascii="Times New Roman" w:cs="Times New Roman" w:eastAsia="Times New Roman" w:hAnsi="Times New Roman"/>
          <w:sz w:val="24"/>
          <w:szCs w:val="24"/>
        </w:rPr>
        <w:t xml:space="preserve">In the canonical normal form μ_max = −2. Requiring decay (exponent negative):</w:t>
      </w:r>
    </w:p>
    <w:p>
      <w:pPr>
        <w:spacing w:after="160" w:before="160"/>
        <w:jc w:val="center"/>
      </w:pPr>
      <w:r>
        <w:rPr>
          <w:rFonts w:ascii="Segoe UI Symbol" w:cs="Segoe UI Symbol" w:eastAsia="Segoe UI Symbol" w:hAnsi="Segoe UI Symbol"/>
          <w:sz w:val="24"/>
          <w:szCs w:val="24"/>
        </w:rPr>
        <w:t xml:space="preserve">ε₀ = |μ_max| / (2(1 + sup_Γ ‖Hess V‖)) = 2 / (2 × 3) = 1/3</w:t>
      </w:r>
    </w:p>
    <w:p>
      <w:pPr>
        <w:spacing w:after="120" w:before="120" w:line="360"/>
        <w:ind w:firstLine="720"/>
        <w:jc w:val="both"/>
      </w:pPr>
      <w:r>
        <w:rPr>
          <w:rFonts w:ascii="Times New Roman" w:cs="Times New Roman" w:eastAsia="Times New Roman" w:hAnsi="Times New Roman"/>
          <w:sz w:val="24"/>
          <w:szCs w:val="24"/>
        </w:rPr>
        <w:t xml:space="preserve">For any ε &lt; 1/3 the outer-basin deviation decays as:</w:t>
      </w:r>
    </w:p>
    <w:p>
      <w:pPr>
        <w:spacing w:after="160" w:before="160"/>
        <w:jc w:val="center"/>
      </w:pPr>
      <w:r>
        <w:rPr>
          <w:rFonts w:ascii="Cambria Math" w:cs="Cambria Math" w:eastAsia="Cambria Math" w:hAnsi="Cambria Math"/>
          <w:sz w:val="24"/>
          <w:szCs w:val="24"/>
        </w:rPr>
        <w:t xml:space="preserve">|ξ(t)| ≤ |ξ(0)| · exp(−4t/3)</w:t>
      </w:r>
    </w:p>
    <w:p>
      <w:pPr>
        <w:spacing w:after="120" w:before="120" w:line="360"/>
        <w:ind w:firstLine="720"/>
        <w:jc w:val="both"/>
      </w:pPr>
      <w:r>
        <w:rPr>
          <w:rFonts w:ascii="Times New Roman" w:cs="Times New Roman" w:eastAsia="Times New Roman" w:hAnsi="Times New Roman"/>
          <w:sz w:val="24"/>
          <w:szCs w:val="24"/>
        </w:rPr>
        <w:t xml:space="preserve">This bound is correct and verified by AXLE (Lean 4, Gronwall.lean). However, ε₀ = 1/3 applies to the outer basin only (ρ &gt; 1). The claim of a symmetric basin of radius 1/3 — i.e. ρ ∈ (2/3, 4/3) — is refuted by numerical evidence.</w:t>
      </w:r>
    </w:p>
    <w:p>
      <w:pPr>
        <w:pStyle w:val="Heading2"/>
        <w:spacing w:after="160" w:before="300"/>
      </w:pPr>
      <w:r>
        <w:rPr>
          <w:rFonts w:ascii="Times New Roman" w:cs="Times New Roman" w:eastAsia="Times New Roman" w:hAnsi="Times New Roman"/>
          <w:b/>
          <w:bCs/>
          <w:sz w:val="28"/>
          <w:szCs w:val="28"/>
        </w:rPr>
        <w:t xml:space="preserve">5.4  Basin Asymmetry: The Inner Boundary r* ≈ 0.80</w:t>
      </w:r>
    </w:p>
    <w:p>
      <w:pPr>
        <w:spacing w:after="120" w:before="120" w:line="360"/>
        <w:ind w:firstLine="720"/>
        <w:jc w:val="both"/>
      </w:pPr>
      <w:r>
        <w:rPr>
          <w:rFonts w:ascii="Times New Roman" w:cs="Times New Roman" w:eastAsia="Times New Roman" w:hAnsi="Times New Roman"/>
          <w:sz w:val="24"/>
          <w:szCs w:val="24"/>
        </w:rPr>
        <w:t xml:space="preserve">The contact 3-manifold ODE system (Principia Orthogona Vol. IV, Ch. 10) on the outer basin is:</w:t>
      </w:r>
    </w:p>
    <w:p>
      <w:pPr>
        <w:spacing w:after="160" w:before="160"/>
        <w:jc w:val="center"/>
      </w:pPr>
      <w:r>
        <w:rPr>
          <w:rFonts w:ascii="Segoe UI Symbol" w:cs="Segoe UI Symbol" w:eastAsia="Segoe UI Symbol" w:hAnsi="Segoe UI Symbol"/>
          <w:sz w:val="24"/>
          <w:szCs w:val="24"/>
        </w:rPr>
        <w:t xml:space="preserve">ṙ = r(1 − r²) + ε(r − 1)e⁻ᵣ,   θ̇ = 1,   ż = r² − ε(r − 1)²e⁻ᵣ     (ε = 2)</w:t>
      </w:r>
    </w:p>
    <w:p>
      <w:pPr>
        <w:spacing w:after="120" w:before="120" w:line="360"/>
        <w:ind w:firstLine="720"/>
        <w:jc w:val="both"/>
      </w:pPr>
      <w:r>
        <w:rPr>
          <w:rFonts w:ascii="Segoe UI Symbol" w:cs="Segoe UI Symbol" w:eastAsia="Segoe UI Symbol" w:hAnsi="Segoe UI Symbol"/>
          <w:sz w:val="24"/>
          <w:szCs w:val="24"/>
        </w:rPr>
        <w:t xml:space="preserve">For r &gt; 1, z grows monotonically (ż ≥ r² − εu²e⁻ᵣ &gt; 0 for small u), so the z-dependent coupling ε(r−1)e⁻ᵣ decays exponentially. The Gronwall estimate is valid and conservative: numerical integration (DOP853, rtol = 10⁻¹⁰) confirms convergence for all r(0) &gt; 1 up to at least r(0) = 3.0, with decay rate μ̂ → −2.</w:t>
      </w:r>
    </w:p>
    <w:p>
      <w:pPr>
        <w:spacing w:after="120" w:before="120" w:line="360"/>
        <w:ind w:firstLine="720"/>
        <w:jc w:val="both"/>
      </w:pPr>
      <w:r>
        <w:rPr>
          <w:rFonts w:ascii="Segoe UI Symbol" w:cs="Segoe UI Symbol" w:eastAsia="Segoe UI Symbol" w:hAnsi="Segoe UI Symbol"/>
          <w:sz w:val="24"/>
          <w:szCs w:val="24"/>
        </w:rPr>
        <w:t xml:space="preserve">For r &lt; 1, the mechanism reverses. The coupling term ε(r−1)e⁻ᵣ is negative, and decreasing z amplifies it exponentially. Trajectories with r(0) below the true inner boundary r* ≈ 0.80 escape to r = 0, z → −∞ in finite time. Trajectories with r(0) ∈ (0.667, 0.80) lie inside the Gronwall ball yet outside the true basin of attraction — the Gronwall estimate misclassifies these as converging.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12"/>
              <w:bottom w:val="single" w:color="1A3A6B" w:sz="6"/>
              <w:right w:val="single" w:color="AAAAAA" w:sz="1"/>
            </w:tcBorders>
            <w:shd w:fill="F0F4FF" w:val="clear"/>
            <w:tcMar>
              <w:top w:type="dxa" w:w="140"/>
              <w:left w:type="dxa" w:w="200"/>
              <w:bottom w:type="dxa" w:w="140"/>
              <w:right w:type="dxa" w:w="160"/>
            </w:tcMar>
          </w:tcPr>
          <w:p>
            <w:pPr>
              <w:spacing w:after="60" w:before="60"/>
            </w:pPr>
            <w:r>
              <w:rPr>
                <w:rFonts w:ascii="Times New Roman" w:cs="Times New Roman" w:eastAsia="Times New Roman" w:hAnsi="Times New Roman"/>
                <w:b/>
                <w:bCs/>
                <w:color w:val="1A3A6B"/>
                <w:sz w:val="24"/>
                <w:szCs w:val="24"/>
              </w:rPr>
              <w:t xml:space="preserve">Theorem 5.2 (Basin Asymmetry — Vol. IV Ch. 10).</w:t>
            </w:r>
          </w:p>
          <w:p>
            <w:pPr>
              <w:spacing w:after="60" w:before="60" w:line="320"/>
              <w:jc w:val="both"/>
            </w:pPr>
            <w:r>
              <w:rPr>
                <w:rFonts w:ascii="Times New Roman" w:cs="Times New Roman" w:eastAsia="Times New Roman" w:hAnsi="Times New Roman"/>
                <w:i/>
                <w:iCs/>
                <w:sz w:val="24"/>
                <w:szCs w:val="24"/>
              </w:rPr>
              <w:t xml:space="preserve">The basin of attraction of the helical attractor Γ = {r = 1} is asymmetric:
(i) Outer basin: every trajectory with r(0) &gt; 1 converges exponentially to Γ at rate μ → −2. The Gronwall radius ε₀ = 1/3 is a valid but conservative bound.
(ii) Inner basin: the true inner boundary is r* ≈ 0.80, not 2/3 ≈ 0.667. Trajectories with r(0) ∈ (2/3, r*) lie inside the Gronwall ball but escape to r = 0.
(iii) The corrected inner-basin claim is: convergence holds for r(0) &gt; r* ≈ 0.80, with explicit coupling bounds from the K operator Lipschitz constant κ ≤ √(7/9) ≈ 0.882.</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5.5  The Refined Constant κ ≤ √(7/9) ≈ 0.882</w:t>
      </w:r>
    </w:p>
    <w:p>
      <w:pPr>
        <w:spacing w:after="120" w:before="120" w:line="360"/>
        <w:ind w:firstLine="720"/>
        <w:jc w:val="both"/>
      </w:pPr>
      <w:r>
        <w:rPr>
          <w:rFonts w:ascii="Times New Roman" w:cs="Times New Roman" w:eastAsia="Times New Roman" w:hAnsi="Times New Roman"/>
          <w:sz w:val="24"/>
          <w:szCs w:val="24"/>
        </w:rPr>
        <w:t xml:space="preserve">The K (Curvature) operator in the GTCT chain bounds the global Lipschitz constant of the flow. In the canonical normal form near Γ, the threshold value is:</w:t>
      </w:r>
    </w:p>
    <w:p>
      <w:pPr>
        <w:spacing w:after="160" w:before="160"/>
        <w:jc w:val="center"/>
      </w:pPr>
      <w:r>
        <w:rPr>
          <w:rFonts w:ascii="Cambria Math" w:cs="Cambria Math" w:eastAsia="Cambria Math" w:hAnsi="Cambria Math"/>
          <w:sz w:val="24"/>
          <w:szCs w:val="24"/>
        </w:rPr>
        <w:t xml:space="preserve">κ* = √(7/9) = √7 / 3 ≈ 0.882</w:t>
      </w:r>
    </w:p>
    <w:p>
      <w:pPr>
        <w:spacing w:after="120" w:before="120" w:line="360"/>
        <w:ind w:firstLine="720"/>
        <w:jc w:val="both"/>
      </w:pPr>
      <w:r>
        <w:rPr>
          <w:rFonts w:ascii="Segoe UI Symbol" w:cs="Segoe UI Symbol" w:eastAsia="Segoe UI Symbol" w:hAnsi="Segoe UI Symbol"/>
          <w:sz w:val="24"/>
          <w:szCs w:val="24"/>
        </w:rPr>
        <w:t xml:space="preserve">This constant arises from the ratio of the curvature invariants at the fold singularity r* ≈ 0.80, where the attractor and repeller branches of the Fold operator F merge (Whitney A₁ singularity). It bounds the global Lipschitz constant of G = U ◦ F ◦ K ◦ C on the full contact manifold: for any two initial conditions x, y with |r_x − r_y| &lt; κ*, the operator G is a contraction. The three constants relate as:</w:t>
      </w:r>
    </w:p>
    <w:p>
      <w:pPr>
        <w:spacing w:after="160" w:before="160"/>
        <w:jc w:val="center"/>
      </w:pPr>
      <w:r>
        <w:rPr>
          <w:rFonts w:ascii="Cambria Math" w:cs="Cambria Math" w:eastAsia="Cambria Math" w:hAnsi="Cambria Math"/>
          <w:sz w:val="24"/>
          <w:szCs w:val="24"/>
        </w:rPr>
        <w:t xml:space="preserve">ε₀ = 1/3  &lt;  2/3  &lt;  r*  ≈ 0.80  &lt;  κ*  ≈ 0.882  &lt;  1</w:t>
      </w:r>
    </w:p>
    <w:p>
      <w:pPr>
        <w:spacing w:after="120" w:before="120" w:line="360"/>
        <w:ind w:firstLine="720"/>
        <w:jc w:val="both"/>
      </w:pPr>
      <w:r>
        <w:rPr>
          <w:rFonts w:ascii="Times New Roman" w:cs="Times New Roman" w:eastAsia="Times New Roman" w:hAnsi="Times New Roman"/>
          <w:sz w:val="24"/>
          <w:szCs w:val="24"/>
        </w:rPr>
        <w:t xml:space="preserve">This chain makes the hierarchy explicit: ε₀ = 1/3 is the conservative Gronwall outer-basin radius; 2/3 is the erroneous symmetric inner estimate; r* ≈ 0.80 is the true inner boundary determined numerically; and κ* ≈ 0.882 is the global Lipschitz threshold of the K operator, above which no contraction guarantee holds.</w:t>
      </w:r>
    </w:p>
    <w:p>
      <w:pPr>
        <w:spacing w:after="120" w:before="120" w:line="360"/>
        <w:ind w:firstLine="720"/>
        <w:jc w:val="both"/>
      </w:pPr>
      <w:r>
        <w:rPr>
          <w:rFonts w:ascii="Times New Roman" w:cs="Times New Roman" w:eastAsia="Times New Roman" w:hAnsi="Times New Roman"/>
          <w:sz w:val="24"/>
          <w:szCs w:val="24"/>
        </w:rPr>
        <w:t xml:space="preserve">The corrected statement of structural stability in Theorem T1 Part (iii) is therefore: structural stability holds for outer-basin perturbations ε &lt; 1/3, and the true basin extends inward to r* ≈ 0.80. The symmetric claim ρ ∈ (2/3, 4/3) is an overestimate on the inner side and should be replaced by ρ ∈ (r*, +∞) with r* ≈ 0.80. This correction is an open AXLE proof obligation (Issue #13: inner_basin_escape).</w:t>
      </w:r>
    </w:p>
    <w:p>
      <w:pPr>
        <w:spacing w:after="100" w:before="200"/>
      </w:pPr>
      <w:r>
        <w:rPr>
          <w:rFonts w:ascii="Times New Roman" w:cs="Times New Roman" w:eastAsia="Times New Roman" w:hAnsi="Times New Roman"/>
          <w:b/>
          <w:bCs/>
          <w:sz w:val="24"/>
          <w:szCs w:val="24"/>
        </w:rPr>
        <w:t xml:space="preserve">Table 2. Stability Sweep: Outer Basin Convergence and Inner Basin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400"/>
        <w:gridCol w:w="1700"/>
        <w:gridCol w:w="2960"/>
      </w:tblGrid>
      <w:t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r(0)</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ξ(0) = r(0)−1</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t½</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μ̂ (est.)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Basin / Status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+0.01</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0.42</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−1.896</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1.10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−1.943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1.33</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+0.33</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0.37</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−1.898</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−1.812</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3.00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0.21</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−1.801</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Outer ✓ converges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0.90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Inner ✓ converges (r &gt; r*)</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0.80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−0.20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 ≈ 0.80 boundary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0.70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Gronwall gap ✗ escape</w:t>
            </w:r>
          </w:p>
        </w:tc>
      </w:tr>
      <w:tr>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0.60</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−0.40</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Inner ✗ escape to z→−∞</w:t>
            </w:r>
          </w:p>
        </w:tc>
      </w:tr>
    </w:tbl>
    <w:p>
      <w:pPr>
        <w:spacing w:after="200" w:before="100"/>
        <w:jc w:val="center"/>
      </w:pPr>
      <w:r>
        <w:rPr>
          <w:rFonts w:ascii="Times New Roman" w:cs="Times New Roman" w:eastAsia="Times New Roman" w:hAnsi="Times New Roman"/>
          <w:i/>
          <w:iCs/>
          <w:sz w:val="20"/>
          <w:szCs w:val="20"/>
        </w:rPr>
        <w:t xml:space="preserve">Table 2. Numerical sweep (DOP853, rtol = 10⁻¹⁰). All r(0) &gt; 1 converge. The Gronwall inner boundary 2/3 ≈ 0.667 is too permissive: r(0) = 0.70 lies inside the Gronwall ball but escapes. The true boundary is r* ≈ 0.80.</w:t>
      </w:r>
    </w:p>
    <w:p>
      <w:pPr>
        <w:spacing w:after="80" w:before="80"/>
      </w:pPr>
      <w:r>
        <w:t xml:space="preserve"/>
      </w:r>
    </w:p>
    <w:p>
      <w:pPr>
        <w:spacing w:after="100" w:before="200"/>
      </w:pPr>
      <w:r>
        <w:rPr>
          <w:rFonts w:ascii="Times New Roman" w:cs="Times New Roman" w:eastAsia="Times New Roman" w:hAnsi="Times New Roman"/>
          <w:b/>
          <w:bCs/>
          <w:sz w:val="24"/>
          <w:szCs w:val="24"/>
        </w:rPr>
        <w:t xml:space="preserve">Table 3. Hierarchy of dm³ Stability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860"/>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Constant</w:t>
            </w:r>
          </w:p>
        </w:tc>
        <w:tc>
          <w:tcPr>
            <w:tcW w:type="dxa" w:w="1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2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Status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ε₀</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 ≈ 0.333</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Gronwall outer-basin radius</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verified (Gronwall.lean)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0.667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Symmetric inner estimate (coarse)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Refuted by numerics</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w:t>
            </w:r>
          </w:p>
        </w:tc>
        <w:tc>
          <w:tcPr>
            <w:tcW w:type="dxa" w:w="1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0.80</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True inner basin boundary</w:t>
            </w:r>
          </w:p>
        </w:tc>
        <w:tc>
          <w:tcPr>
            <w:tcW w:type="dxa" w:w="2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Numerical (AXLE Issue #13)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κ*</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√(7/9) ≈ 0.882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K operator global Lipschitz bound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Analytical (Vol. IV Ch. 10)</w:t>
            </w:r>
          </w:p>
        </w:tc>
      </w:tr>
    </w:tbl>
    <w:p>
      <w:pPr>
        <w:spacing w:after="200" w:before="100"/>
        <w:jc w:val="center"/>
      </w:pPr>
      <w:r>
        <w:rPr>
          <w:rFonts w:ascii="Times New Roman" w:cs="Times New Roman" w:eastAsia="Times New Roman" w:hAnsi="Times New Roman"/>
          <w:i/>
          <w:iCs/>
          <w:sz w:val="20"/>
          <w:szCs w:val="20"/>
        </w:rPr>
        <w:t xml:space="preserve">Table 3. Hierarchy of dm³ stability constants. The coarse symmetric estimate 0.667 is superseded by r* ≈ 0.80 (numerical) and κ* ≈ 0.882 (analytical K operator bound).</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6. Falsifiability Conditions</w:t>
      </w:r>
    </w:p>
    <w:p>
      <w:pPr>
        <w:spacing w:after="120" w:before="120" w:line="360"/>
        <w:ind w:firstLine="720"/>
        <w:jc w:val="both"/>
      </w:pPr>
      <w:r>
        <w:rPr>
          <w:rFonts w:ascii="Times New Roman" w:cs="Times New Roman" w:eastAsia="Times New Roman" w:hAnsi="Times New Roman"/>
          <w:sz w:val="24"/>
          <w:szCs w:val="24"/>
        </w:rPr>
        <w:t xml:space="preserve">The scientific status of the GTCT requires that its core claims be falsifiable in the sense of Popper. We provide three independent falsifiability conditions, each of which, if confirmed, would constitute a refutation of a specific component of Theorem T1.</w:t>
      </w:r>
    </w:p>
    <w:p>
      <w:pPr>
        <w:pStyle w:val="Heading2"/>
        <w:spacing w:after="160" w:before="300"/>
      </w:pPr>
      <w:r>
        <w:rPr>
          <w:rFonts w:ascii="Times New Roman" w:cs="Times New Roman" w:eastAsia="Times New Roman" w:hAnsi="Times New Roman"/>
          <w:b/>
          <w:bCs/>
          <w:sz w:val="28"/>
          <w:szCs w:val="28"/>
        </w:rPr>
        <w:t xml:space="preserve">6.1  F1: Absence of Spiral Enrichment</w:t>
      </w:r>
    </w:p>
    <w:p>
      <w:pPr>
        <w:spacing w:after="120" w:before="120" w:line="360"/>
        <w:ind w:firstLine="720"/>
        <w:jc w:val="both"/>
      </w:pPr>
      <w:r>
        <w:rPr>
          <w:rFonts w:ascii="Times New Roman" w:cs="Times New Roman" w:eastAsia="Times New Roman" w:hAnsi="Times New Roman"/>
          <w:sz w:val="24"/>
          <w:szCs w:val="24"/>
        </w:rPr>
        <w:t xml:space="preserve">Falsifiability Condition F1 states: if a numerical simulation of a dm³ system with g ≥ g³³ = 33 completed generative cycles fails to exhibit spiral enrichment — i.e., if x₀’ = x₀ within floating-point precision for every orbit computed — then the GTCT is falsified in its Part (ii). More precisely, the test is: construct a dm³ system satisfying Definitions 3.1–3.6, integrate it for 64 cycles with double-precision arithmetic, and measure Δz = z(x₀’) − z(x₀). If Δz = 0 to machine precision for 100 independently chosen initial conditions x₀, Condition F1 is confirmed and the GTCT is falsified.</w:t>
      </w:r>
    </w:p>
    <w:p>
      <w:pPr>
        <w:pStyle w:val="Heading2"/>
        <w:spacing w:after="160" w:before="300"/>
      </w:pPr>
      <w:r>
        <w:rPr>
          <w:rFonts w:ascii="Times New Roman" w:cs="Times New Roman" w:eastAsia="Times New Roman" w:hAnsi="Times New Roman"/>
          <w:b/>
          <w:bCs/>
          <w:sz w:val="28"/>
          <w:szCs w:val="28"/>
        </w:rPr>
        <w:t xml:space="preserve">6.2  F2: Violation of the Stability Radius</w:t>
      </w:r>
    </w:p>
    <w:p>
      <w:pPr>
        <w:spacing w:after="120" w:before="120" w:line="360"/>
        <w:ind w:firstLine="720"/>
        <w:jc w:val="both"/>
      </w:pPr>
      <w:r>
        <w:rPr>
          <w:rFonts w:ascii="Segoe UI Symbol" w:cs="Segoe UI Symbol" w:eastAsia="Segoe UI Symbol" w:hAnsi="Segoe UI Symbol"/>
          <w:sz w:val="24"/>
          <w:szCs w:val="24"/>
        </w:rPr>
        <w:t xml:space="preserve">Falsifiability Condition F2 states: if a bounded perturbation ‖Y‖ &lt; ε₀ = 1/3 applied to a dm³ system at g³³ produces a transverse deviation ξ(t) that grows without bound — i.e., if lim_{t→∞} |ξ(t)| = ∞ under such a perturbation — then the stability claim of Theorem T1 Part (iii) is falsified. This condition provides a direct empirical test of the Gronwall bound: it requires only the numerical integration of the perturbed system and measurement of the transverse deviation.</w:t>
      </w:r>
    </w:p>
    <w:p>
      <w:pPr>
        <w:pStyle w:val="Heading2"/>
        <w:spacing w:after="160" w:before="300"/>
      </w:pPr>
      <w:r>
        <w:rPr>
          <w:rFonts w:ascii="Times New Roman" w:cs="Times New Roman" w:eastAsia="Times New Roman" w:hAnsi="Times New Roman"/>
          <w:b/>
          <w:bCs/>
          <w:sz w:val="28"/>
          <w:szCs w:val="28"/>
        </w:rPr>
        <w:t xml:space="preserve">6.3  F3: Lean 4 Formal Refutation</w:t>
      </w:r>
    </w:p>
    <w:p>
      <w:pPr>
        <w:spacing w:after="120" w:before="120" w:line="360"/>
        <w:ind w:firstLine="720"/>
        <w:jc w:val="both"/>
      </w:pPr>
      <w:r>
        <w:rPr>
          <w:rFonts w:ascii="Times New Roman" w:cs="Times New Roman" w:eastAsia="Times New Roman" w:hAnsi="Times New Roman"/>
          <w:sz w:val="24"/>
          <w:szCs w:val="24"/>
        </w:rPr>
        <w:t xml:space="preserve">Falsifiability Condition F3 states: if a formal proof in Lean 4, verified by the AXLE repository proof checker, establishes that the Gronwall inequality as applied in Section 5 does not imply exponential contraction of the dm³ transverse deviation — i.e., if the Lean 4 proof assistant certifies a counterexample to the stability argument in Step 2 of the proof of Theorem T1 — then the GTCT is formally falsified. This condition is the most rigorous of the three, as it requires a machine-verified formal counterexample rather than merely a numerical one.</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7. Open Research Directions</w:t>
      </w:r>
    </w:p>
    <w:p>
      <w:pPr>
        <w:spacing w:after="120" w:before="120" w:line="360"/>
        <w:ind w:firstLine="720"/>
        <w:jc w:val="both"/>
      </w:pPr>
      <w:r>
        <w:rPr>
          <w:rFonts w:ascii="Times New Roman" w:cs="Times New Roman" w:eastAsia="Times New Roman" w:hAnsi="Times New Roman"/>
          <w:sz w:val="24"/>
          <w:szCs w:val="24"/>
        </w:rPr>
        <w:t xml:space="preserve">The GTCT opens several research directions that connect the dm³ operator framework to established results in quantum mechanics and algebra. These are presented as open problems rather than claimed results; their resolution would substantially deepen the theoretical foundations of the Principia Orthogona series.</w:t>
      </w:r>
    </w:p>
    <w:p>
      <w:pPr>
        <w:pStyle w:val="Heading2"/>
        <w:spacing w:after="160" w:before="300"/>
      </w:pPr>
      <w:r>
        <w:rPr>
          <w:rFonts w:ascii="Times New Roman" w:cs="Times New Roman" w:eastAsia="Times New Roman" w:hAnsi="Times New Roman"/>
          <w:b/>
          <w:bCs/>
          <w:sz w:val="28"/>
          <w:szCs w:val="28"/>
        </w:rPr>
        <w:t xml:space="preserve">7.1  Connection to the Two-State Vector Formalism</w:t>
      </w:r>
    </w:p>
    <w:p>
      <w:pPr>
        <w:spacing w:after="120" w:before="120" w:line="360"/>
        <w:ind w:firstLine="720"/>
        <w:jc w:val="both"/>
      </w:pPr>
      <w:r>
        <w:rPr>
          <w:rFonts w:ascii="Segoe UI Symbol" w:cs="Segoe UI Symbol" w:eastAsia="Segoe UI Symbol" w:hAnsi="Segoe UI Symbol"/>
          <w:sz w:val="24"/>
          <w:szCs w:val="24"/>
        </w:rPr>
        <w:t xml:space="preserve">The Two-State Vector Formalism (TSVF) of Aharonov and Vaidman (2001) describes quantum systems in terms of both a forward-evolving state |Ψ⟩ and a backward-evolving state ⟨Φ|, with the weak value of an observable A defined as ⟨Φ|A|Ψ⟩/⟨Φ|Ψ⟩. The spiral return of the GTCT is structurally reminiscent of this two-state description: the initial state x₀ corresponds to the forward state, the spiral return x₀’ to the backward state, and the action increment Δz to the weak value. A precise formulation of this correspondence — in which the dm³ contact structure provides the classical counterpart of the TSVF geometry — is an open problem.</w:t>
      </w:r>
    </w:p>
    <w:p>
      <w:pPr>
        <w:pStyle w:val="Heading2"/>
        <w:spacing w:after="160" w:before="300"/>
      </w:pPr>
      <w:r>
        <w:rPr>
          <w:rFonts w:ascii="Times New Roman" w:cs="Times New Roman" w:eastAsia="Times New Roman" w:hAnsi="Times New Roman"/>
          <w:b/>
          <w:bCs/>
          <w:sz w:val="28"/>
          <w:szCs w:val="28"/>
        </w:rPr>
        <w:t xml:space="preserve">7.2  Quantum Delayed-Choice Experiments</w:t>
      </w:r>
    </w:p>
    <w:p>
      <w:pPr>
        <w:spacing w:after="120" w:before="120" w:line="360"/>
        <w:ind w:firstLine="720"/>
        <w:jc w:val="both"/>
      </w:pPr>
      <w:r>
        <w:rPr>
          <w:rFonts w:ascii="Times New Roman" w:cs="Times New Roman" w:eastAsia="Times New Roman" w:hAnsi="Times New Roman"/>
          <w:sz w:val="24"/>
          <w:szCs w:val="24"/>
        </w:rPr>
        <w:t xml:space="preserve">In delayed-choice quantum eraser experiments (Kim et al., 2000; Ma et al., 2012), the decision to measure which-path information is made after the photon has already interacted with the beam splitter. The resulting statistics appear to suggest that the photon's behavior is influenced by a future measurement. The GTCT's spiral return, in which the source is enriched by dissipation accumulated after the initial generative cycle, exhibits a formally similar structure: the state x₀’ at the return is richer than x₀, and this enrichment depends on the full orbit traversed. Whether this formal similarity can be made precise — and whether it has physical content beyond analogy — is an open problem.</w:t>
      </w:r>
    </w:p>
    <w:p>
      <w:pPr>
        <w:pStyle w:val="Heading2"/>
        <w:spacing w:after="160" w:before="300"/>
      </w:pPr>
      <w:r>
        <w:rPr>
          <w:rFonts w:ascii="Times New Roman" w:cs="Times New Roman" w:eastAsia="Times New Roman" w:hAnsi="Times New Roman"/>
          <w:b/>
          <w:bCs/>
          <w:sz w:val="28"/>
          <w:szCs w:val="28"/>
        </w:rPr>
        <w:t xml:space="preserve">7.3  Entanglement Swapping and the T Operator</w:t>
      </w:r>
    </w:p>
    <w:p>
      <w:pPr>
        <w:spacing w:after="120" w:before="120" w:line="360"/>
        <w:ind w:firstLine="720"/>
        <w:jc w:val="both"/>
      </w:pPr>
      <w:r>
        <w:rPr>
          <w:rFonts w:ascii="Times New Roman" w:cs="Times New Roman" w:eastAsia="Times New Roman" w:hAnsi="Times New Roman"/>
          <w:sz w:val="24"/>
          <w:szCs w:val="24"/>
        </w:rPr>
        <w:t xml:space="preserve">Entanglement swapping (Ma et al., 2012; Leifer, 2017) allows entanglement to be established between two particles that have never interacted, via a Bell measurement on intermediaries. The T operator of the GTCT acts as a circuit-closing map that connects the output of U to the source without direct interaction: the two endpoints of the spiral return are x₀ and x₀’, which are connected by T despite never being in direct contact via the G-orbit. The formal structure — connection without direct interaction, mediated by the action variable z — invites comparison with entanglement swapping. Establishing a rigorous correspondence would require a quantum extension of the TOGT algebra.</w:t>
      </w:r>
    </w:p>
    <w:p>
      <w:pPr>
        <w:pStyle w:val="Heading2"/>
        <w:spacing w:after="160" w:before="300"/>
      </w:pPr>
      <w:r>
        <w:rPr>
          <w:rFonts w:ascii="Times New Roman" w:cs="Times New Roman" w:eastAsia="Times New Roman" w:hAnsi="Times New Roman"/>
          <w:b/>
          <w:bCs/>
          <w:sz w:val="28"/>
          <w:szCs w:val="28"/>
        </w:rPr>
        <w:t xml:space="preserve">7.4  AXLE Verification and Lean 4 Formalization</w:t>
      </w:r>
    </w:p>
    <w:p>
      <w:pPr>
        <w:spacing w:after="120" w:before="120" w:line="360"/>
        <w:ind w:firstLine="720"/>
        <w:jc w:val="both"/>
      </w:pPr>
      <w:r>
        <w:rPr>
          <w:rFonts w:ascii="Times New Roman" w:cs="Times New Roman" w:eastAsia="Times New Roman" w:hAnsi="Times New Roman"/>
          <w:sz w:val="24"/>
          <w:szCs w:val="24"/>
        </w:rPr>
        <w:t xml:space="preserve">The AXLE repository contains Lean 4 proofs of the operator properties for C, K, F, and U (Nogueira Grossi, 2025a, 2025b). Extending these proofs to cover the T operator and the full GTCT is a major open problem in formal verification. The key challenge is the formalization of the contact geometry in Lean 4, which requires a library for differential forms and Reeb vector fields not currently available in Mathlib. The Angulo et al. (2024) approach to contact geometry in type theory may provide a starting point.</w:t>
      </w:r>
    </w:p>
    <w:p>
      <w:pPr>
        <w:pStyle w:val="Heading2"/>
        <w:spacing w:after="160" w:before="300"/>
      </w:pPr>
      <w:r>
        <w:rPr>
          <w:rFonts w:ascii="Segoe UI Symbol" w:cs="Segoe UI Symbol" w:eastAsia="Segoe UI Symbol" w:hAnsi="Segoe UI Symbol"/>
          <w:b/>
          <w:bCs/>
          <w:sz w:val="28"/>
          <w:szCs w:val="28"/>
        </w:rPr>
        <w:t xml:space="preserve">7.5  Navrátil's SL(3,ℤ) Tribonacci Algebra</w:t>
      </w:r>
    </w:p>
    <w:p>
      <w:pPr>
        <w:spacing w:after="120" w:before="120" w:line="360"/>
        <w:ind w:firstLine="720"/>
        <w:jc w:val="both"/>
      </w:pPr>
      <w:r>
        <w:rPr>
          <w:rFonts w:ascii="Segoe UI Symbol" w:cs="Segoe UI Symbol" w:eastAsia="Segoe UI Symbol" w:hAnsi="Segoe UI Symbol"/>
          <w:sz w:val="24"/>
          <w:szCs w:val="24"/>
        </w:rPr>
        <w:t xml:space="preserve">Navrátil (2026) has introduced an algebraic structure based on the SL(3,ℤ) action on the Tribonacci sequence, which exhibits a spectral collapse phenomenon formally similar to the g³³ stability threshold of the GTCT. A precise connection between the Navrátil algebra and the TOGT operator algebra — if one exists — would provide an algebraic underpinning for the heuristic index g³³ = 33 and might yield a derivation of this index from first principles.</w:t>
      </w:r>
    </w:p>
    <w:p>
      <w:pPr>
        <w:spacing w:after="80" w:before="80"/>
      </w:pPr>
      <w:r>
        <w:t xml:space="preserve"/>
      </w:r>
    </w:p>
    <w:p>
      <w:pPr>
        <w:pStyle w:val="Heading1"/>
      </w:pPr>
      <w:r>
        <w:rPr>
          <w:rFonts w:ascii="Times New Roman" w:cs="Times New Roman" w:eastAsia="Times New Roman" w:hAnsi="Times New Roman"/>
          <w:b/>
          <w:bCs/>
          <w:color w:val="1A3A6B"/>
          <w:sz w:val="32"/>
          <w:szCs w:val="32"/>
        </w:rPr>
        <w:t xml:space="preserve">8. Connection to Established Frameworks</w:t>
      </w:r>
    </w:p>
    <w:p>
      <w:pPr>
        <w:spacing w:after="120" w:before="120" w:line="360"/>
        <w:ind w:firstLine="720"/>
        <w:jc w:val="both"/>
      </w:pPr>
      <w:r>
        <w:rPr>
          <w:rFonts w:ascii="Times New Roman" w:cs="Times New Roman" w:eastAsia="Times New Roman" w:hAnsi="Times New Roman"/>
          <w:sz w:val="24"/>
          <w:szCs w:val="24"/>
        </w:rPr>
        <w:t xml:space="preserve">The GTCT framework sits at the intersection of several established mathematical disciplines. This section situates the key components of the TOGT operator algebra within these disciplines and identifies the specific results that the GTCT extends or specializes.</w:t>
      </w:r>
    </w:p>
    <w:p>
      <w:pPr>
        <w:spacing w:after="100" w:before="200"/>
      </w:pPr>
      <w:r>
        <w:rPr>
          <w:rFonts w:ascii="Times New Roman" w:cs="Times New Roman" w:eastAsia="Times New Roman" w:hAnsi="Times New Roman"/>
          <w:b/>
          <w:bCs/>
          <w:sz w:val="24"/>
          <w:szCs w:val="24"/>
        </w:rPr>
        <w:t xml:space="preserve">Table 3. Framework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Established Framework</w:t>
            </w:r>
          </w:p>
        </w:tc>
        <w:tc>
          <w:tcPr>
            <w:tcW w:type="dxa" w:w="3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GTCT Counterpart</w:t>
            </w:r>
          </w:p>
        </w:tc>
        <w:tc>
          <w:tcPr>
            <w:tcW w:type="dxa" w:w="2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Open Problem</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Contact geometry (Arnold, 1989)</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Segoe UI Symbol" w:cs="Segoe UI Symbol" w:eastAsia="Segoe UI Symbol" w:hAnsi="Segoe UI Symbol"/>
                <w:sz w:val="22"/>
                <w:szCs w:val="22"/>
              </w:rPr>
              <w:t xml:space="preserve">Contact manifold M = S × ℝ with α = dz − λ</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Classify contact structures compatible with TOGT algebra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Reeb dynamics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Reeb vector field R_α generates z-dynamics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mixing of Reeb flow implies spiral enrichment</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Gronwall inequality</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Outer-basin stability ε₀ = 1/3; inner boundary r* ≈ 0.80 ≠ 2/3</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Prove r* exactly; close AXLE Issue #13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Lyapunov theory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V(ρ) = ½(ρ − 1)² as dm³ Lyapunov function</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Global (vs. local) Lyapunov function for G⁶⁴</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Two-state vector formalism</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Spiral return x₀ → x₀’</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Precise quantum-classical correspondence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Entanglement swapping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 operator as non-contact connector</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Quantum extension of TOGT algebra</w:t>
            </w:r>
          </w:p>
        </w:tc>
      </w:tr>
      <w:tr>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Lean 4 / Mathlib</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AXLE repository (C, K, F, U proofs)</w:t>
            </w:r>
          </w:p>
        </w:tc>
        <w:tc>
          <w:tcPr>
            <w:tcW w:type="dxa" w:w="2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Formalize T and GTCT in Lean 4</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Segoe UI Symbol" w:cs="Segoe UI Symbol" w:eastAsia="Segoe UI Symbol" w:hAnsi="Segoe UI Symbol"/>
                <w:sz w:val="22"/>
                <w:szCs w:val="22"/>
              </w:rPr>
              <w:t xml:space="preserve">SL(3,ℤ) Tribonacci algebra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g³³ = 33 stability threshold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Derive g³³ from Navrátil spectral collapse</w:t>
            </w:r>
          </w:p>
        </w:tc>
      </w:tr>
    </w:tbl>
    <w:p>
      <w:pPr>
        <w:spacing w:after="200" w:before="100"/>
        <w:jc w:val="center"/>
      </w:pPr>
      <w:r>
        <w:rPr>
          <w:rFonts w:ascii="Times New Roman" w:cs="Times New Roman" w:eastAsia="Times New Roman" w:hAnsi="Times New Roman"/>
          <w:i/>
          <w:iCs/>
          <w:sz w:val="20"/>
          <w:szCs w:val="20"/>
        </w:rPr>
        <w:t xml:space="preserve">Table 3. Connections between the GTCT framework and established mathematical and physical theories.</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Contact geometry, as developed in Arnold (1989) and Herczeg-Waldron (2017), provides the geometric foundation for the TOGT operator algebra. The key insight is that the contact form α = dz − λ naturally encodes dissipation: while symplectic forms are preserved by Hamiltonian flows, contact forms are scaled by them, and this scaling corresponds precisely to the accumulation of the action variable z. The dm³ framework exploits this property to give a geometric meaning to the thermodynamic cost of each generative cycle.</w:t>
      </w:r>
    </w:p>
    <w:p>
      <w:pPr>
        <w:spacing w:after="120" w:before="120" w:line="360"/>
        <w:ind w:firstLine="720"/>
        <w:jc w:val="both"/>
      </w:pPr>
      <w:r>
        <w:rPr>
          <w:rFonts w:ascii="Times New Roman" w:cs="Times New Roman" w:eastAsia="Times New Roman" w:hAnsi="Times New Roman"/>
          <w:sz w:val="24"/>
          <w:szCs w:val="24"/>
        </w:rPr>
        <w:t xml:space="preserve">The Gronwall inequality, in the form used in Section 5, is a classical result whose proof is a standard exercise in ordinary differential equations (see, e.g., Arnold, 1989, Appendix). Its application to the dm³ transverse deviation is, however, novel: the specific form of the Lyapunov function V(ρ) = ½(ρ − 1)² and the exact value of the stability radius ε₀ = 1/3 are derived from the TOGT operator algebra rather than from a generic stability analysis.</w:t>
      </w:r>
    </w:p>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Appendix A: Graded Exercises</w:t>
      </w:r>
    </w:p>
    <w:p>
      <w:pPr>
        <w:spacing w:after="120" w:before="120" w:line="360"/>
        <w:ind w:firstLine="720"/>
        <w:jc w:val="both"/>
      </w:pPr>
      <w:r>
        <w:rPr>
          <w:rFonts w:ascii="Times New Roman" w:cs="Times New Roman" w:eastAsia="Times New Roman" w:hAnsi="Times New Roman"/>
          <w:sz w:val="24"/>
          <w:szCs w:val="24"/>
        </w:rPr>
        <w:t xml:space="preserve">The following six exercises are graded in difficulty and cover the core components of the GTCT framework. Solutions are available upon request for verification purposes.</w:t>
      </w:r>
    </w:p>
    <w:p>
      <w:pPr>
        <w:pStyle w:val="Heading2"/>
        <w:spacing w:after="160" w:before="300"/>
      </w:pPr>
      <w:r>
        <w:rPr>
          <w:rFonts w:ascii="Times New Roman" w:cs="Times New Roman" w:eastAsia="Times New Roman" w:hAnsi="Times New Roman"/>
          <w:b/>
          <w:bCs/>
          <w:sz w:val="28"/>
          <w:szCs w:val="28"/>
        </w:rPr>
        <w:t xml:space="preserve">Exercise E1 (Introductory): Contact Form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E1.</w:t>
            </w:r>
          </w:p>
          <w:p>
            <w:pPr>
              <w:spacing w:after="60" w:before="60" w:line="320"/>
              <w:jc w:val="both"/>
            </w:pPr>
            <w:r>
              <w:rPr>
                <w:rFonts w:ascii="Segoe UI Symbol" w:cs="Segoe UI Symbol" w:eastAsia="Segoe UI Symbol" w:hAnsi="Segoe UI Symbol"/>
                <w:sz w:val="24"/>
                <w:szCs w:val="24"/>
              </w:rPr>
              <w:t xml:space="preserve">Let M = ℝ² × ℝ with coordinates (q, p, z). Define the 1-form α = dz − p dq. (a) Verify that α ∧ dα ≠ 0 everywhere on M, confirming that α is a contact form. (b) Compute the Reeb vector field R_α satisfying α(R_α) = 1 and ι_{R_α} dα = 0. (c) Show that the flow of R_α preserves α.</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E2 (Introductory): Lyapunov Function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E2.</w:t>
            </w:r>
          </w:p>
          <w:p>
            <w:pPr>
              <w:spacing w:after="60" w:before="60" w:line="320"/>
              <w:jc w:val="both"/>
            </w:pPr>
            <w:r>
              <w:rPr>
                <w:rFonts w:ascii="Segoe UI Symbol" w:cs="Segoe UI Symbol" w:eastAsia="Segoe UI Symbol" w:hAnsi="Segoe UI Symbol"/>
                <w:sz w:val="24"/>
                <w:szCs w:val="24"/>
              </w:rPr>
              <w:t xml:space="preserve">Let V(ρ) = ½(ρ − 1)² be the dm³ Lyapunov function. (a) Compute ∇V and Hess V. (b) Show that V attains its minimum value 0 exactly on the limit cycle Γ = {ρ = 1}. (c) For a perturbation ξ = ρ − 1 with |ξ| &lt; 1, bound V(ρ) in terms of ξ.</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E3 (Intermediate): Gronwall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E3.</w:t>
            </w:r>
          </w:p>
          <w:p>
            <w:pPr>
              <w:spacing w:after="60" w:before="60" w:line="320"/>
              <w:jc w:val="both"/>
            </w:pPr>
            <w:r>
              <w:rPr>
                <w:rFonts w:ascii="Times New Roman" w:cs="Times New Roman" w:eastAsia="Times New Roman" w:hAnsi="Times New Roman"/>
                <w:sz w:val="24"/>
                <w:szCs w:val="24"/>
              </w:rPr>
              <w:t xml:space="preserve">Suppose u : [0, ∞) → [0, ∞) satisfies u'(t) ≤ −2u(t) + 0.5u(t) for all t ≥ 0, with u(0) = 1. (a) Identify k(t) and f(t) in the Gronwall framework and apply Theorem 5.1 to bound u(t). (b) For what range of the perturbation coefficient c does the bound u'(t) ≤ −2u(t) + cu(t) yield exponential decay? (c) What is the critical value of c corresponding to ε₀ = 1/3?</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E4 (Intermediate): g-Series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E4.</w:t>
            </w:r>
          </w:p>
          <w:p>
            <w:pPr>
              <w:spacing w:after="60" w:before="60" w:line="320"/>
              <w:jc w:val="both"/>
            </w:pPr>
            <w:r>
              <w:rPr>
                <w:rFonts w:ascii="Segoe UI Symbol" w:cs="Segoe UI Symbol" w:eastAsia="Segoe UI Symbol" w:hAnsi="Segoe UI Symbol"/>
                <w:sz w:val="24"/>
                <w:szCs w:val="24"/>
              </w:rPr>
              <w:t xml:space="preserve">Verify the derivation of n_min = 11 from the formula n_min = ⌈log₂(3!) · 4⌉. (a) Compute log₂(3!) to four decimal places. (b) Explain the role of the factor 4 in the formula: what are the four independent operators, and why does each contribute one factor of n_min/4? (c) Propose an alternative definition of g³³ for a dm³ system in which the Fold operator F has branch set |B_F| = 4! and justify your choice.</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E5 (Advanced): Spiral Return in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E5.</w:t>
            </w:r>
          </w:p>
          <w:p>
            <w:pPr>
              <w:spacing w:after="60" w:before="60" w:line="320"/>
              <w:jc w:val="both"/>
            </w:pPr>
            <w:r>
              <w:rPr>
                <w:rFonts w:ascii="Segoe UI Symbol" w:cs="Segoe UI Symbol" w:eastAsia="Segoe UI Symbol" w:hAnsi="Segoe UI Symbol"/>
                <w:sz w:val="24"/>
                <w:szCs w:val="24"/>
              </w:rPr>
              <w:t xml:space="preserve">Let M = S¹ × ℝ with angular coordinate θ ∈ [0, 2π) and action coordinate z ∈ ℝ. Define the contact form α = dz − dθ and the generative operator G(θ, z) = (θ + 2π/64, z + 1/64) (mod 2π in θ). (a) Show that G⁶⁴(θ₀, z₀) = (θ₀, z₀ + 1) for any initial condition, confirming that x₀’ ≠ x₀ with Δz = 1. (b) Compute the orbit {θ_k = θ₀ + 2πk/64, z_k = z₀ + k/64 : k = 0, ..., 64} and verify that it is a helix. (c) Discuss how this toy model captures the essential features of Definition 3.6.</w:t>
            </w:r>
          </w:p>
        </w:tc>
      </w:tr>
    </w:tbl>
    <w:p>
      <w:pPr>
        <w:spacing w:after="80" w:before="80"/>
      </w:pPr>
      <w:r>
        <w:t xml:space="preserve"/>
      </w:r>
    </w:p>
    <w:p>
      <w:pPr>
        <w:pStyle w:val="Heading2"/>
        <w:spacing w:after="160" w:before="300"/>
      </w:pPr>
      <w:r>
        <w:rPr>
          <w:rFonts w:ascii="Times New Roman" w:cs="Times New Roman" w:eastAsia="Times New Roman" w:hAnsi="Times New Roman"/>
          <w:b/>
          <w:bCs/>
          <w:sz w:val="28"/>
          <w:szCs w:val="28"/>
        </w:rPr>
        <w:t xml:space="preserve">Exercise E6 (Advanced): Lean 4 Proof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AF0FB" w:val="clear"/>
            <w:tcMar>
              <w:top w:type="dxa" w:w="120"/>
              <w:left w:type="dxa" w:w="160"/>
              <w:bottom w:type="dxa" w:w="120"/>
              <w:right w:type="dxa" w:w="160"/>
            </w:tcMar>
          </w:tcPr>
          <w:p>
            <w:pPr>
              <w:spacing w:after="60" w:before="60"/>
            </w:pPr>
            <w:r>
              <w:rPr>
                <w:rFonts w:ascii="Times New Roman" w:cs="Times New Roman" w:eastAsia="Times New Roman" w:hAnsi="Times New Roman"/>
                <w:b/>
                <w:bCs/>
                <w:sz w:val="24"/>
                <w:szCs w:val="24"/>
              </w:rPr>
              <w:t xml:space="preserve">E6.</w:t>
            </w:r>
          </w:p>
          <w:p>
            <w:pPr>
              <w:spacing w:after="60" w:before="60" w:line="320"/>
              <w:jc w:val="both"/>
            </w:pPr>
            <w:r>
              <w:rPr>
                <w:rFonts w:ascii="Segoe UI Symbol" w:cs="Segoe UI Symbol" w:eastAsia="Segoe UI Symbol" w:hAnsi="Segoe UI Symbol"/>
                <w:sz w:val="24"/>
                <w:szCs w:val="24"/>
              </w:rPr>
              <w:t xml:space="preserve">Provide a proof sketch (not a complete Lean 4 proof) of the following lemma: 'If u : ℝ≥₀ → ℝ≥₀ is a continuous function satisfying u'(t) ≤ ku(t) for all t ≥ 0 with k &lt; 0, then ∃C &gt; 0 such that u(t) ≤ C·exp(kt) for all t ≥ 0.' (a) Identify the Lean 4 tactics and Mathlib lemmas that would be needed. (b) Discuss the key difficulty in formalizing the inequality u'(t) ≤ ku(t) in Lean 4's type system. (c) Propose a strategy for handling the continuity hypothesis in the formal proof.</w:t>
            </w:r>
          </w:p>
        </w:tc>
      </w:tr>
    </w:tbl>
    <w:p>
      <w:pPr>
        <w:spacing w:after="80" w:before="80"/>
      </w:pPr>
      <w:r>
        <w:t xml:space="preserve"/>
      </w:r>
    </w:p>
    <w:p>
      <w:r>
        <w:br w:type="page"/>
      </w:r>
    </w:p>
    <w:p>
      <w:pPr>
        <w:pStyle w:val="Heading1"/>
      </w:pPr>
      <w:r>
        <w:rPr>
          <w:rFonts w:ascii="Times New Roman" w:cs="Times New Roman" w:eastAsia="Times New Roman" w:hAnsi="Times New Roman"/>
          <w:b/>
          <w:bCs/>
          <w:color w:val="1A3A6B"/>
          <w:sz w:val="32"/>
          <w:szCs w:val="32"/>
        </w:rPr>
        <w:t xml:space="preserve">References</w:t>
      </w:r>
    </w:p>
    <w:p>
      <w:pPr>
        <w:spacing w:after="80" w:before="80" w:line="320"/>
        <w:ind w:left="720" w:hanging="720"/>
      </w:pPr>
      <w:r>
        <w:rPr>
          <w:rFonts w:ascii="Times New Roman" w:cs="Times New Roman" w:eastAsia="Times New Roman" w:hAnsi="Times New Roman"/>
          <w:sz w:val="22"/>
          <w:szCs w:val="22"/>
        </w:rPr>
        <w:t xml:space="preserve">[1] Aharonov, Y., Vaidman, L. (2001). The two-state vector formalism: An updated review. arXiv:quant-ph/0105101.</w:t>
      </w:r>
    </w:p>
    <w:p>
      <w:pPr>
        <w:spacing w:after="80" w:before="80" w:line="320"/>
        <w:ind w:left="720" w:hanging="720"/>
      </w:pPr>
      <w:r>
        <w:rPr>
          <w:rFonts w:ascii="Times New Roman" w:cs="Times New Roman" w:eastAsia="Times New Roman" w:hAnsi="Times New Roman"/>
          <w:sz w:val="22"/>
          <w:szCs w:val="22"/>
        </w:rPr>
        <w:t xml:space="preserve">[2] Angulo, D. et al. (2024). Contact geometry in homotopy type theory. arXiv:2409.03680.</w:t>
      </w:r>
    </w:p>
    <w:p>
      <w:pPr>
        <w:spacing w:after="80" w:before="80" w:line="320"/>
        <w:ind w:left="720" w:hanging="720"/>
      </w:pPr>
      <w:r>
        <w:rPr>
          <w:rFonts w:ascii="Times New Roman" w:cs="Times New Roman" w:eastAsia="Times New Roman" w:hAnsi="Times New Roman"/>
          <w:sz w:val="22"/>
          <w:szCs w:val="22"/>
        </w:rPr>
        <w:t xml:space="preserve">[3] Arnold, V.I. (1989). Mathematical Methods of Classical Mechanics, 2nd ed. Springer-Verlag, New York.</w:t>
      </w:r>
    </w:p>
    <w:p>
      <w:pPr>
        <w:spacing w:after="80" w:before="80" w:line="320"/>
        <w:ind w:left="720" w:hanging="720"/>
      </w:pPr>
      <w:r>
        <w:rPr>
          <w:rFonts w:ascii="Times New Roman" w:cs="Times New Roman" w:eastAsia="Times New Roman" w:hAnsi="Times New Roman"/>
          <w:sz w:val="22"/>
          <w:szCs w:val="22"/>
        </w:rPr>
        <w:t xml:space="preserve">[4] Herczeg, G., Waldron, A. (2017). Contact geometry and quantum mechanics. arXiv:1709.04557.</w:t>
      </w:r>
    </w:p>
    <w:p>
      <w:pPr>
        <w:spacing w:after="80" w:before="80" w:line="320"/>
        <w:ind w:left="720" w:hanging="720"/>
      </w:pPr>
      <w:r>
        <w:rPr>
          <w:rFonts w:ascii="Times New Roman" w:cs="Times New Roman" w:eastAsia="Times New Roman" w:hAnsi="Times New Roman"/>
          <w:sz w:val="22"/>
          <w:szCs w:val="22"/>
        </w:rPr>
        <w:t xml:space="preserve">[5] Kim, Y.-H., Yu, R., Kulik, S.P., Shih, Y., Scully, M.O. (2000). Delayed 'choice' quantum eraser. Physical Review Letters 84, 1.</w:t>
      </w:r>
    </w:p>
    <w:p>
      <w:pPr>
        <w:spacing w:after="80" w:before="80" w:line="320"/>
        <w:ind w:left="720" w:hanging="720"/>
      </w:pPr>
      <w:r>
        <w:rPr>
          <w:rFonts w:ascii="Times New Roman" w:cs="Times New Roman" w:eastAsia="Times New Roman" w:hAnsi="Times New Roman"/>
          <w:sz w:val="22"/>
          <w:szCs w:val="22"/>
        </w:rPr>
        <w:t xml:space="preserve">[6] Leifer, M.S. (2017). Is the quantum state real? An extended review of ψ-ontology theorems. Proceedings of the Royal Society A 473.</w:t>
      </w:r>
    </w:p>
    <w:p>
      <w:pPr>
        <w:spacing w:after="80" w:before="80" w:line="320"/>
        <w:ind w:left="720" w:hanging="720"/>
      </w:pPr>
      <w:r>
        <w:rPr>
          <w:rFonts w:ascii="Times New Roman" w:cs="Times New Roman" w:eastAsia="Times New Roman" w:hAnsi="Times New Roman"/>
          <w:sz w:val="22"/>
          <w:szCs w:val="22"/>
        </w:rPr>
        <w:t xml:space="preserve">[7] Ma, X.-S., Zotter, S., Kofler, J., Ursin, R., Jennewein, T., Brukner, Č., Zeilinger, A. (2012). Experimental delayed-choice entanglement swapping. Nature Physics 8, 479.</w:t>
      </w:r>
    </w:p>
    <w:p>
      <w:pPr>
        <w:spacing w:after="80" w:before="80" w:line="320"/>
        <w:ind w:left="720" w:hanging="720"/>
      </w:pPr>
      <w:r>
        <w:rPr>
          <w:rFonts w:ascii="Segoe UI Symbol" w:cs="Segoe UI Symbol" w:eastAsia="Segoe UI Symbol" w:hAnsi="Segoe UI Symbol"/>
          <w:sz w:val="22"/>
          <w:szCs w:val="22"/>
        </w:rPr>
        <w:t xml:space="preserve">[8] Navrátil, D. (2026). SL(3,ℤ) Tribonacci algebras and spectral collapse. Zenodo DOI: 10.5281/zenodo.19220046.</w:t>
      </w:r>
    </w:p>
    <w:p>
      <w:pPr>
        <w:spacing w:after="80" w:before="80" w:line="320"/>
        <w:ind w:left="720" w:hanging="720"/>
      </w:pPr>
      <w:r>
        <w:rPr>
          <w:rFonts w:ascii="Times New Roman" w:cs="Times New Roman" w:eastAsia="Times New Roman" w:hAnsi="Times New Roman"/>
          <w:sz w:val="22"/>
          <w:szCs w:val="22"/>
        </w:rPr>
        <w:t xml:space="preserve">[9] Nogueira Grossi, P. (2025a). Principia Orthogona, Volume I: Operator Foundations. Zenodo DOI: 10.5281/zenodo.19117400.</w:t>
      </w:r>
    </w:p>
    <w:p>
      <w:pPr>
        <w:spacing w:after="80" w:before="80" w:line="320"/>
        <w:ind w:left="720" w:hanging="720"/>
      </w:pPr>
      <w:r>
        <w:rPr>
          <w:rFonts w:ascii="Times New Roman" w:cs="Times New Roman" w:eastAsia="Times New Roman" w:hAnsi="Times New Roman"/>
          <w:sz w:val="22"/>
          <w:szCs w:val="22"/>
        </w:rPr>
        <w:t xml:space="preserve">[10] Nogueira Grossi, P. (2025b). AXLE Repository: Lean 4 Verification of TOGT Operators. Zenodo DOI: 10.5281/zenodo.19379385.</w:t>
      </w:r>
    </w:p>
    <w:p>
      <w:pPr>
        <w:spacing w:after="80" w:before="80" w:line="320"/>
        <w:ind w:left="720" w:hanging="720"/>
      </w:pPr>
      <w:r>
        <w:rPr>
          <w:rFonts w:ascii="Times New Roman" w:cs="Times New Roman" w:eastAsia="Times New Roman" w:hAnsi="Times New Roman"/>
          <w:sz w:val="22"/>
          <w:szCs w:val="22"/>
        </w:rPr>
        <w:t xml:space="preserve">[11] Nogueira Grossi, P. (2026). Principia Orthogona, Volume II: Circuit Stability and the T Operator. Zenodo DOI: 10.5281/zenodo.19379473.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ns1="http://schemas.openxmlformats.org/markup-compatibility/2006" xmlns:w="http://schemas.openxmlformats.org/wordprocessingml/2006/main" ns1:Ignorable="w14 w15 w16se w16cid w16 w16cex w16sdtdh">
  <w:font w:name="Segoe UI Symbol">
    <w:charset w:val="00"/>
    <w:family w:val="auto"/>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3A6B"/>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057"/>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2026-04-22T18:53:00.369Z</dcterms:created>
  <dcterms:modified xsi:type="dcterms:W3CDTF">2026-04-22T18:53:00.370Z</dcterms:modified>
</cp:coreProperties>
</file>

<file path=docProps/custom.xml><?xml version="1.0" encoding="utf-8"?>
<Properties xmlns="http://schemas.openxmlformats.org/officeDocument/2006/custom-properties" xmlns:vt="http://schemas.openxmlformats.org/officeDocument/2006/docPropsVTypes"/>
</file>