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 xml:space="preserve">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5F9C5E80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3B450F">
        <w:rPr>
          <w:b/>
          <w:color w:val="000000"/>
          <w:lang w:val="en-CA"/>
        </w:rPr>
        <w:t>507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 xml:space="preserve">Joseph B. </w:t>
            </w:r>
            <w:proofErr w:type="spellStart"/>
            <w:r w:rsidRPr="008052B3">
              <w:rPr>
                <w:rStyle w:val="Hyperlink"/>
                <w:lang w:val="en-CA"/>
              </w:rPr>
              <w:t>Gittler</w:t>
            </w:r>
            <w:proofErr w:type="spellEnd"/>
            <w:r w:rsidRPr="008052B3">
              <w:rPr>
                <w:rStyle w:val="Hyperlink"/>
                <w:lang w:val="en-CA"/>
              </w:rPr>
              <w:t xml:space="preserve">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proofErr w:type="gramStart"/>
      <w:r>
        <w:rPr>
          <w:b/>
          <w:color w:val="000000"/>
          <w:lang w:val="en-CA"/>
        </w:rPr>
        <w:t>all</w:t>
      </w:r>
      <w:proofErr w:type="gramEnd"/>
      <w:r>
        <w:rPr>
          <w:b/>
          <w:color w:val="000000"/>
          <w:lang w:val="en-CA"/>
        </w:rPr>
        <w:t xml:space="preserve">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0EB9E332" w14:textId="6A7C94D1" w:rsidR="00697047" w:rsidRPr="00697047" w:rsidRDefault="00697047" w:rsidP="005B49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0" w:name="_Hlk58345161"/>
      <w:bookmarkStart w:id="11" w:name="_Hlk61029720"/>
      <w:bookmarkStart w:id="12" w:name="_Hlk46853086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 xml:space="preserve">., Feinberg, M. Parker, D. C., Christakis, N., Tetlock, P. E. &amp; Cunningham, W. A. (in press). AI and the transformation of social science research. </w:t>
      </w:r>
      <w:r w:rsidRPr="00697047">
        <w:rPr>
          <w:i/>
          <w:iCs/>
          <w:lang w:val="en-CA"/>
        </w:rPr>
        <w:t>Science</w:t>
      </w:r>
      <w:r w:rsidRPr="00697047">
        <w:rPr>
          <w:lang w:val="en-CA"/>
        </w:rPr>
        <w:t xml:space="preserve">. </w:t>
      </w:r>
      <w:r w:rsidRPr="00697047">
        <w:rPr>
          <w:b/>
          <w:bCs/>
          <w:lang w:val="en-CA"/>
        </w:rPr>
        <w:t>(63.71)</w:t>
      </w:r>
    </w:p>
    <w:p w14:paraId="10072700" w14:textId="77777777" w:rsidR="00697047" w:rsidRDefault="00697047" w:rsidP="005B493E">
      <w:pPr>
        <w:autoSpaceDE w:val="0"/>
        <w:autoSpaceDN w:val="0"/>
        <w:adjustRightInd w:val="0"/>
        <w:ind w:left="720" w:hanging="720"/>
      </w:pPr>
    </w:p>
    <w:p w14:paraId="660F62BC" w14:textId="10F1319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232D4398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3B450F">
        <w:rPr>
          <w:b/>
          <w:bCs/>
          <w:lang w:val="en-CA"/>
        </w:rPr>
        <w:t>Grossmann, I</w:t>
      </w:r>
      <w:r w:rsidRPr="003B450F">
        <w:rPr>
          <w:lang w:val="en-CA"/>
        </w:rPr>
        <w:t xml:space="preserve">. </w:t>
      </w:r>
      <w:r w:rsidRPr="003B450F">
        <w:rPr>
          <w:u w:val="single"/>
          <w:lang w:val="en-CA"/>
        </w:rPr>
        <w:t>Meyers, E</w:t>
      </w:r>
      <w:r w:rsidRPr="003B450F">
        <w:rPr>
          <w:lang w:val="en-CA"/>
        </w:rPr>
        <w:t xml:space="preserve">., &amp; </w:t>
      </w:r>
      <w:r w:rsidRPr="003B450F">
        <w:rPr>
          <w:color w:val="000000"/>
          <w:shd w:val="clear" w:color="auto" w:fill="FFFFFF"/>
          <w:lang w:val="en-CA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lastRenderedPageBreak/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4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780BCC7D" w14:textId="499E552B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B450F">
        <w:rPr>
          <w:u w:val="single"/>
          <w:lang w:val="de-DE"/>
        </w:rPr>
        <w:t>Dorfman, A.</w:t>
      </w:r>
      <w:r w:rsidRPr="003B450F">
        <w:rPr>
          <w:lang w:val="de-DE"/>
        </w:rPr>
        <w:t xml:space="preserve">, </w:t>
      </w:r>
      <w:r w:rsidRPr="003B450F">
        <w:rPr>
          <w:u w:val="single"/>
          <w:lang w:val="de-DE"/>
        </w:rPr>
        <w:t>Oakes, H.</w:t>
      </w:r>
      <w:r w:rsidRPr="003B450F">
        <w:rPr>
          <w:lang w:val="de-DE"/>
        </w:rPr>
        <w:t xml:space="preserve">, </w:t>
      </w:r>
      <w:r w:rsidRPr="003B450F">
        <w:rPr>
          <w:u w:val="single"/>
          <w:lang w:val="de-DE"/>
        </w:rPr>
        <w:t>Santos, H. C</w:t>
      </w:r>
      <w:r w:rsidRPr="003B450F">
        <w:rPr>
          <w:lang w:val="de-DE"/>
        </w:rPr>
        <w:t>.</w:t>
      </w:r>
      <w:r w:rsidRPr="003B450F">
        <w:rPr>
          <w:b/>
          <w:lang w:val="de-DE"/>
        </w:rPr>
        <w:t xml:space="preserve"> &amp; Grossmann, I.</w:t>
      </w:r>
      <w:r w:rsidRPr="003B450F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3B450F">
        <w:rPr>
          <w:b/>
          <w:lang w:val="en-CA"/>
        </w:rPr>
        <w:t>Grossmann, I</w:t>
      </w:r>
      <w:r w:rsidRPr="003B450F">
        <w:rPr>
          <w:lang w:val="en-CA"/>
        </w:rPr>
        <w:t xml:space="preserve">., Eibach, R. P., </w:t>
      </w:r>
      <w:r w:rsidRPr="003B450F">
        <w:rPr>
          <w:u w:val="single"/>
          <w:lang w:val="en-CA"/>
        </w:rPr>
        <w:t>Koyama, J</w:t>
      </w:r>
      <w:r w:rsidRPr="003B450F">
        <w:rPr>
          <w:lang w:val="en-CA"/>
        </w:rPr>
        <w:t>., &amp;</w:t>
      </w:r>
      <w:r w:rsidRPr="003B450F">
        <w:rPr>
          <w:u w:val="single"/>
          <w:lang w:val="en-CA"/>
        </w:rPr>
        <w:t xml:space="preserve"> Sahi, Q</w:t>
      </w:r>
      <w:r w:rsidRPr="003B450F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</w:t>
      </w:r>
      <w:proofErr w:type="spellStart"/>
      <w:r w:rsidRPr="00661504">
        <w:rPr>
          <w:lang w:val="en-CA"/>
        </w:rPr>
        <w:t>Alavi</w:t>
      </w:r>
      <w:proofErr w:type="spellEnd"/>
      <w:r w:rsidRPr="00661504">
        <w:rPr>
          <w:lang w:val="en-CA"/>
        </w:rPr>
        <w:t xml:space="preserve">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</w:t>
      </w:r>
      <w:proofErr w:type="spellStart"/>
      <w:r w:rsidRPr="00661504">
        <w:rPr>
          <w:lang w:val="en-CA"/>
        </w:rPr>
        <w:t>Barlev</w:t>
      </w:r>
      <w:proofErr w:type="spellEnd"/>
      <w:r w:rsidRPr="00661504">
        <w:rPr>
          <w:lang w:val="en-CA"/>
        </w:rPr>
        <w:t xml:space="preserve">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</w:t>
      </w:r>
      <w:proofErr w:type="spellStart"/>
      <w:r w:rsidRPr="00661504">
        <w:rPr>
          <w:lang w:val="en-CA"/>
        </w:rPr>
        <w:t>Galdi</w:t>
      </w:r>
      <w:proofErr w:type="spellEnd"/>
      <w:r w:rsidRPr="00661504">
        <w:rPr>
          <w:lang w:val="en-CA"/>
        </w:rPr>
        <w:t xml:space="preserve">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proofErr w:type="spellStart"/>
      <w:r w:rsidRPr="00661504">
        <w:rPr>
          <w:rFonts w:eastAsia="Calibri"/>
          <w:u w:val="single"/>
          <w:lang w:val="en-CA" w:eastAsia="en-US"/>
        </w:rPr>
        <w:t>Apanovich</w:t>
      </w:r>
      <w:proofErr w:type="spellEnd"/>
      <w:r w:rsidRPr="00661504">
        <w:rPr>
          <w:rFonts w:eastAsia="Calibri"/>
          <w:u w:val="single"/>
          <w:lang w:val="en-CA" w:eastAsia="en-US"/>
        </w:rPr>
        <w:t>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</w:t>
      </w:r>
      <w:proofErr w:type="spellStart"/>
      <w:r w:rsidRPr="00661504">
        <w:rPr>
          <w:color w:val="000000"/>
          <w:shd w:val="clear" w:color="auto" w:fill="FFFFFF"/>
          <w:lang w:val="en-CA"/>
        </w:rPr>
        <w:t>Staffel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</w:t>
      </w:r>
      <w:proofErr w:type="spellStart"/>
      <w:r w:rsidRPr="00661504">
        <w:rPr>
          <w:rFonts w:eastAsia="Calibri"/>
          <w:lang w:val="en-CA" w:eastAsia="en-US"/>
        </w:rPr>
        <w:t>Luco</w:t>
      </w:r>
      <w:proofErr w:type="spellEnd"/>
      <w:r w:rsidRPr="00661504">
        <w:rPr>
          <w:rFonts w:eastAsia="Calibri"/>
          <w:lang w:val="en-CA" w:eastAsia="en-US"/>
        </w:rPr>
        <w:t xml:space="preserve">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Leckelt</w:t>
      </w:r>
      <w:proofErr w:type="spellEnd"/>
      <w:r w:rsidRPr="00661504">
        <w:rPr>
          <w:lang w:val="en-CA"/>
        </w:rPr>
        <w:t xml:space="preserve">, M., Wetzel, E., Gerlach, T. M., Ackerman, R. A., Miller, J. D., Chopik, W. J., </w:t>
      </w:r>
      <w:proofErr w:type="spellStart"/>
      <w:r w:rsidRPr="00661504">
        <w:rPr>
          <w:lang w:val="en-CA"/>
        </w:rPr>
        <w:t>Penke</w:t>
      </w:r>
      <w:proofErr w:type="spellEnd"/>
      <w:r w:rsidRPr="00661504">
        <w:rPr>
          <w:lang w:val="en-CA"/>
        </w:rPr>
        <w:t xml:space="preserve">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</w:t>
      </w:r>
      <w:proofErr w:type="spellStart"/>
      <w:r w:rsidRPr="00661504">
        <w:rPr>
          <w:lang w:val="en-CA"/>
        </w:rPr>
        <w:t>Kuefner</w:t>
      </w:r>
      <w:proofErr w:type="spellEnd"/>
      <w:r w:rsidRPr="00661504">
        <w:rPr>
          <w:lang w:val="en-CA"/>
        </w:rPr>
        <w:t xml:space="preserve">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Brecheen</w:t>
      </w:r>
      <w:proofErr w:type="spellEnd"/>
      <w:r w:rsidRPr="00661504">
        <w:rPr>
          <w:lang w:val="en-CA"/>
        </w:rPr>
        <w:t xml:space="preserve">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 xml:space="preserve">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B450F">
        <w:rPr>
          <w:rFonts w:eastAsia="Calibri"/>
          <w:b/>
          <w:lang w:val="en-CA" w:eastAsia="en-US"/>
        </w:rPr>
        <w:t xml:space="preserve">Grossmann, I. </w:t>
      </w:r>
      <w:r w:rsidRPr="003B450F">
        <w:rPr>
          <w:rFonts w:eastAsia="Calibri"/>
          <w:lang w:val="en-CA" w:eastAsia="en-US"/>
        </w:rPr>
        <w:t>&amp;</w:t>
      </w:r>
      <w:r w:rsidRPr="003B450F">
        <w:rPr>
          <w:rFonts w:eastAsia="Calibri"/>
          <w:b/>
          <w:lang w:val="en-CA" w:eastAsia="en-US"/>
        </w:rPr>
        <w:t xml:space="preserve"> </w:t>
      </w:r>
      <w:r w:rsidRPr="003B450F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B450F">
        <w:rPr>
          <w:u w:val="single"/>
          <w:lang w:val="en-CA"/>
        </w:rPr>
        <w:t>Kung, F.</w:t>
      </w:r>
      <w:r w:rsidRPr="003B450F">
        <w:rPr>
          <w:lang w:val="en-CA"/>
        </w:rPr>
        <w:t>, Eibach, R., &amp;</w:t>
      </w:r>
      <w:r w:rsidRPr="003B450F">
        <w:rPr>
          <w:b/>
          <w:lang w:val="en-CA"/>
        </w:rPr>
        <w:t xml:space="preserve"> Grossmann, I. </w:t>
      </w:r>
      <w:r w:rsidRPr="003B450F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Tamir, M., Uchida, Y., </w:t>
      </w:r>
      <w:proofErr w:type="spellStart"/>
      <w:r w:rsidRPr="00661504">
        <w:rPr>
          <w:lang w:val="en-CA"/>
        </w:rPr>
        <w:t>Koopmann</w:t>
      </w:r>
      <w:proofErr w:type="spellEnd"/>
      <w:r w:rsidRPr="00661504">
        <w:rPr>
          <w:lang w:val="en-CA"/>
        </w:rPr>
        <w:t xml:space="preserve">-Holm, B., </w:t>
      </w:r>
      <w:proofErr w:type="spellStart"/>
      <w:r w:rsidRPr="00661504">
        <w:rPr>
          <w:lang w:val="en-CA"/>
        </w:rPr>
        <w:t>Uhrig</w:t>
      </w:r>
      <w:proofErr w:type="spellEnd"/>
      <w:r w:rsidRPr="00661504">
        <w:rPr>
          <w:lang w:val="en-CA"/>
        </w:rPr>
        <w:t xml:space="preserve">, M., Floerke, V., </w:t>
      </w:r>
      <w:proofErr w:type="spellStart"/>
      <w:r w:rsidRPr="00661504">
        <w:rPr>
          <w:lang w:val="en-CA"/>
        </w:rPr>
        <w:t>Bokhan</w:t>
      </w:r>
      <w:proofErr w:type="spellEnd"/>
      <w:r w:rsidRPr="00661504">
        <w:rPr>
          <w:lang w:val="en-CA"/>
        </w:rPr>
        <w:t>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5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u w:val="single"/>
          <w:lang w:val="en-CA"/>
        </w:rPr>
        <w:t>Schryer</w:t>
      </w:r>
      <w:proofErr w:type="spellEnd"/>
      <w:r w:rsidRPr="00661504">
        <w:rPr>
          <w:u w:val="single"/>
          <w:lang w:val="en-CA"/>
        </w:rPr>
        <w:t>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>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</w:t>
      </w:r>
      <w:proofErr w:type="spellStart"/>
      <w:r w:rsidRPr="00661504">
        <w:rPr>
          <w:lang w:val="en-CA"/>
        </w:rPr>
        <w:t>Braddick</w:t>
      </w:r>
      <w:proofErr w:type="spellEnd"/>
      <w:r w:rsidRPr="00661504">
        <w:rPr>
          <w:lang w:val="en-CA"/>
        </w:rPr>
        <w:t xml:space="preserve">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B450F">
        <w:rPr>
          <w:u w:val="single"/>
          <w:lang w:val="en-CA"/>
        </w:rPr>
        <w:t>Santos, H. C.</w:t>
      </w:r>
      <w:r w:rsidRPr="003B450F">
        <w:rPr>
          <w:lang w:val="en-CA"/>
        </w:rPr>
        <w:t>,</w:t>
      </w:r>
      <w:r w:rsidRPr="003B450F">
        <w:rPr>
          <w:b/>
          <w:lang w:val="en-CA"/>
        </w:rPr>
        <w:t xml:space="preserve"> </w:t>
      </w:r>
      <w:r w:rsidRPr="003B450F">
        <w:rPr>
          <w:lang w:val="en-CA"/>
        </w:rPr>
        <w:t xml:space="preserve">Varnum, M. E.W. &amp; </w:t>
      </w:r>
      <w:r w:rsidRPr="003B450F">
        <w:rPr>
          <w:b/>
          <w:lang w:val="en-CA"/>
        </w:rPr>
        <w:t>Grossmann, I.</w:t>
      </w:r>
      <w:r w:rsidRPr="003B450F">
        <w:rPr>
          <w:lang w:val="en-CA"/>
        </w:rPr>
        <w:t xml:space="preserve"> (</w:t>
      </w:r>
      <w:r w:rsidR="00A3320B" w:rsidRPr="003B450F">
        <w:rPr>
          <w:lang w:val="en-CA"/>
        </w:rPr>
        <w:t>2019</w:t>
      </w:r>
      <w:r w:rsidRPr="003B450F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</w:t>
      </w:r>
      <w:proofErr w:type="spellStart"/>
      <w:r w:rsidRPr="00661504">
        <w:rPr>
          <w:lang w:val="en-CA"/>
        </w:rPr>
        <w:t>Arterberry</w:t>
      </w:r>
      <w:proofErr w:type="spellEnd"/>
      <w:r w:rsidRPr="00661504">
        <w:rPr>
          <w:lang w:val="en-CA"/>
        </w:rPr>
        <w:t xml:space="preserve">, K. L. </w:t>
      </w:r>
      <w:proofErr w:type="spellStart"/>
      <w:r w:rsidRPr="00661504">
        <w:rPr>
          <w:lang w:val="en-CA"/>
        </w:rPr>
        <w:t>Fingerman</w:t>
      </w:r>
      <w:proofErr w:type="spellEnd"/>
      <w:r w:rsidRPr="00661504">
        <w:rPr>
          <w:lang w:val="en-CA"/>
        </w:rPr>
        <w:t xml:space="preserve">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B450F">
        <w:rPr>
          <w:b/>
          <w:lang w:val="en-CA"/>
        </w:rPr>
        <w:t xml:space="preserve">Grossmann, I. </w:t>
      </w:r>
      <w:r w:rsidRPr="003B450F">
        <w:rPr>
          <w:lang w:val="en-CA"/>
        </w:rPr>
        <w:t xml:space="preserve">&amp; </w:t>
      </w:r>
      <w:r w:rsidRPr="003B450F">
        <w:rPr>
          <w:u w:val="single"/>
          <w:lang w:val="en-CA"/>
        </w:rPr>
        <w:t>Santos, H. C</w:t>
      </w:r>
      <w:r w:rsidRPr="003B450F">
        <w:rPr>
          <w:lang w:val="en-CA"/>
        </w:rPr>
        <w:t>.</w:t>
      </w:r>
      <w:r w:rsidRPr="003B450F">
        <w:rPr>
          <w:b/>
          <w:lang w:val="en-CA"/>
        </w:rPr>
        <w:t xml:space="preserve"> </w:t>
      </w:r>
      <w:r w:rsidRPr="003B450F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6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7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8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9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0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1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2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3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4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5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6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Jamia </w:t>
            </w:r>
            <w:proofErr w:type="spellStart"/>
            <w:r w:rsidRPr="00661504">
              <w:rPr>
                <w:color w:val="000000"/>
                <w:lang w:val="en-CA"/>
              </w:rPr>
              <w:t>Millia</w:t>
            </w:r>
            <w:proofErr w:type="spellEnd"/>
            <w:r w:rsidRPr="00661504">
              <w:rPr>
                <w:color w:val="000000"/>
                <w:lang w:val="en-CA"/>
              </w:rPr>
              <w:t xml:space="preserve">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</w:t>
            </w:r>
            <w:proofErr w:type="spellStart"/>
            <w:r w:rsidRPr="00661504">
              <w:rPr>
                <w:lang w:val="en-CA"/>
              </w:rPr>
              <w:t>Loránd</w:t>
            </w:r>
            <w:proofErr w:type="spellEnd"/>
            <w:r w:rsidRPr="00661504">
              <w:rPr>
                <w:lang w:val="en-CA"/>
              </w:rPr>
              <w:t xml:space="preserve">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Pompeu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Fabra</w:t>
            </w:r>
            <w:proofErr w:type="spellEnd"/>
            <w:r w:rsidRPr="00661504">
              <w:rPr>
                <w:lang w:val="en-CA"/>
              </w:rPr>
              <w:t xml:space="preserve">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26th International Congress of the International Association for </w:t>
            </w:r>
            <w:r w:rsidRPr="00661504">
              <w:rPr>
                <w:lang w:val="en-CA"/>
              </w:rPr>
              <w:lastRenderedPageBreak/>
              <w:t>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</w:t>
            </w:r>
            <w:proofErr w:type="spellStart"/>
            <w:r w:rsidRPr="00661504">
              <w:rPr>
                <w:bCs/>
                <w:lang w:val="en-CA"/>
              </w:rPr>
              <w:t>Kanada</w:t>
            </w:r>
            <w:proofErr w:type="spellEnd"/>
            <w:r w:rsidRPr="00661504">
              <w:rPr>
                <w:bCs/>
                <w:lang w:val="en-CA"/>
              </w:rPr>
              <w:t xml:space="preserve"> [meeting of the fellows of the German National Academic Foundation], Goethe Institute, Montreal, Canada</w:t>
            </w:r>
          </w:p>
        </w:tc>
      </w:tr>
    </w:tbl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D54D92C" w14:textId="565F3471" w:rsidR="00C73FFE" w:rsidRDefault="00C73FFE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</w:t>
      </w:r>
      <w:r w:rsidRPr="00661504">
        <w:rPr>
          <w:bCs/>
          <w:lang w:val="en-CA"/>
        </w:rPr>
        <w:lastRenderedPageBreak/>
        <w:t xml:space="preserve">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</w:t>
      </w:r>
      <w:r w:rsidR="002F53AA" w:rsidRPr="00661504">
        <w:rPr>
          <w:lang w:val="en-CA"/>
        </w:rPr>
        <w:lastRenderedPageBreak/>
        <w:t>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</w:t>
      </w:r>
      <w:r w:rsidRPr="00661504">
        <w:rPr>
          <w:lang w:val="en-CA"/>
        </w:rPr>
        <w:lastRenderedPageBreak/>
        <w:t xml:space="preserve">Functioning and Flourishing” chaired by P. </w:t>
      </w:r>
      <w:proofErr w:type="spellStart"/>
      <w:r w:rsidRPr="00661504">
        <w:rPr>
          <w:lang w:val="en-CA"/>
        </w:rPr>
        <w:t>Dietze</w:t>
      </w:r>
      <w:proofErr w:type="spellEnd"/>
      <w:r w:rsidRPr="00661504">
        <w:rPr>
          <w:lang w:val="en-CA"/>
        </w:rPr>
        <w:t xml:space="preserve">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</w:t>
      </w:r>
      <w:r w:rsidRPr="00661504">
        <w:rPr>
          <w:lang w:val="en-CA"/>
        </w:rPr>
        <w:lastRenderedPageBreak/>
        <w:t xml:space="preserve">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</w:t>
      </w:r>
      <w:proofErr w:type="spellStart"/>
      <w:r w:rsidRPr="00661504">
        <w:rPr>
          <w:lang w:val="en-CA"/>
        </w:rPr>
        <w:t>Teachman</w:t>
      </w:r>
      <w:proofErr w:type="spellEnd"/>
      <w:r w:rsidRPr="00661504">
        <w:rPr>
          <w:lang w:val="en-CA"/>
        </w:rPr>
        <w:t xml:space="preserve">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 xml:space="preserve">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>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Glueck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lastRenderedPageBreak/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Chris </w:t>
            </w:r>
            <w:proofErr w:type="spellStart"/>
            <w:r w:rsidRPr="00661504">
              <w:rPr>
                <w:lang w:val="en-CA"/>
              </w:rPr>
              <w:t>Willms</w:t>
            </w:r>
            <w:proofErr w:type="spellEnd"/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Fizza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Jafry</w:t>
            </w:r>
            <w:proofErr w:type="spellEnd"/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proofErr w:type="spellStart"/>
            <w:r w:rsidR="00E844DD" w:rsidRPr="00661504">
              <w:rPr>
                <w:lang w:val="en-CA"/>
              </w:rPr>
              <w:t>Roch</w:t>
            </w:r>
            <w:proofErr w:type="spellEnd"/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Anna </w:t>
            </w:r>
            <w:proofErr w:type="spellStart"/>
            <w:r w:rsidRPr="00661504">
              <w:rPr>
                <w:lang w:val="en-CA"/>
              </w:rPr>
              <w:t>Adamyan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Dmitrij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Dubov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5CB29B35" w14:textId="77777777" w:rsidR="003B450F" w:rsidRDefault="003B450F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(Co-)Organizer of the </w:t>
            </w:r>
            <w:proofErr w:type="spellStart"/>
            <w:r w:rsidRPr="00661504">
              <w:rPr>
                <w:lang w:val="en-CA" w:eastAsia="en-CA"/>
              </w:rPr>
              <w:t>Ziva</w:t>
            </w:r>
            <w:proofErr w:type="spellEnd"/>
            <w:r w:rsidRPr="00661504">
              <w:rPr>
                <w:lang w:val="en-CA" w:eastAsia="en-CA"/>
              </w:rPr>
              <w:t xml:space="preserve"> </w:t>
            </w:r>
            <w:proofErr w:type="spellStart"/>
            <w:r w:rsidRPr="00661504">
              <w:rPr>
                <w:lang w:val="en-CA" w:eastAsia="en-CA"/>
              </w:rPr>
              <w:t>Kunda</w:t>
            </w:r>
            <w:proofErr w:type="spellEnd"/>
            <w:r w:rsidRPr="00661504">
              <w:rPr>
                <w:lang w:val="en-CA" w:eastAsia="en-CA"/>
              </w:rPr>
              <w:t xml:space="preserve">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54E0348F" w14:textId="77777777" w:rsidR="003B450F" w:rsidRDefault="003B450F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Grants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1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2"/>
      <w:headerReference w:type="default" r:id="rId63"/>
      <w:footerReference w:type="even" r:id="rId64"/>
      <w:footerReference w:type="default" r:id="rId65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3429B" w14:textId="77777777" w:rsidR="0024688D" w:rsidRDefault="0024688D">
      <w:r>
        <w:separator/>
      </w:r>
    </w:p>
  </w:endnote>
  <w:endnote w:type="continuationSeparator" w:id="0">
    <w:p w14:paraId="5610D79C" w14:textId="77777777" w:rsidR="0024688D" w:rsidRDefault="0024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C7CC" w14:textId="77777777" w:rsidR="0024688D" w:rsidRDefault="0024688D">
      <w:r>
        <w:separator/>
      </w:r>
    </w:p>
  </w:footnote>
  <w:footnote w:type="continuationSeparator" w:id="0">
    <w:p w14:paraId="2D852F5D" w14:textId="77777777" w:rsidR="0024688D" w:rsidRDefault="00246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1B3121C0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E14E5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onwisdompodcast.fireside.fm/" TargetMode="External"/><Relationship Id="rId50" Type="http://schemas.openxmlformats.org/officeDocument/2006/relationships/hyperlink" Target="https://foreignpolicy.com/2021/03/18/pandemic-social-science-predictions-wrong/" TargetMode="External"/><Relationship Id="rId55" Type="http://schemas.openxmlformats.org/officeDocument/2006/relationships/hyperlink" Target="http://www.forbes.com/sites/datafreaks/2015/04/07/why-we-give-great-advice-to-others-but-cant-take-it-ourselves/" TargetMode="External"/><Relationship Id="rId63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sites.google.com/view/openstatslab/home/one-way-anova" TargetMode="External"/><Relationship Id="rId53" Type="http://schemas.openxmlformats.org/officeDocument/2006/relationships/hyperlink" Target="https://blogs.scientificamerican.com/observations/when-reasonable-trumps-rational/" TargetMode="External"/><Relationship Id="rId58" Type="http://schemas.openxmlformats.org/officeDocument/2006/relationships/hyperlink" Target="https://www.hanoiphilosophyforum.org/" TargetMode="External"/><Relationship Id="rId66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www.geographyofphilosophy.com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theconversation.com/its-not-stress-thats-killing-us-its-hate-maybe-mindfulness-can-help-171335" TargetMode="External"/><Relationship Id="rId56" Type="http://schemas.openxmlformats.org/officeDocument/2006/relationships/hyperlink" Target="https://cancovid.ca/" TargetMode="External"/><Relationship Id="rId64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words-of-wisdom-4-tips-from-experts-on-how-to-endure-until-the-covid-19-pandemic-ends-15216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://dx.doi.org/10.4135/9781412956253.n214" TargetMode="External"/><Relationship Id="rId59" Type="http://schemas.openxmlformats.org/officeDocument/2006/relationships/hyperlink" Target="https://wisdomsummit.uwaterloo.ca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spsp.org/news-center/character-context-blog/can-we-foresee-future-explaining-and-predicting-cultural-change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greatergood.berkeley.edu/article/item/how_life_could_get_better_or_worse_after_covid" TargetMode="External"/><Relationship Id="rId57" Type="http://schemas.openxmlformats.org/officeDocument/2006/relationships/hyperlink" Target="https://www.youtube.com/c/TheStoa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x.doi.org/10.1037/amp0001151" TargetMode="External"/><Relationship Id="rId52" Type="http://schemas.openxmlformats.org/officeDocument/2006/relationships/hyperlink" Target="https://worldaftercovid.info/" TargetMode="External"/><Relationship Id="rId60" Type="http://schemas.openxmlformats.org/officeDocument/2006/relationships/hyperlink" Target="https://predictions.uwaterloo.ca/" TargetMode="External"/><Relationship Id="rId65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</TotalTime>
  <Pages>37</Pages>
  <Words>15704</Words>
  <Characters>89515</Characters>
  <Application>Microsoft Office Word</Application>
  <DocSecurity>0</DocSecurity>
  <Lines>745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38</cp:revision>
  <cp:lastPrinted>2023-05-18T19:51:00Z</cp:lastPrinted>
  <dcterms:created xsi:type="dcterms:W3CDTF">2021-03-19T00:08:00Z</dcterms:created>
  <dcterms:modified xsi:type="dcterms:W3CDTF">2023-05-30T12:31:00Z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