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70D74E00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F15E6F">
        <w:rPr>
          <w:rFonts w:ascii="Spectral" w:hAnsi="Spectral"/>
          <w:sz w:val="22"/>
          <w:szCs w:val="22"/>
          <w:lang w:val="en-US"/>
        </w:rPr>
        <w:t>4</w:t>
      </w:r>
    </w:p>
    <w:p w14:paraId="60061E4C" w14:textId="61E7D712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F15E6F">
        <w:rPr>
          <w:rFonts w:ascii="Spectral" w:hAnsi="Spectral"/>
          <w:sz w:val="22"/>
          <w:szCs w:val="22"/>
          <w:lang w:val="en-US"/>
        </w:rPr>
        <w:t>688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F15E6F">
        <w:rPr>
          <w:rFonts w:ascii="Spectral" w:hAnsi="Spectral"/>
          <w:sz w:val="22"/>
          <w:szCs w:val="22"/>
          <w:lang w:val="en-US"/>
        </w:rPr>
        <w:t>5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E327C">
        <w:rPr>
          <w:rFonts w:ascii="Spectral" w:hAnsi="Spectral"/>
          <w:sz w:val="22"/>
          <w:szCs w:val="22"/>
          <w:lang w:val="en-US"/>
        </w:rPr>
        <w:t>June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D32D0A">
        <w:rPr>
          <w:rFonts w:ascii="Spectral" w:hAnsi="Spectral"/>
          <w:sz w:val="22"/>
          <w:szCs w:val="22"/>
          <w:lang w:val="en-US"/>
        </w:rPr>
        <w:t>22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306AD9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306AD9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28B19B99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40C2379B" w14:textId="14AC403E" w:rsidR="00F15E6F" w:rsidRPr="00B26389" w:rsidRDefault="00F15E6F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>, Fugelsang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</w:t>
      </w:r>
      <w:r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A., </w:t>
      </w:r>
      <w:r>
        <w:rPr>
          <w:rFonts w:ascii="Spectral" w:hAnsi="Spectral"/>
          <w:sz w:val="22"/>
          <w:szCs w:val="22"/>
          <w:lang w:val="en-US"/>
        </w:rPr>
        <w:t xml:space="preserve">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B26389">
        <w:rPr>
          <w:rFonts w:ascii="Spectral" w:hAnsi="Spectral"/>
          <w:sz w:val="22"/>
          <w:szCs w:val="22"/>
          <w:lang w:val="en-CA"/>
        </w:rPr>
        <w:t xml:space="preserve"> (</w:t>
      </w:r>
      <w:r w:rsidR="00B26389">
        <w:rPr>
          <w:rFonts w:ascii="Spectral" w:hAnsi="Spectral"/>
          <w:b/>
          <w:bCs/>
          <w:sz w:val="22"/>
          <w:szCs w:val="22"/>
          <w:lang w:val="en-CA"/>
        </w:rPr>
        <w:t>3.60</w:t>
      </w:r>
      <w:r w:rsidR="00B26389">
        <w:rPr>
          <w:rFonts w:ascii="Spectral" w:hAnsi="Spectral"/>
          <w:sz w:val="22"/>
          <w:szCs w:val="22"/>
          <w:lang w:val="en-CA"/>
        </w:rPr>
        <w:t>)</w:t>
      </w:r>
    </w:p>
    <w:p w14:paraId="076B24BF" w14:textId="5050A477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lastRenderedPageBreak/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4345514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“Neuroethics,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306A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2D7E8C43" w14:textId="24DB02A8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Divergent patterns, reliability, and </w:t>
      </w:r>
      <w:r w:rsidRPr="003059C8">
        <w:rPr>
          <w:rFonts w:ascii="Spectral" w:hAnsi="Spectral"/>
          <w:i/>
          <w:sz w:val="22"/>
          <w:szCs w:val="22"/>
          <w:lang w:val="en-CA"/>
        </w:rPr>
        <w:lastRenderedPageBreak/>
        <w:t>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lastRenderedPageBreak/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lastRenderedPageBreak/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059C8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2020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686061F6" w14:textId="7D7AF76D" w:rsidR="00C5079E" w:rsidRPr="003059C8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Social-Personality Gerontology Preconference and the Annual Society for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lastRenderedPageBreak/>
              <w:t>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3D148" w14:textId="77777777" w:rsidR="00306AD9" w:rsidRDefault="00306AD9">
      <w:r>
        <w:separator/>
      </w:r>
    </w:p>
  </w:endnote>
  <w:endnote w:type="continuationSeparator" w:id="0">
    <w:p w14:paraId="3121CE7B" w14:textId="77777777" w:rsidR="00306AD9" w:rsidRDefault="0030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C5468" w14:textId="77777777" w:rsidR="00306AD9" w:rsidRDefault="00306AD9">
      <w:r>
        <w:separator/>
      </w:r>
    </w:p>
  </w:footnote>
  <w:footnote w:type="continuationSeparator" w:id="0">
    <w:p w14:paraId="47CBDAD8" w14:textId="77777777" w:rsidR="00306AD9" w:rsidRDefault="00306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02E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36</Pages>
  <Words>14145</Words>
  <Characters>80628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34</cp:revision>
  <cp:lastPrinted>2021-05-26T01:55:00Z</cp:lastPrinted>
  <dcterms:created xsi:type="dcterms:W3CDTF">2021-03-19T00:08:00Z</dcterms:created>
  <dcterms:modified xsi:type="dcterms:W3CDTF">2021-07-13T13:45:00Z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