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8A45F1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C94F1E">
        <w:rPr>
          <w:b/>
          <w:color w:val="000000"/>
          <w:lang w:val="en-CA"/>
        </w:rPr>
        <w:t>9</w:t>
      </w:r>
      <w:r w:rsidR="00DE5D39">
        <w:rPr>
          <w:b/>
          <w:color w:val="000000"/>
          <w:lang w:val="en-CA"/>
        </w:rPr>
        <w:t>24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3CE5E7FE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5B493E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283646C7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 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3DA0014" w14:textId="27403A75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r w:rsidRPr="00527194">
        <w:rPr>
          <w:b/>
          <w:bCs/>
        </w:rPr>
        <w:t>Grossmann, I</w:t>
      </w:r>
      <w:r w:rsidRPr="004A08C1">
        <w:t xml:space="preserve">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.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4A00E350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2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0658E838" w:rsidR="009414F3" w:rsidRPr="00990F7E" w:rsidRDefault="009414F3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SPAM – Social-Personality, Affective Science Meeting, Northeastern University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7AE1834" w14:textId="77777777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DC44" w14:textId="77777777" w:rsidR="00823A32" w:rsidRDefault="00823A32">
      <w:r>
        <w:separator/>
      </w:r>
    </w:p>
  </w:endnote>
  <w:endnote w:type="continuationSeparator" w:id="0">
    <w:p w14:paraId="1C132038" w14:textId="77777777" w:rsidR="00823A32" w:rsidRDefault="0082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679AC" w14:textId="77777777" w:rsidR="00823A32" w:rsidRDefault="00823A32">
      <w:r>
        <w:separator/>
      </w:r>
    </w:p>
  </w:footnote>
  <w:footnote w:type="continuationSeparator" w:id="0">
    <w:p w14:paraId="115AFB41" w14:textId="77777777" w:rsidR="00823A32" w:rsidRDefault="0082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64C32B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D39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37</Pages>
  <Words>15437</Words>
  <Characters>87995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22</cp:revision>
  <cp:lastPrinted>2022-11-30T15:47:00Z</cp:lastPrinted>
  <dcterms:created xsi:type="dcterms:W3CDTF">2021-03-19T00:08:00Z</dcterms:created>
  <dcterms:modified xsi:type="dcterms:W3CDTF">2023-02-04T14:39:00Z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