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10DB9" w14:textId="77777777" w:rsidR="00385198" w:rsidRDefault="00385198" w:rsidP="002954B0">
      <w:pPr>
        <w:pStyle w:val="Title"/>
      </w:pPr>
    </w:p>
    <w:p w14:paraId="3F16DDC8" w14:textId="77777777" w:rsidR="00385198" w:rsidRDefault="00385198" w:rsidP="002954B0">
      <w:pPr>
        <w:pStyle w:val="Title"/>
      </w:pPr>
    </w:p>
    <w:p w14:paraId="79D31D7D" w14:textId="7CA75CB2" w:rsidR="00FB0CE0" w:rsidRDefault="00FB0CE0" w:rsidP="3808FD5D">
      <w:pPr>
        <w:pStyle w:val="Title"/>
      </w:pPr>
      <w:r>
        <w:t xml:space="preserve">CIVE </w:t>
      </w:r>
      <w:r w:rsidR="000E0117">
        <w:t>2</w:t>
      </w:r>
      <w:r>
        <w:t xml:space="preserve">02 </w:t>
      </w:r>
      <w:r w:rsidR="000E0117">
        <w:t xml:space="preserve">Project </w:t>
      </w:r>
      <w:r w:rsidR="00C202EF">
        <w:t>4</w:t>
      </w:r>
      <w:r w:rsidR="000E0117">
        <w:t xml:space="preserve"> Report</w:t>
      </w:r>
      <w:r>
        <w:t xml:space="preserve">: </w:t>
      </w:r>
      <w:r w:rsidR="00C202EF">
        <w:t>Risk Assessment</w:t>
      </w:r>
    </w:p>
    <w:p w14:paraId="2A93F2ED" w14:textId="0997E1F9" w:rsidR="008422BA" w:rsidRDefault="00D55F46" w:rsidP="008422BA">
      <w:r>
        <w:t>University of Nebraska-Lincoln</w:t>
      </w:r>
    </w:p>
    <w:p w14:paraId="70ABE82F" w14:textId="77777777" w:rsidR="00D55F46" w:rsidRDefault="00D55F46" w:rsidP="008422BA"/>
    <w:p w14:paraId="2291E1D4" w14:textId="77777777" w:rsidR="00385198" w:rsidRDefault="00385198" w:rsidP="008422BA"/>
    <w:p w14:paraId="4BD1E808" w14:textId="77777777" w:rsidR="00385198" w:rsidRDefault="00385198" w:rsidP="008422BA"/>
    <w:p w14:paraId="1B45CA87" w14:textId="3391BF38" w:rsidR="00385198" w:rsidRDefault="00FB0CE0" w:rsidP="008422BA">
      <w:r>
        <w:t xml:space="preserve">CIVE </w:t>
      </w:r>
      <w:r w:rsidR="000E0117">
        <w:t>202 G</w:t>
      </w:r>
      <w:r w:rsidR="4751D9D9">
        <w:t xml:space="preserve">roup </w:t>
      </w:r>
      <w:r w:rsidR="00054453">
        <w:t>6</w:t>
      </w:r>
    </w:p>
    <w:p w14:paraId="305A864B" w14:textId="77777777" w:rsidR="00054453" w:rsidRDefault="00054453" w:rsidP="008422BA"/>
    <w:p w14:paraId="48D795B8" w14:textId="259A8382" w:rsidR="00054453" w:rsidRDefault="00054453" w:rsidP="008422BA">
      <w:r>
        <w:t>Savanna Flores</w:t>
      </w:r>
    </w:p>
    <w:p w14:paraId="604C8CE6" w14:textId="77777777" w:rsidR="00054453" w:rsidRDefault="00054453" w:rsidP="008422BA"/>
    <w:p w14:paraId="198B1688" w14:textId="5C18263D" w:rsidR="00054453" w:rsidRDefault="00054453" w:rsidP="008422BA">
      <w:r>
        <w:t>Nathan Jones</w:t>
      </w:r>
    </w:p>
    <w:p w14:paraId="14B6E4EB" w14:textId="77777777" w:rsidR="00054453" w:rsidRDefault="00054453" w:rsidP="008422BA"/>
    <w:p w14:paraId="7CDCCC68" w14:textId="66827D40" w:rsidR="00054453" w:rsidRDefault="00054453" w:rsidP="008422BA">
      <w:r>
        <w:t>Gavin Rothmeyer</w:t>
      </w:r>
    </w:p>
    <w:p w14:paraId="38640578" w14:textId="77777777" w:rsidR="00C202EF" w:rsidRDefault="00C202EF" w:rsidP="008422BA"/>
    <w:p w14:paraId="041019AD" w14:textId="7BFA5F4B" w:rsidR="00385198" w:rsidRDefault="00385198" w:rsidP="008422BA"/>
    <w:p w14:paraId="02486EE9" w14:textId="27DDF7AF" w:rsidR="00D55F46" w:rsidRDefault="00C202EF" w:rsidP="008422BA">
      <w:r>
        <w:t>April 21</w:t>
      </w:r>
      <w:r w:rsidR="66BB4693">
        <w:t>, 2026</w:t>
      </w:r>
    </w:p>
    <w:p w14:paraId="70BFDA34" w14:textId="77777777" w:rsidR="00D81FDE" w:rsidRDefault="00D81FDE" w:rsidP="008422BA"/>
    <w:p w14:paraId="25ACD393" w14:textId="0195FF60" w:rsidR="00B87E88" w:rsidRDefault="00B87E88">
      <w:r>
        <w:rPr>
          <w:b/>
          <w:bCs/>
        </w:rPr>
        <w:br w:type="page"/>
      </w:r>
    </w:p>
    <w:sdt>
      <w:sdtPr>
        <w:rPr>
          <w:rFonts w:asciiTheme="minorHAnsi" w:eastAsiaTheme="minorEastAsia" w:hAnsiTheme="minorHAnsi" w:cstheme="minorBidi"/>
          <w:b/>
          <w:i/>
          <w:iCs/>
          <w:color w:val="auto"/>
          <w:sz w:val="24"/>
          <w:szCs w:val="24"/>
        </w:rPr>
        <w:id w:val="29273137"/>
        <w:docPartObj>
          <w:docPartGallery w:val="Table of Contents"/>
          <w:docPartUnique/>
        </w:docPartObj>
      </w:sdtPr>
      <w:sdtContent>
        <w:p w14:paraId="2DC78797" w14:textId="5A024F66" w:rsidR="00A453F4" w:rsidRDefault="5F106B13" w:rsidP="006066B9">
          <w:pPr>
            <w:pStyle w:val="TOCHeading"/>
          </w:pPr>
          <w:r>
            <w:t>Table of Contents</w:t>
          </w:r>
        </w:p>
        <w:p w14:paraId="773C867C" w14:textId="35B92018" w:rsidR="000D0B1D" w:rsidRDefault="00DF5FBF">
          <w:pPr>
            <w:pStyle w:val="TOC1"/>
            <w:tabs>
              <w:tab w:val="right" w:leader="dot" w:pos="9350"/>
            </w:tabs>
            <w:rPr>
              <w:rFonts w:eastAsiaTheme="minorEastAsia" w:cstheme="minorBidi"/>
              <w:b w:val="0"/>
              <w:bCs w:val="0"/>
              <w:i w:val="0"/>
              <w:iCs w:val="0"/>
              <w:noProof/>
              <w:kern w:val="2"/>
              <w14:ligatures w14:val="standardContextual"/>
            </w:rPr>
          </w:pPr>
          <w:r>
            <w:fldChar w:fldCharType="begin"/>
          </w:r>
          <w:r w:rsidR="00A453F4">
            <w:instrText>TOC \o "1-3" \z \u \h</w:instrText>
          </w:r>
          <w:r>
            <w:fldChar w:fldCharType="separate"/>
          </w:r>
          <w:hyperlink w:anchor="_Toc227678757" w:history="1">
            <w:r w:rsidR="000D0B1D" w:rsidRPr="00FB7CD1">
              <w:rPr>
                <w:rStyle w:val="Hyperlink"/>
                <w:noProof/>
              </w:rPr>
              <w:t>Introduction</w:t>
            </w:r>
            <w:r w:rsidR="000D0B1D">
              <w:rPr>
                <w:noProof/>
                <w:webHidden/>
              </w:rPr>
              <w:tab/>
            </w:r>
            <w:r w:rsidR="000D0B1D">
              <w:rPr>
                <w:noProof/>
                <w:webHidden/>
              </w:rPr>
              <w:fldChar w:fldCharType="begin"/>
            </w:r>
            <w:r w:rsidR="000D0B1D">
              <w:rPr>
                <w:noProof/>
                <w:webHidden/>
              </w:rPr>
              <w:instrText xml:space="preserve"> PAGEREF _Toc227678757 \h </w:instrText>
            </w:r>
            <w:r w:rsidR="000D0B1D">
              <w:rPr>
                <w:noProof/>
                <w:webHidden/>
              </w:rPr>
            </w:r>
            <w:r w:rsidR="000D0B1D">
              <w:rPr>
                <w:noProof/>
                <w:webHidden/>
              </w:rPr>
              <w:fldChar w:fldCharType="separate"/>
            </w:r>
            <w:r w:rsidR="000D0B1D">
              <w:rPr>
                <w:noProof/>
                <w:webHidden/>
              </w:rPr>
              <w:t>3</w:t>
            </w:r>
            <w:r w:rsidR="000D0B1D">
              <w:rPr>
                <w:noProof/>
                <w:webHidden/>
              </w:rPr>
              <w:fldChar w:fldCharType="end"/>
            </w:r>
          </w:hyperlink>
        </w:p>
        <w:p w14:paraId="68002EA4" w14:textId="1B0A94BF" w:rsidR="000D0B1D" w:rsidRDefault="000D0B1D">
          <w:pPr>
            <w:pStyle w:val="TOC1"/>
            <w:tabs>
              <w:tab w:val="right" w:leader="dot" w:pos="9350"/>
            </w:tabs>
            <w:rPr>
              <w:rFonts w:eastAsiaTheme="minorEastAsia" w:cstheme="minorBidi"/>
              <w:b w:val="0"/>
              <w:bCs w:val="0"/>
              <w:i w:val="0"/>
              <w:iCs w:val="0"/>
              <w:noProof/>
              <w:kern w:val="2"/>
              <w14:ligatures w14:val="standardContextual"/>
            </w:rPr>
          </w:pPr>
          <w:hyperlink w:anchor="_Toc227678758" w:history="1">
            <w:r w:rsidRPr="00FB7CD1">
              <w:rPr>
                <w:rStyle w:val="Hyperlink"/>
                <w:noProof/>
              </w:rPr>
              <w:t>Methods</w:t>
            </w:r>
            <w:r>
              <w:rPr>
                <w:noProof/>
                <w:webHidden/>
              </w:rPr>
              <w:tab/>
            </w:r>
            <w:r>
              <w:rPr>
                <w:noProof/>
                <w:webHidden/>
              </w:rPr>
              <w:fldChar w:fldCharType="begin"/>
            </w:r>
            <w:r>
              <w:rPr>
                <w:noProof/>
                <w:webHidden/>
              </w:rPr>
              <w:instrText xml:space="preserve"> PAGEREF _Toc227678758 \h </w:instrText>
            </w:r>
            <w:r>
              <w:rPr>
                <w:noProof/>
                <w:webHidden/>
              </w:rPr>
            </w:r>
            <w:r>
              <w:rPr>
                <w:noProof/>
                <w:webHidden/>
              </w:rPr>
              <w:fldChar w:fldCharType="separate"/>
            </w:r>
            <w:r>
              <w:rPr>
                <w:noProof/>
                <w:webHidden/>
              </w:rPr>
              <w:t>4</w:t>
            </w:r>
            <w:r>
              <w:rPr>
                <w:noProof/>
                <w:webHidden/>
              </w:rPr>
              <w:fldChar w:fldCharType="end"/>
            </w:r>
          </w:hyperlink>
        </w:p>
        <w:p w14:paraId="6A0A437C" w14:textId="133C5EF5" w:rsidR="000D0B1D" w:rsidRDefault="000D0B1D">
          <w:pPr>
            <w:pStyle w:val="TOC1"/>
            <w:tabs>
              <w:tab w:val="right" w:leader="dot" w:pos="9350"/>
            </w:tabs>
            <w:rPr>
              <w:rFonts w:eastAsiaTheme="minorEastAsia" w:cstheme="minorBidi"/>
              <w:b w:val="0"/>
              <w:bCs w:val="0"/>
              <w:i w:val="0"/>
              <w:iCs w:val="0"/>
              <w:noProof/>
              <w:kern w:val="2"/>
              <w14:ligatures w14:val="standardContextual"/>
            </w:rPr>
          </w:pPr>
          <w:hyperlink w:anchor="_Toc227678759" w:history="1">
            <w:r w:rsidRPr="00FB7CD1">
              <w:rPr>
                <w:rStyle w:val="Hyperlink"/>
                <w:noProof/>
              </w:rPr>
              <w:t>Results &amp; Discussion</w:t>
            </w:r>
            <w:r>
              <w:rPr>
                <w:noProof/>
                <w:webHidden/>
              </w:rPr>
              <w:tab/>
            </w:r>
            <w:r>
              <w:rPr>
                <w:noProof/>
                <w:webHidden/>
              </w:rPr>
              <w:fldChar w:fldCharType="begin"/>
            </w:r>
            <w:r>
              <w:rPr>
                <w:noProof/>
                <w:webHidden/>
              </w:rPr>
              <w:instrText xml:space="preserve"> PAGEREF _Toc227678759 \h </w:instrText>
            </w:r>
            <w:r>
              <w:rPr>
                <w:noProof/>
                <w:webHidden/>
              </w:rPr>
            </w:r>
            <w:r>
              <w:rPr>
                <w:noProof/>
                <w:webHidden/>
              </w:rPr>
              <w:fldChar w:fldCharType="separate"/>
            </w:r>
            <w:r>
              <w:rPr>
                <w:noProof/>
                <w:webHidden/>
              </w:rPr>
              <w:t>5</w:t>
            </w:r>
            <w:r>
              <w:rPr>
                <w:noProof/>
                <w:webHidden/>
              </w:rPr>
              <w:fldChar w:fldCharType="end"/>
            </w:r>
          </w:hyperlink>
        </w:p>
        <w:p w14:paraId="26CBDA31" w14:textId="22A86D2E" w:rsidR="000D0B1D" w:rsidRDefault="000D0B1D">
          <w:pPr>
            <w:pStyle w:val="TOC1"/>
            <w:tabs>
              <w:tab w:val="right" w:leader="dot" w:pos="9350"/>
            </w:tabs>
            <w:rPr>
              <w:rFonts w:eastAsiaTheme="minorEastAsia" w:cstheme="minorBidi"/>
              <w:b w:val="0"/>
              <w:bCs w:val="0"/>
              <w:i w:val="0"/>
              <w:iCs w:val="0"/>
              <w:noProof/>
              <w:kern w:val="2"/>
              <w14:ligatures w14:val="standardContextual"/>
            </w:rPr>
          </w:pPr>
          <w:hyperlink w:anchor="_Toc227678760" w:history="1">
            <w:r w:rsidRPr="00FB7CD1">
              <w:rPr>
                <w:rStyle w:val="Hyperlink"/>
                <w:noProof/>
              </w:rPr>
              <w:t>Conclusion</w:t>
            </w:r>
            <w:r>
              <w:rPr>
                <w:noProof/>
                <w:webHidden/>
              </w:rPr>
              <w:tab/>
            </w:r>
            <w:r>
              <w:rPr>
                <w:noProof/>
                <w:webHidden/>
              </w:rPr>
              <w:fldChar w:fldCharType="begin"/>
            </w:r>
            <w:r>
              <w:rPr>
                <w:noProof/>
                <w:webHidden/>
              </w:rPr>
              <w:instrText xml:space="preserve"> PAGEREF _Toc227678760 \h </w:instrText>
            </w:r>
            <w:r>
              <w:rPr>
                <w:noProof/>
                <w:webHidden/>
              </w:rPr>
            </w:r>
            <w:r>
              <w:rPr>
                <w:noProof/>
                <w:webHidden/>
              </w:rPr>
              <w:fldChar w:fldCharType="separate"/>
            </w:r>
            <w:r>
              <w:rPr>
                <w:noProof/>
                <w:webHidden/>
              </w:rPr>
              <w:t>8</w:t>
            </w:r>
            <w:r>
              <w:rPr>
                <w:noProof/>
                <w:webHidden/>
              </w:rPr>
              <w:fldChar w:fldCharType="end"/>
            </w:r>
          </w:hyperlink>
        </w:p>
        <w:p w14:paraId="757E6416" w14:textId="3FE55D28" w:rsidR="000D0B1D" w:rsidRDefault="000D0B1D">
          <w:pPr>
            <w:pStyle w:val="TOC1"/>
            <w:tabs>
              <w:tab w:val="right" w:leader="dot" w:pos="9350"/>
            </w:tabs>
            <w:rPr>
              <w:rFonts w:eastAsiaTheme="minorEastAsia" w:cstheme="minorBidi"/>
              <w:b w:val="0"/>
              <w:bCs w:val="0"/>
              <w:i w:val="0"/>
              <w:iCs w:val="0"/>
              <w:noProof/>
              <w:kern w:val="2"/>
              <w14:ligatures w14:val="standardContextual"/>
            </w:rPr>
          </w:pPr>
          <w:hyperlink w:anchor="_Toc227678761" w:history="1">
            <w:r w:rsidRPr="00FB7CD1">
              <w:rPr>
                <w:rStyle w:val="Hyperlink"/>
                <w:noProof/>
              </w:rPr>
              <w:t>Appendix A: Figures</w:t>
            </w:r>
            <w:r>
              <w:rPr>
                <w:noProof/>
                <w:webHidden/>
              </w:rPr>
              <w:tab/>
            </w:r>
            <w:r>
              <w:rPr>
                <w:noProof/>
                <w:webHidden/>
              </w:rPr>
              <w:fldChar w:fldCharType="begin"/>
            </w:r>
            <w:r>
              <w:rPr>
                <w:noProof/>
                <w:webHidden/>
              </w:rPr>
              <w:instrText xml:space="preserve"> PAGEREF _Toc227678761 \h </w:instrText>
            </w:r>
            <w:r>
              <w:rPr>
                <w:noProof/>
                <w:webHidden/>
              </w:rPr>
            </w:r>
            <w:r>
              <w:rPr>
                <w:noProof/>
                <w:webHidden/>
              </w:rPr>
              <w:fldChar w:fldCharType="separate"/>
            </w:r>
            <w:r>
              <w:rPr>
                <w:noProof/>
                <w:webHidden/>
              </w:rPr>
              <w:t>9</w:t>
            </w:r>
            <w:r>
              <w:rPr>
                <w:noProof/>
                <w:webHidden/>
              </w:rPr>
              <w:fldChar w:fldCharType="end"/>
            </w:r>
          </w:hyperlink>
        </w:p>
        <w:p w14:paraId="0CD29B7A" w14:textId="1ED4216E" w:rsidR="000D0B1D" w:rsidRDefault="000D0B1D">
          <w:pPr>
            <w:pStyle w:val="TOC1"/>
            <w:tabs>
              <w:tab w:val="right" w:leader="dot" w:pos="9350"/>
            </w:tabs>
            <w:rPr>
              <w:rFonts w:eastAsiaTheme="minorEastAsia" w:cstheme="minorBidi"/>
              <w:b w:val="0"/>
              <w:bCs w:val="0"/>
              <w:i w:val="0"/>
              <w:iCs w:val="0"/>
              <w:noProof/>
              <w:kern w:val="2"/>
              <w14:ligatures w14:val="standardContextual"/>
            </w:rPr>
          </w:pPr>
          <w:hyperlink w:anchor="_Toc227678762" w:history="1">
            <w:r w:rsidRPr="00FB7CD1">
              <w:rPr>
                <w:rStyle w:val="Hyperlink"/>
                <w:noProof/>
              </w:rPr>
              <w:t>Appendix B: Reference List</w:t>
            </w:r>
            <w:r>
              <w:rPr>
                <w:noProof/>
                <w:webHidden/>
              </w:rPr>
              <w:tab/>
            </w:r>
            <w:r>
              <w:rPr>
                <w:noProof/>
                <w:webHidden/>
              </w:rPr>
              <w:fldChar w:fldCharType="begin"/>
            </w:r>
            <w:r>
              <w:rPr>
                <w:noProof/>
                <w:webHidden/>
              </w:rPr>
              <w:instrText xml:space="preserve"> PAGEREF _Toc227678762 \h </w:instrText>
            </w:r>
            <w:r>
              <w:rPr>
                <w:noProof/>
                <w:webHidden/>
              </w:rPr>
            </w:r>
            <w:r>
              <w:rPr>
                <w:noProof/>
                <w:webHidden/>
              </w:rPr>
              <w:fldChar w:fldCharType="separate"/>
            </w:r>
            <w:r>
              <w:rPr>
                <w:noProof/>
                <w:webHidden/>
              </w:rPr>
              <w:t>14</w:t>
            </w:r>
            <w:r>
              <w:rPr>
                <w:noProof/>
                <w:webHidden/>
              </w:rPr>
              <w:fldChar w:fldCharType="end"/>
            </w:r>
          </w:hyperlink>
        </w:p>
        <w:p w14:paraId="5A62ACF9" w14:textId="06A357FD" w:rsidR="00DF5FBF" w:rsidRDefault="00DF5FBF" w:rsidP="32F51796">
          <w:pPr>
            <w:pStyle w:val="TOC1"/>
            <w:tabs>
              <w:tab w:val="right" w:leader="dot" w:pos="9345"/>
            </w:tabs>
            <w:rPr>
              <w:rStyle w:val="Hyperlink"/>
              <w:noProof/>
              <w:kern w:val="2"/>
              <w14:ligatures w14:val="standardContextual"/>
            </w:rPr>
          </w:pPr>
          <w:r>
            <w:fldChar w:fldCharType="end"/>
          </w:r>
        </w:p>
      </w:sdtContent>
    </w:sdt>
    <w:p w14:paraId="5AA9792E" w14:textId="52D618D9" w:rsidR="00A453F4" w:rsidRDefault="00A453F4"/>
    <w:p w14:paraId="37B84FF9" w14:textId="7A630D1D" w:rsidR="00A453F4" w:rsidRDefault="00A453F4">
      <w:r>
        <w:br w:type="page"/>
      </w:r>
    </w:p>
    <w:p w14:paraId="7644E045" w14:textId="69E1135D" w:rsidR="002B5904" w:rsidRPr="002B5904" w:rsidRDefault="002B5904" w:rsidP="002B5904">
      <w:pPr>
        <w:pStyle w:val="Heading1"/>
      </w:pPr>
      <w:bookmarkStart w:id="0" w:name="_Toc227678757"/>
      <w:r>
        <w:lastRenderedPageBreak/>
        <w:t>Introduction</w:t>
      </w:r>
      <w:bookmarkEnd w:id="0"/>
    </w:p>
    <w:p w14:paraId="2FC00739" w14:textId="77777777" w:rsidR="008E1289" w:rsidRDefault="008E1289" w:rsidP="008E1289">
      <w:r w:rsidRPr="19D886F2">
        <w:rPr>
          <w:b/>
          <w:bCs/>
        </w:rPr>
        <w:t xml:space="preserve">Project Goals: </w:t>
      </w:r>
    </w:p>
    <w:p w14:paraId="74E1DBB0" w14:textId="77777777" w:rsidR="008E1289" w:rsidRDefault="008E1289" w:rsidP="008E1289">
      <w:r>
        <w:t xml:space="preserve">The purpose of this project is to conduct a natural disaster risk analysis for two states using the FEMA National Risk Index (NRI) data and the CDC/ATSDR Social Vulnerability Index (SVI) Risk Averse, LLC has tasked the team with performing analysis to evaluate bias in the NRI method by applying and comparing the consultant developed risk method. Comparison of the results will highlight differences in risk identification and the effects on a community. All client specific requirements will be addressed upon completion of this project. The two states selected include Iowa and Nebraska. Sources that are relevant for data analysis include National Centers for Environmental Information, and U.S. Census Bureau.  All analysis will be done within a </w:t>
      </w:r>
      <w:proofErr w:type="spellStart"/>
      <w:r>
        <w:t>Jupyter</w:t>
      </w:r>
      <w:proofErr w:type="spellEnd"/>
      <w:r>
        <w:t xml:space="preserve"> Notebook, an annotated code document, a GitHub repository, an engineering timesheet, and a detailed technical report.</w:t>
      </w:r>
    </w:p>
    <w:p w14:paraId="17B5E1CE" w14:textId="77777777" w:rsidR="008E1289" w:rsidRDefault="008E1289" w:rsidP="008E1289"/>
    <w:p w14:paraId="37A460D9" w14:textId="77777777" w:rsidR="008E1289" w:rsidRPr="00384CDC" w:rsidRDefault="008E1289" w:rsidP="008E1289">
      <w:pPr>
        <w:rPr>
          <w:b/>
          <w:bCs/>
        </w:rPr>
      </w:pPr>
      <w:r w:rsidRPr="0AFE585F">
        <w:rPr>
          <w:b/>
          <w:bCs/>
        </w:rPr>
        <w:t xml:space="preserve">Task 1: </w:t>
      </w:r>
      <w:r>
        <w:rPr>
          <w:b/>
          <w:bCs/>
        </w:rPr>
        <w:t>Analyze Data</w:t>
      </w:r>
    </w:p>
    <w:p w14:paraId="38242379" w14:textId="77777777" w:rsidR="008E1289" w:rsidRDefault="008E1289" w:rsidP="008E1289">
      <w:r>
        <w:t>The NRI CSV and Metadata files will be downloaded from the FEMA data site for Iowa and Nebraska. The corresponding SVI data will be downloaded from the ATSDR site. The data will be interpreted to find missing values and understand what is required for merging. The metadata will be used for a clean understanding of the information and overall creates a foundation of understanding for further analysis. The NRI definition of risk is the likelihood of a natural hazard occurring and its consequences on the surrounding environment. The NRI calculates this using three components: Expected Annual Loss, Social Vulnerability, and Community Resilience. This gives every community a risk index score to rank against other communities geographically.</w:t>
      </w:r>
    </w:p>
    <w:p w14:paraId="5D71AD1A" w14:textId="77777777" w:rsidR="008E1289" w:rsidRDefault="008E1289" w:rsidP="008E1289"/>
    <w:p w14:paraId="6D0A979C" w14:textId="77777777" w:rsidR="008E1289" w:rsidRPr="00384CDC" w:rsidRDefault="008E1289" w:rsidP="008E1289">
      <w:pPr>
        <w:rPr>
          <w:b/>
          <w:bCs/>
        </w:rPr>
      </w:pPr>
      <w:r w:rsidRPr="00384CDC">
        <w:rPr>
          <w:b/>
          <w:bCs/>
        </w:rPr>
        <w:t xml:space="preserve">Task 2: </w:t>
      </w:r>
      <w:r w:rsidRPr="10BC95C7">
        <w:rPr>
          <w:b/>
          <w:bCs/>
        </w:rPr>
        <w:t>Python Code</w:t>
      </w:r>
    </w:p>
    <w:p w14:paraId="4A671B5B" w14:textId="77777777" w:rsidR="008E1289" w:rsidRDefault="008E1289" w:rsidP="008E1289">
      <w:r>
        <w:t xml:space="preserve">A structured </w:t>
      </w:r>
      <w:proofErr w:type="spellStart"/>
      <w:r>
        <w:t>Jupyter</w:t>
      </w:r>
      <w:proofErr w:type="spellEnd"/>
      <w:r>
        <w:t xml:space="preserve"> Notebook </w:t>
      </w:r>
      <w:proofErr w:type="gramStart"/>
      <w:r>
        <w:t>(.</w:t>
      </w:r>
      <w:proofErr w:type="spellStart"/>
      <w:r>
        <w:t>ipynb</w:t>
      </w:r>
      <w:proofErr w:type="spellEnd"/>
      <w:proofErr w:type="gramEnd"/>
      <w:r>
        <w:t xml:space="preserve">) will organize imported data, analysis, combining NRI and SVI data, filling missing values, applying risk analysis from both NRI and consultant methods, and graphic visuals. Risk index scores will be calculated using the NRI formula: </w:t>
      </w:r>
      <m:oMath>
        <m:r>
          <m:rPr>
            <m:sty m:val="p"/>
          </m:rPr>
          <w:rPr>
            <w:rFonts w:ascii="Cambria Math" w:hAnsi="Cambria Math"/>
          </w:rPr>
          <m:t xml:space="preserve">Risk Index = </m:t>
        </m:r>
        <m:f>
          <m:fPr>
            <m:ctrlPr>
              <w:rPr>
                <w:rFonts w:ascii="Cambria Math" w:hAnsi="Cambria Math"/>
              </w:rPr>
            </m:ctrlPr>
          </m:fPr>
          <m:num>
            <m:r>
              <m:rPr>
                <m:sty m:val="p"/>
              </m:rPr>
              <w:rPr>
                <w:rFonts w:ascii="Cambria Math" w:hAnsi="Cambria Math"/>
              </w:rPr>
              <m:t>Expected Annual Loss * Social Vulnerability</m:t>
            </m:r>
          </m:num>
          <m:den>
            <m:r>
              <w:rPr>
                <w:rFonts w:ascii="Cambria Math" w:hAnsi="Cambria Math"/>
              </w:rPr>
              <m:t>Community Resilience</m:t>
            </m:r>
          </m:den>
        </m:f>
      </m:oMath>
      <w:r>
        <w:rPr>
          <w:rFonts w:eastAsiaTheme="minorEastAsia"/>
        </w:rPr>
        <w:t xml:space="preserve"> and using an alternatively developed risk scoring method for comparison.</w:t>
      </w:r>
      <w:r>
        <w:t xml:space="preserve"> The notebook will include summary tables and figures that compare the calculated risk scores from each method and use </w:t>
      </w:r>
      <w:proofErr w:type="spellStart"/>
      <w:r>
        <w:t>GeoPandas</w:t>
      </w:r>
      <w:proofErr w:type="spellEnd"/>
      <w:r>
        <w:t xml:space="preserve"> to display the risk information on a map.</w:t>
      </w:r>
    </w:p>
    <w:p w14:paraId="70914A3F" w14:textId="77777777" w:rsidR="008E1289" w:rsidRDefault="008E1289" w:rsidP="008E1289">
      <w:pPr>
        <w:rPr>
          <w:b/>
          <w:bCs/>
        </w:rPr>
      </w:pPr>
    </w:p>
    <w:p w14:paraId="10DA4B13" w14:textId="77777777" w:rsidR="008E1289" w:rsidRPr="000745AD" w:rsidRDefault="008E1289" w:rsidP="008E1289">
      <w:pPr>
        <w:rPr>
          <w:b/>
          <w:bCs/>
        </w:rPr>
      </w:pPr>
      <w:r w:rsidRPr="4AE99E1F">
        <w:rPr>
          <w:b/>
          <w:bCs/>
        </w:rPr>
        <w:t xml:space="preserve">Task </w:t>
      </w:r>
      <w:r>
        <w:rPr>
          <w:b/>
          <w:bCs/>
        </w:rPr>
        <w:t>3</w:t>
      </w:r>
      <w:r w:rsidRPr="4AE99E1F">
        <w:rPr>
          <w:b/>
          <w:bCs/>
        </w:rPr>
        <w:t>: Documentation and Reporting</w:t>
      </w:r>
    </w:p>
    <w:p w14:paraId="217ED8DE" w14:textId="7F4C3C8C" w:rsidR="008E1289" w:rsidRPr="00384CDC" w:rsidRDefault="008E1289" w:rsidP="008E1289">
      <w:r>
        <w:t xml:space="preserve">A </w:t>
      </w:r>
      <w:proofErr w:type="spellStart"/>
      <w:r>
        <w:t>Jupyter</w:t>
      </w:r>
      <w:proofErr w:type="spellEnd"/>
      <w:r>
        <w:t xml:space="preserve"> Notebook (</w:t>
      </w:r>
      <w:proofErr w:type="spellStart"/>
      <w:r>
        <w:t>ipynb</w:t>
      </w:r>
      <w:proofErr w:type="spellEnd"/>
      <w:r>
        <w:t>) that presents the code structure and sequential prompts will be created. Attached will also be an Annotated Code Document, which will describe all Excel-to-Python logic through detailed individual line-by-line explanations. The technical report will include an Introduction, explain the Methods, analyze and discuss Results, and a References section. Additionally, a GitHub repository will store all code, documentation, and a README file containing User Guide information. Lastly, a Gantt Chart will display task sequences, task durations, and all project milestones.</w:t>
      </w:r>
    </w:p>
    <w:p w14:paraId="1A5282A2" w14:textId="77777777" w:rsidR="008E1289" w:rsidRDefault="008E1289" w:rsidP="008E1289"/>
    <w:p w14:paraId="3FD603D4" w14:textId="77777777" w:rsidR="006114D5" w:rsidRDefault="006114D5" w:rsidP="008E1289"/>
    <w:p w14:paraId="739B20CF" w14:textId="77777777" w:rsidR="006114D5" w:rsidRDefault="006114D5" w:rsidP="008E1289"/>
    <w:p w14:paraId="6A6A4D5A" w14:textId="77777777" w:rsidR="008E1289" w:rsidRDefault="008E1289" w:rsidP="008E1289">
      <w:pPr>
        <w:rPr>
          <w:b/>
          <w:bCs/>
        </w:rPr>
      </w:pPr>
      <w:r w:rsidRPr="134EFE43">
        <w:rPr>
          <w:b/>
          <w:bCs/>
        </w:rPr>
        <w:lastRenderedPageBreak/>
        <w:t>Table 1: Final Deliverables</w:t>
      </w:r>
    </w:p>
    <w:tbl>
      <w:tblPr>
        <w:tblStyle w:val="TableGrid"/>
        <w:tblW w:w="9624" w:type="dxa"/>
        <w:tblInd w:w="-5" w:type="dxa"/>
        <w:tblLook w:val="04A0" w:firstRow="1" w:lastRow="0" w:firstColumn="1" w:lastColumn="0" w:noHBand="0" w:noVBand="1"/>
      </w:tblPr>
      <w:tblGrid>
        <w:gridCol w:w="2014"/>
        <w:gridCol w:w="6590"/>
        <w:gridCol w:w="1020"/>
      </w:tblGrid>
      <w:tr w:rsidR="008E1289" w14:paraId="766FD084" w14:textId="77777777" w:rsidTr="00771A6C">
        <w:tc>
          <w:tcPr>
            <w:tcW w:w="2014" w:type="dxa"/>
          </w:tcPr>
          <w:p w14:paraId="0B2660FF" w14:textId="77777777" w:rsidR="008E1289" w:rsidRDefault="008E1289" w:rsidP="00771A6C">
            <w:r>
              <w:t>Deliverable</w:t>
            </w:r>
          </w:p>
        </w:tc>
        <w:tc>
          <w:tcPr>
            <w:tcW w:w="6590" w:type="dxa"/>
          </w:tcPr>
          <w:p w14:paraId="5A63CE4F" w14:textId="77777777" w:rsidR="008E1289" w:rsidRDefault="008E1289" w:rsidP="00771A6C">
            <w:r>
              <w:t>Files Included</w:t>
            </w:r>
          </w:p>
        </w:tc>
        <w:tc>
          <w:tcPr>
            <w:tcW w:w="1020" w:type="dxa"/>
          </w:tcPr>
          <w:p w14:paraId="41EE84F7" w14:textId="77777777" w:rsidR="008E1289" w:rsidRDefault="008E1289" w:rsidP="00771A6C">
            <w:r>
              <w:t>Date</w:t>
            </w:r>
          </w:p>
        </w:tc>
      </w:tr>
      <w:tr w:rsidR="008E1289" w14:paraId="1D645DBB" w14:textId="77777777" w:rsidTr="00771A6C">
        <w:tc>
          <w:tcPr>
            <w:tcW w:w="2014" w:type="dxa"/>
          </w:tcPr>
          <w:p w14:paraId="3A9F6186" w14:textId="77777777" w:rsidR="008E1289" w:rsidRDefault="008E1289" w:rsidP="00771A6C">
            <w:r>
              <w:t>Raw Data File</w:t>
            </w:r>
          </w:p>
        </w:tc>
        <w:tc>
          <w:tcPr>
            <w:tcW w:w="6590" w:type="dxa"/>
          </w:tcPr>
          <w:p w14:paraId="0F6D180A" w14:textId="77777777" w:rsidR="008E1289" w:rsidRDefault="008E1289" w:rsidP="00771A6C">
            <w:r w:rsidRPr="00E33D11">
              <w:t>CIVE202_Spring2025_</w:t>
            </w:r>
            <w:r>
              <w:t xml:space="preserve"> Group</w:t>
            </w:r>
            <w:r w:rsidRPr="00E33D11">
              <w:t>_Project</w:t>
            </w:r>
            <w:r>
              <w:t>4</w:t>
            </w:r>
            <w:r w:rsidRPr="00E33D11">
              <w:t>_</w:t>
            </w:r>
            <w:r>
              <w:t>Raw</w:t>
            </w:r>
          </w:p>
        </w:tc>
        <w:tc>
          <w:tcPr>
            <w:tcW w:w="1020" w:type="dxa"/>
          </w:tcPr>
          <w:p w14:paraId="6740009C" w14:textId="77777777" w:rsidR="008E1289" w:rsidRPr="00E33D11" w:rsidRDefault="008E1289" w:rsidP="00771A6C">
            <w:r>
              <w:t>4/21/26</w:t>
            </w:r>
          </w:p>
        </w:tc>
      </w:tr>
      <w:tr w:rsidR="008E1289" w14:paraId="77DE3012" w14:textId="77777777" w:rsidTr="00771A6C">
        <w:tc>
          <w:tcPr>
            <w:tcW w:w="2014" w:type="dxa"/>
          </w:tcPr>
          <w:p w14:paraId="2E6C887B" w14:textId="77777777" w:rsidR="008E1289" w:rsidRDefault="008E1289" w:rsidP="00771A6C">
            <w:r>
              <w:t>Python Code</w:t>
            </w:r>
          </w:p>
        </w:tc>
        <w:tc>
          <w:tcPr>
            <w:tcW w:w="6590" w:type="dxa"/>
          </w:tcPr>
          <w:p w14:paraId="14BC9D58" w14:textId="77777777" w:rsidR="008E1289" w:rsidRDefault="008E1289" w:rsidP="00771A6C">
            <w:r w:rsidRPr="00E33D11">
              <w:t>CIVE202_Spring2025_</w:t>
            </w:r>
            <w:r>
              <w:t xml:space="preserve"> Group</w:t>
            </w:r>
            <w:r w:rsidRPr="00E33D11">
              <w:t>_Project</w:t>
            </w:r>
            <w:r>
              <w:t>4</w:t>
            </w:r>
            <w:r w:rsidRPr="00E33D11">
              <w:t>_Code.ipynb</w:t>
            </w:r>
          </w:p>
        </w:tc>
        <w:tc>
          <w:tcPr>
            <w:tcW w:w="1020" w:type="dxa"/>
          </w:tcPr>
          <w:p w14:paraId="22ECF776" w14:textId="77777777" w:rsidR="008E1289" w:rsidRPr="00E33D11" w:rsidRDefault="008E1289" w:rsidP="00771A6C">
            <w:r>
              <w:t>4/21/26</w:t>
            </w:r>
          </w:p>
        </w:tc>
      </w:tr>
      <w:tr w:rsidR="008E1289" w14:paraId="6A8AFDCA" w14:textId="77777777" w:rsidTr="00771A6C">
        <w:tc>
          <w:tcPr>
            <w:tcW w:w="2014" w:type="dxa"/>
          </w:tcPr>
          <w:p w14:paraId="21E72A50" w14:textId="77777777" w:rsidR="008E1289" w:rsidRDefault="008E1289" w:rsidP="00771A6C">
            <w:r>
              <w:t>Organized Files</w:t>
            </w:r>
          </w:p>
        </w:tc>
        <w:tc>
          <w:tcPr>
            <w:tcW w:w="6590" w:type="dxa"/>
          </w:tcPr>
          <w:p w14:paraId="3C4EF7A2" w14:textId="77777777" w:rsidR="008E1289" w:rsidRDefault="008E1289" w:rsidP="00771A6C">
            <w:r w:rsidRPr="00E33D11">
              <w:t>GitHub Link containing this data</w:t>
            </w:r>
          </w:p>
        </w:tc>
        <w:tc>
          <w:tcPr>
            <w:tcW w:w="1020" w:type="dxa"/>
          </w:tcPr>
          <w:p w14:paraId="3C7EE103" w14:textId="77777777" w:rsidR="008E1289" w:rsidRPr="00E33D11" w:rsidRDefault="008E1289" w:rsidP="00771A6C">
            <w:r>
              <w:t>4/21/26</w:t>
            </w:r>
          </w:p>
        </w:tc>
      </w:tr>
      <w:tr w:rsidR="008E1289" w14:paraId="5FD0C218" w14:textId="77777777" w:rsidTr="00771A6C">
        <w:tc>
          <w:tcPr>
            <w:tcW w:w="2014" w:type="dxa"/>
          </w:tcPr>
          <w:p w14:paraId="71371615" w14:textId="77777777" w:rsidR="008E1289" w:rsidRDefault="008E1289" w:rsidP="00771A6C">
            <w:r>
              <w:t>Scope of Work</w:t>
            </w:r>
          </w:p>
        </w:tc>
        <w:tc>
          <w:tcPr>
            <w:tcW w:w="6590" w:type="dxa"/>
          </w:tcPr>
          <w:p w14:paraId="69570C74" w14:textId="77777777" w:rsidR="008E1289" w:rsidRDefault="008E1289" w:rsidP="00771A6C">
            <w:r w:rsidRPr="00E33D11">
              <w:t>CIVE202_Spring2025_</w:t>
            </w:r>
            <w:r>
              <w:t xml:space="preserve"> Group</w:t>
            </w:r>
            <w:r w:rsidRPr="00E33D11">
              <w:t>_Project</w:t>
            </w:r>
            <w:r>
              <w:t>4</w:t>
            </w:r>
            <w:r w:rsidRPr="00E33D11">
              <w:t>_SOW.DOCX</w:t>
            </w:r>
          </w:p>
        </w:tc>
        <w:tc>
          <w:tcPr>
            <w:tcW w:w="1020" w:type="dxa"/>
          </w:tcPr>
          <w:p w14:paraId="4B859C7A" w14:textId="77777777" w:rsidR="008E1289" w:rsidRPr="00E33D11" w:rsidRDefault="008E1289" w:rsidP="00771A6C">
            <w:r>
              <w:t>4/21/26</w:t>
            </w:r>
          </w:p>
        </w:tc>
      </w:tr>
      <w:tr w:rsidR="008E1289" w14:paraId="6337AAD6" w14:textId="77777777" w:rsidTr="00771A6C">
        <w:tc>
          <w:tcPr>
            <w:tcW w:w="2014" w:type="dxa"/>
          </w:tcPr>
          <w:p w14:paraId="66B30163" w14:textId="77777777" w:rsidR="008E1289" w:rsidRDefault="008E1289" w:rsidP="00771A6C">
            <w:r>
              <w:t xml:space="preserve">Annotated Code </w:t>
            </w:r>
          </w:p>
        </w:tc>
        <w:tc>
          <w:tcPr>
            <w:tcW w:w="6590" w:type="dxa"/>
          </w:tcPr>
          <w:p w14:paraId="7C4917AA" w14:textId="77777777" w:rsidR="008E1289" w:rsidRDefault="008E1289" w:rsidP="00771A6C">
            <w:r w:rsidRPr="00E33D11">
              <w:t>CIVE202_Spring2025_</w:t>
            </w:r>
            <w:r>
              <w:t xml:space="preserve"> Group</w:t>
            </w:r>
            <w:r w:rsidRPr="00E33D11">
              <w:t>_Project</w:t>
            </w:r>
            <w:r>
              <w:t>4</w:t>
            </w:r>
            <w:r w:rsidRPr="00E33D11">
              <w:t>_ACD.DOCX</w:t>
            </w:r>
          </w:p>
        </w:tc>
        <w:tc>
          <w:tcPr>
            <w:tcW w:w="1020" w:type="dxa"/>
          </w:tcPr>
          <w:p w14:paraId="1B1DD9C2" w14:textId="77777777" w:rsidR="008E1289" w:rsidRPr="00E33D11" w:rsidRDefault="008E1289" w:rsidP="00771A6C">
            <w:r>
              <w:t>4/21/26</w:t>
            </w:r>
          </w:p>
        </w:tc>
      </w:tr>
      <w:tr w:rsidR="008E1289" w14:paraId="35C45621" w14:textId="77777777" w:rsidTr="00771A6C">
        <w:tc>
          <w:tcPr>
            <w:tcW w:w="2014" w:type="dxa"/>
          </w:tcPr>
          <w:p w14:paraId="69A1B8E5" w14:textId="77777777" w:rsidR="008E1289" w:rsidRDefault="008E1289" w:rsidP="00771A6C">
            <w:r>
              <w:t>Written Report</w:t>
            </w:r>
          </w:p>
        </w:tc>
        <w:tc>
          <w:tcPr>
            <w:tcW w:w="6590" w:type="dxa"/>
          </w:tcPr>
          <w:p w14:paraId="7C3F0B45" w14:textId="77777777" w:rsidR="008E1289" w:rsidRDefault="008E1289" w:rsidP="00771A6C">
            <w:r w:rsidRPr="00E33D11">
              <w:t>CIVE202_Spring2025_</w:t>
            </w:r>
            <w:r>
              <w:t>Group</w:t>
            </w:r>
            <w:r w:rsidRPr="00E33D11">
              <w:t>_Project</w:t>
            </w:r>
            <w:r>
              <w:t>4</w:t>
            </w:r>
            <w:r w:rsidRPr="00E33D11">
              <w:t>_Report.DOCX</w:t>
            </w:r>
          </w:p>
        </w:tc>
        <w:tc>
          <w:tcPr>
            <w:tcW w:w="1020" w:type="dxa"/>
          </w:tcPr>
          <w:p w14:paraId="19A04D5B" w14:textId="77777777" w:rsidR="008E1289" w:rsidRPr="00E33D11" w:rsidRDefault="008E1289" w:rsidP="00771A6C">
            <w:r>
              <w:t>4/21/26</w:t>
            </w:r>
          </w:p>
        </w:tc>
      </w:tr>
    </w:tbl>
    <w:p w14:paraId="565A1ED7" w14:textId="7DA4AA30" w:rsidR="002B5904" w:rsidRDefault="002B5904" w:rsidP="002B5904">
      <w:pPr>
        <w:rPr>
          <w:rFonts w:asciiTheme="majorHAnsi" w:eastAsiaTheme="majorEastAsia" w:hAnsiTheme="majorHAnsi" w:cstheme="majorBidi"/>
          <w:color w:val="2F5496" w:themeColor="accent1" w:themeShade="BF"/>
          <w:sz w:val="32"/>
          <w:szCs w:val="32"/>
        </w:rPr>
      </w:pPr>
    </w:p>
    <w:p w14:paraId="5A5E014F" w14:textId="38867231" w:rsidR="002B5904" w:rsidRDefault="002B5904" w:rsidP="00FC2906">
      <w:pPr>
        <w:pStyle w:val="Heading1"/>
      </w:pPr>
      <w:bookmarkStart w:id="1" w:name="_Toc227678758"/>
      <w:r>
        <w:t>Method</w:t>
      </w:r>
      <w:r w:rsidR="00FC2906">
        <w:t>s</w:t>
      </w:r>
      <w:bookmarkEnd w:id="1"/>
    </w:p>
    <w:p w14:paraId="52B53416" w14:textId="77777777" w:rsidR="000D0B1D" w:rsidRPr="00F5215D" w:rsidRDefault="000D0B1D" w:rsidP="000D0B1D">
      <w:pPr>
        <w:rPr>
          <w:b/>
          <w:bCs/>
        </w:rPr>
      </w:pPr>
      <w:r>
        <w:rPr>
          <w:b/>
          <w:bCs/>
        </w:rPr>
        <w:t>Study Design and Objectives</w:t>
      </w:r>
    </w:p>
    <w:p w14:paraId="0C9C1380" w14:textId="77777777" w:rsidR="000D0B1D" w:rsidRDefault="000D0B1D" w:rsidP="000D0B1D">
      <w:r w:rsidRPr="00F5215D">
        <w:t xml:space="preserve">This study evaluates how FEMA’s National Risk Index (NRI) defines natural hazard risk and compares it to an independently developed </w:t>
      </w:r>
      <w:r>
        <w:t>Project Risk Definition.</w:t>
      </w:r>
      <w:r w:rsidRPr="00F5215D">
        <w:t xml:space="preserve"> The goal is to determine whether the NRI’s methodology introduces categorical bias—systematic differences in risk classification that may advantage or disadvantage certain communities. The analysis focuses on Census tracts in Iowa and Missouri, two Midwestern states with distinct hazard profiles, demographic patterns, and levels of social vulnerability. </w:t>
      </w:r>
    </w:p>
    <w:p w14:paraId="5AA4D15E" w14:textId="77777777" w:rsidR="000D0B1D" w:rsidRDefault="000D0B1D" w:rsidP="000D0B1D"/>
    <w:p w14:paraId="0000E203" w14:textId="77777777" w:rsidR="000D0B1D" w:rsidRPr="00E931E5" w:rsidRDefault="000D0B1D" w:rsidP="000D0B1D">
      <w:r w:rsidRPr="00E931E5">
        <w:rPr>
          <w:b/>
          <w:bCs/>
        </w:rPr>
        <w:t>Dataset:</w:t>
      </w:r>
      <w:r w:rsidRPr="00E931E5">
        <w:t xml:space="preserve"> 2025 NRI Census Tract level</w:t>
      </w:r>
    </w:p>
    <w:p w14:paraId="3CEB3EEB" w14:textId="77777777" w:rsidR="000D0B1D" w:rsidRDefault="000D0B1D" w:rsidP="000D0B1D">
      <w:r>
        <w:rPr>
          <w:b/>
          <w:bCs/>
        </w:rPr>
        <w:t xml:space="preserve">Study Area: </w:t>
      </w:r>
      <w:r>
        <w:t>State of Iowa and Missouri</w:t>
      </w:r>
    </w:p>
    <w:p w14:paraId="27D98F32" w14:textId="77777777" w:rsidR="000D0B1D" w:rsidRDefault="000D0B1D" w:rsidP="000D0B1D">
      <w:r>
        <w:rPr>
          <w:b/>
          <w:bCs/>
        </w:rPr>
        <w:t xml:space="preserve">Risk Definition: </w:t>
      </w:r>
    </w:p>
    <w:p w14:paraId="60573FE9" w14:textId="77777777" w:rsidR="000D0B1D" w:rsidRDefault="000D0B1D" w:rsidP="000D0B1D">
      <w:r>
        <w:t xml:space="preserve">Risk is defined using the Expected Annual Loss (EAL) metric provided in the NRI dataset. </w:t>
      </w:r>
    </w:p>
    <w:p w14:paraId="0E3BCA2E" w14:textId="77777777" w:rsidR="000D0B1D" w:rsidRDefault="000D0B1D" w:rsidP="000D0B1D">
      <w:r>
        <w:t>EAL represents FEMA’s estimate of the average economic loss expected per year from natural hazards, incorporating both the probability of hazard occurrence and the severity of potential impacts.</w:t>
      </w:r>
    </w:p>
    <w:p w14:paraId="26C7F5D8" w14:textId="77777777" w:rsidR="000D0B1D" w:rsidRDefault="000D0B1D" w:rsidP="000D0B1D">
      <w:r>
        <w:t>This metric was selected because it is quantitative, comparable across counties, and directly reflects hazard-related risk.</w:t>
      </w:r>
    </w:p>
    <w:p w14:paraId="602F1C9C" w14:textId="77777777" w:rsidR="000D0B1D" w:rsidRDefault="000D0B1D" w:rsidP="000D0B1D">
      <w:pPr>
        <w:rPr>
          <w:b/>
          <w:bCs/>
        </w:rPr>
      </w:pPr>
      <w:r>
        <w:rPr>
          <w:b/>
          <w:bCs/>
        </w:rPr>
        <w:t>Data Cleaning and Preprocessing:</w:t>
      </w:r>
    </w:p>
    <w:p w14:paraId="0A696EE8" w14:textId="77777777" w:rsidR="000D0B1D" w:rsidRPr="004B416B" w:rsidRDefault="000D0B1D" w:rsidP="000D0B1D">
      <w:pPr>
        <w:pStyle w:val="ListParagraph"/>
        <w:numPr>
          <w:ilvl w:val="1"/>
          <w:numId w:val="8"/>
        </w:numPr>
        <w:spacing w:after="160" w:line="278" w:lineRule="auto"/>
        <w:rPr>
          <w:rFonts w:asciiTheme="majorHAnsi" w:eastAsiaTheme="majorEastAsia" w:hAnsiTheme="majorHAnsi" w:cstheme="majorBidi"/>
          <w:color w:val="2F5496" w:themeColor="accent1" w:themeShade="BF"/>
          <w:sz w:val="32"/>
          <w:szCs w:val="32"/>
        </w:rPr>
      </w:pPr>
      <w:r>
        <w:t>Filtered the dataset to include only counties located in Iowa and Missouri.</w:t>
      </w:r>
    </w:p>
    <w:p w14:paraId="09D072C8" w14:textId="77777777" w:rsidR="000D0B1D" w:rsidRPr="004B416B" w:rsidRDefault="000D0B1D" w:rsidP="000D0B1D">
      <w:pPr>
        <w:pStyle w:val="ListParagraph"/>
        <w:numPr>
          <w:ilvl w:val="1"/>
          <w:numId w:val="8"/>
        </w:numPr>
        <w:spacing w:after="160" w:line="278" w:lineRule="auto"/>
        <w:rPr>
          <w:rFonts w:asciiTheme="majorHAnsi" w:eastAsiaTheme="majorEastAsia" w:hAnsiTheme="majorHAnsi" w:cstheme="majorBidi"/>
          <w:color w:val="2F5496" w:themeColor="accent1" w:themeShade="BF"/>
          <w:sz w:val="32"/>
          <w:szCs w:val="32"/>
        </w:rPr>
      </w:pPr>
      <w:r>
        <w:t>Removed all rows where EAL or hazard-specific loss values were zero, as these represent counties with no recorded or modeled risk.</w:t>
      </w:r>
    </w:p>
    <w:p w14:paraId="1CD0147C" w14:textId="77777777" w:rsidR="000D0B1D" w:rsidRPr="004B416B" w:rsidRDefault="000D0B1D" w:rsidP="000D0B1D">
      <w:pPr>
        <w:pStyle w:val="ListParagraph"/>
        <w:numPr>
          <w:ilvl w:val="1"/>
          <w:numId w:val="8"/>
        </w:numPr>
        <w:spacing w:after="160" w:line="278" w:lineRule="auto"/>
        <w:rPr>
          <w:rFonts w:asciiTheme="majorHAnsi" w:eastAsiaTheme="majorEastAsia" w:hAnsiTheme="majorHAnsi" w:cstheme="majorBidi"/>
          <w:color w:val="2F5496" w:themeColor="accent1" w:themeShade="BF"/>
          <w:sz w:val="32"/>
          <w:szCs w:val="32"/>
        </w:rPr>
      </w:pPr>
      <w:r>
        <w:t>Removed all rows containing non-applicable values to ensure complete records for analysis.</w:t>
      </w:r>
    </w:p>
    <w:p w14:paraId="75AEAADE" w14:textId="77777777" w:rsidR="000D0B1D" w:rsidRPr="000E7BE6" w:rsidRDefault="000D0B1D" w:rsidP="000D0B1D">
      <w:pPr>
        <w:pStyle w:val="ListParagraph"/>
        <w:numPr>
          <w:ilvl w:val="1"/>
          <w:numId w:val="8"/>
        </w:numPr>
        <w:spacing w:after="160" w:line="278" w:lineRule="auto"/>
        <w:rPr>
          <w:rFonts w:asciiTheme="majorHAnsi" w:eastAsiaTheme="majorEastAsia" w:hAnsiTheme="majorHAnsi" w:cstheme="majorBidi"/>
          <w:color w:val="2F5496" w:themeColor="accent1" w:themeShade="BF"/>
          <w:sz w:val="32"/>
          <w:szCs w:val="32"/>
        </w:rPr>
      </w:pPr>
      <w:r>
        <w:t>Retained only variables relevant to risk assessment, including EAL, population, hazard-specific loss components, and county identifiers</w:t>
      </w:r>
    </w:p>
    <w:p w14:paraId="48DDEDF9" w14:textId="77777777" w:rsidR="000D0B1D" w:rsidRPr="00AF1B39" w:rsidRDefault="000D0B1D" w:rsidP="000D0B1D">
      <w:pPr>
        <w:rPr>
          <w:b/>
          <w:bCs/>
        </w:rPr>
      </w:pPr>
      <w:r w:rsidRPr="004B416B">
        <w:br w:type="page"/>
      </w:r>
    </w:p>
    <w:p w14:paraId="04FF55E2" w14:textId="5AF1570F" w:rsidR="000D0B1D" w:rsidRDefault="000D0B1D" w:rsidP="000D0B1D">
      <w:pPr>
        <w:pStyle w:val="Heading1"/>
      </w:pPr>
      <w:bookmarkStart w:id="2" w:name="_Toc227678759"/>
      <w:r>
        <w:lastRenderedPageBreak/>
        <w:t>Results &amp; Discussion</w:t>
      </w:r>
      <w:bookmarkEnd w:id="2"/>
    </w:p>
    <w:p w14:paraId="528E6C35" w14:textId="77777777" w:rsidR="000D0B1D" w:rsidRDefault="000D0B1D" w:rsidP="000D0B1D"/>
    <w:p w14:paraId="3CDA146E" w14:textId="77777777" w:rsidR="000D0B1D" w:rsidRDefault="000D0B1D" w:rsidP="000D0B1D">
      <w:pPr>
        <w:rPr>
          <w:b/>
          <w:bCs/>
        </w:rPr>
      </w:pPr>
      <w:r>
        <w:rPr>
          <w:b/>
          <w:bCs/>
        </w:rPr>
        <w:t>Conceptual Differences Between the Two Definitions</w:t>
      </w:r>
    </w:p>
    <w:p w14:paraId="154E9E60" w14:textId="77777777" w:rsidR="000D0B1D" w:rsidRDefault="000D0B1D" w:rsidP="000D0B1D">
      <w:pPr>
        <w:ind w:firstLine="720"/>
        <w:rPr>
          <w:b/>
          <w:bCs/>
        </w:rPr>
      </w:pPr>
      <w:r>
        <w:rPr>
          <w:b/>
          <w:bCs/>
        </w:rPr>
        <w:t xml:space="preserve">Project Risk Definition: </w:t>
      </w:r>
    </w:p>
    <w:p w14:paraId="041E7742" w14:textId="77777777" w:rsidR="000D0B1D" w:rsidRDefault="000D0B1D" w:rsidP="000D0B1D">
      <w:pPr>
        <w:ind w:firstLine="720"/>
      </w:pPr>
      <w:r>
        <w:t>Risk is defined using Expected Annual Loss (EAL) from the NRI dataset.</w:t>
      </w:r>
    </w:p>
    <w:p w14:paraId="1FD1E32A" w14:textId="77777777" w:rsidR="000D0B1D" w:rsidRDefault="000D0B1D" w:rsidP="000D0B1D">
      <w:pPr>
        <w:ind w:firstLine="720"/>
        <w:rPr>
          <w:b/>
          <w:bCs/>
        </w:rPr>
      </w:pPr>
      <w:r>
        <w:rPr>
          <w:b/>
          <w:bCs/>
        </w:rPr>
        <w:t>Implications of Project Risk Definition:</w:t>
      </w:r>
    </w:p>
    <w:p w14:paraId="520480F9" w14:textId="77777777" w:rsidR="000D0B1D" w:rsidRDefault="000D0B1D" w:rsidP="000D0B1D">
      <w:pPr>
        <w:pStyle w:val="ListParagraph"/>
        <w:numPr>
          <w:ilvl w:val="0"/>
          <w:numId w:val="9"/>
        </w:numPr>
        <w:spacing w:after="160" w:line="278" w:lineRule="auto"/>
      </w:pPr>
      <w:r>
        <w:t>Risk is treated as purely economic (dollars lost per year).</w:t>
      </w:r>
    </w:p>
    <w:p w14:paraId="11D4AB93" w14:textId="497DEF25" w:rsidR="000D0B1D" w:rsidRDefault="000D0B1D" w:rsidP="000D0B1D">
      <w:pPr>
        <w:pStyle w:val="ListParagraph"/>
        <w:numPr>
          <w:ilvl w:val="0"/>
          <w:numId w:val="9"/>
        </w:numPr>
        <w:spacing w:after="160" w:line="278" w:lineRule="auto"/>
      </w:pPr>
      <w:r>
        <w:t>Social factors (vulnerability, resilience) are not included.</w:t>
      </w:r>
    </w:p>
    <w:p w14:paraId="26C6D516" w14:textId="77777777" w:rsidR="000D0B1D" w:rsidRDefault="000D0B1D" w:rsidP="000D0B1D">
      <w:pPr>
        <w:pStyle w:val="ListParagraph"/>
        <w:numPr>
          <w:ilvl w:val="0"/>
          <w:numId w:val="9"/>
        </w:numPr>
        <w:spacing w:after="160" w:line="278" w:lineRule="auto"/>
      </w:pPr>
      <w:r>
        <w:t>Zero-risk counties are excluded, which removes low-risk communities from the analysis.</w:t>
      </w:r>
    </w:p>
    <w:p w14:paraId="34E966B0" w14:textId="77777777" w:rsidR="000D0B1D" w:rsidRDefault="000D0B1D" w:rsidP="000D0B1D">
      <w:pPr>
        <w:pStyle w:val="ListParagraph"/>
        <w:numPr>
          <w:ilvl w:val="0"/>
          <w:numId w:val="9"/>
        </w:numPr>
        <w:spacing w:after="160" w:line="278" w:lineRule="auto"/>
      </w:pPr>
      <w:r>
        <w:t>The analysis becomes state-specific, not national.</w:t>
      </w:r>
    </w:p>
    <w:p w14:paraId="79154287" w14:textId="77777777" w:rsidR="000D0B1D" w:rsidRDefault="000D0B1D" w:rsidP="000D0B1D"/>
    <w:p w14:paraId="3FA63805" w14:textId="77777777" w:rsidR="000D0B1D" w:rsidRDefault="000D0B1D" w:rsidP="000D0B1D">
      <w:pPr>
        <w:ind w:firstLine="720"/>
        <w:rPr>
          <w:b/>
          <w:bCs/>
        </w:rPr>
      </w:pPr>
      <w:r>
        <w:rPr>
          <w:b/>
          <w:bCs/>
        </w:rPr>
        <w:t>NRI’s Official Risk Definition:</w:t>
      </w:r>
    </w:p>
    <w:p w14:paraId="66BFDEC5" w14:textId="77777777" w:rsidR="000D0B1D" w:rsidRDefault="000D0B1D" w:rsidP="000D0B1D">
      <w:pPr>
        <w:ind w:left="720"/>
      </w:pPr>
      <w:r>
        <w:t>The NRI defines risk as a composite index combining: Expected Annual Loss (EAL), Social Vulnerability, Community Resilience, and Hazard-Specific Scores (e.g., tornado, flood, drought).</w:t>
      </w:r>
    </w:p>
    <w:p w14:paraId="69D22C4A" w14:textId="77777777" w:rsidR="000D0B1D" w:rsidRDefault="000D0B1D" w:rsidP="000D0B1D">
      <w:pPr>
        <w:ind w:firstLine="720"/>
      </w:pPr>
      <w:r>
        <w:t>NRI’s “Risk Index” is multidimensional, not just economic.</w:t>
      </w:r>
    </w:p>
    <w:p w14:paraId="3EFA1555" w14:textId="77777777" w:rsidR="000D0B1D" w:rsidRDefault="000D0B1D" w:rsidP="000D0B1D">
      <w:pPr>
        <w:rPr>
          <w:b/>
          <w:bCs/>
        </w:rPr>
      </w:pPr>
      <w:r>
        <w:tab/>
      </w:r>
      <w:r>
        <w:rPr>
          <w:b/>
          <w:bCs/>
        </w:rPr>
        <w:t>Implications of NRI’s Definition:</w:t>
      </w:r>
    </w:p>
    <w:p w14:paraId="1B1140C9" w14:textId="77777777" w:rsidR="000D0B1D" w:rsidRPr="0097230D" w:rsidRDefault="000D0B1D" w:rsidP="000D0B1D">
      <w:pPr>
        <w:pStyle w:val="ListParagraph"/>
        <w:numPr>
          <w:ilvl w:val="0"/>
          <w:numId w:val="10"/>
        </w:numPr>
        <w:spacing w:after="160" w:line="278" w:lineRule="auto"/>
        <w:rPr>
          <w:b/>
          <w:bCs/>
        </w:rPr>
      </w:pPr>
      <w:r>
        <w:t>Risk includes social inequities (e.g., poverty, age, disability).</w:t>
      </w:r>
    </w:p>
    <w:p w14:paraId="7FEF2FDD" w14:textId="77777777" w:rsidR="000D0B1D" w:rsidRPr="0097230D" w:rsidRDefault="000D0B1D" w:rsidP="000D0B1D">
      <w:pPr>
        <w:pStyle w:val="ListParagraph"/>
        <w:numPr>
          <w:ilvl w:val="0"/>
          <w:numId w:val="10"/>
        </w:numPr>
        <w:spacing w:after="160" w:line="278" w:lineRule="auto"/>
        <w:rPr>
          <w:b/>
          <w:bCs/>
        </w:rPr>
      </w:pPr>
      <w:r>
        <w:t>Risk includes community capacity to respond and recover.</w:t>
      </w:r>
    </w:p>
    <w:p w14:paraId="160C311E" w14:textId="77777777" w:rsidR="000D0B1D" w:rsidRPr="0097230D" w:rsidRDefault="000D0B1D" w:rsidP="000D0B1D">
      <w:pPr>
        <w:pStyle w:val="ListParagraph"/>
        <w:numPr>
          <w:ilvl w:val="0"/>
          <w:numId w:val="10"/>
        </w:numPr>
        <w:spacing w:after="160" w:line="278" w:lineRule="auto"/>
        <w:rPr>
          <w:b/>
          <w:bCs/>
        </w:rPr>
      </w:pPr>
      <w:r>
        <w:t>Risk is comparable across all U.S. counties.</w:t>
      </w:r>
    </w:p>
    <w:p w14:paraId="6CC4FAE0" w14:textId="77777777" w:rsidR="000D0B1D" w:rsidRPr="00BC4291" w:rsidRDefault="000D0B1D" w:rsidP="000D0B1D">
      <w:pPr>
        <w:pStyle w:val="ListParagraph"/>
        <w:numPr>
          <w:ilvl w:val="0"/>
          <w:numId w:val="10"/>
        </w:numPr>
        <w:spacing w:after="160" w:line="278" w:lineRule="auto"/>
        <w:rPr>
          <w:b/>
          <w:bCs/>
        </w:rPr>
      </w:pPr>
      <w:proofErr w:type="gramStart"/>
      <w:r>
        <w:t>Low-loss</w:t>
      </w:r>
      <w:proofErr w:type="gramEnd"/>
      <w:r>
        <w:t xml:space="preserve"> but highly vulnerable communities may still score high.</w:t>
      </w:r>
    </w:p>
    <w:p w14:paraId="5BD95F4E" w14:textId="77777777" w:rsidR="000D0B1D" w:rsidRDefault="000D0B1D" w:rsidP="000D0B1D"/>
    <w:p w14:paraId="3D2A1DF6" w14:textId="77777777" w:rsidR="000D0B1D" w:rsidRDefault="000D0B1D" w:rsidP="000D0B1D">
      <w:pPr>
        <w:rPr>
          <w:b/>
          <w:bCs/>
        </w:rPr>
      </w:pPr>
      <w:r>
        <w:rPr>
          <w:b/>
          <w:bCs/>
        </w:rPr>
        <w:t>Ethical Implications of Risk Definitions</w:t>
      </w:r>
    </w:p>
    <w:p w14:paraId="13CC2C0E" w14:textId="77777777" w:rsidR="000D0B1D" w:rsidRDefault="000D0B1D" w:rsidP="000D0B1D">
      <w:pPr>
        <w:rPr>
          <w:b/>
          <w:bCs/>
        </w:rPr>
      </w:pPr>
      <w:r>
        <w:rPr>
          <w:b/>
          <w:bCs/>
        </w:rPr>
        <w:tab/>
        <w:t>Bias Between States:</w:t>
      </w:r>
    </w:p>
    <w:p w14:paraId="1AC2C5B8" w14:textId="77777777" w:rsidR="000D0B1D" w:rsidRDefault="000D0B1D" w:rsidP="000D0B1D">
      <w:pPr>
        <w:ind w:left="720"/>
      </w:pPr>
      <w:r>
        <w:t xml:space="preserve">Using EAL alone introduces systematic bias for a multitude of communities. This can be demonstrated with wealthier states, such New York, with expensive infrastructure because they show higher economic losses, even if hazards are similar. Even rural or low-income states, such as Iowa, may appear at lower risk due to the fact property values are lower. Also, the states that have strong data collection systems may appear “riskier” because they report more accurately than other states that do not, and not because hazards are worse. </w:t>
      </w:r>
    </w:p>
    <w:p w14:paraId="3BD29E17" w14:textId="5DFB506F" w:rsidR="000D0B1D" w:rsidRPr="00F752FB" w:rsidRDefault="000D0B1D" w:rsidP="000D0B1D">
      <w:pPr>
        <w:ind w:left="720"/>
      </w:pPr>
      <w:r>
        <w:t>The ethical concern with this is risk becomes a reflection of property value, not human vulnerability.</w:t>
      </w:r>
    </w:p>
    <w:p w14:paraId="1A07BEB6" w14:textId="77777777" w:rsidR="000D0B1D" w:rsidRDefault="000D0B1D" w:rsidP="000D0B1D">
      <w:pPr>
        <w:rPr>
          <w:b/>
          <w:bCs/>
        </w:rPr>
      </w:pPr>
      <w:r>
        <w:rPr>
          <w:b/>
          <w:bCs/>
        </w:rPr>
        <w:tab/>
        <w:t>Implications for Funding:</w:t>
      </w:r>
    </w:p>
    <w:p w14:paraId="362C043D" w14:textId="77777777" w:rsidR="000D0B1D" w:rsidRDefault="000D0B1D" w:rsidP="000D0B1D">
      <w:pPr>
        <w:ind w:left="720"/>
      </w:pPr>
      <w:r>
        <w:t>Our simplified project risk definition could lead to problems with funding. Counties with high economic assets could be over-prioritized or under-prioritizing vulnerable communities with low property values. This could be seen by funding inequities where wealthy counties receive more attention because they look “riskier”. It could also influence where Risk Averse LLC allocates resources, staff, and future data collection.</w:t>
      </w:r>
    </w:p>
    <w:p w14:paraId="51AB73DF" w14:textId="77777777" w:rsidR="000D0B1D" w:rsidRDefault="000D0B1D" w:rsidP="000D0B1D">
      <w:pPr>
        <w:ind w:left="720"/>
      </w:pPr>
      <w:r>
        <w:lastRenderedPageBreak/>
        <w:t>Meanwhile, the NRI’s composite index directs attention to socially vulnerable communities, encourages funding for resilience, and supports more equitable hazard mitigation planning.</w:t>
      </w:r>
    </w:p>
    <w:p w14:paraId="39891870" w14:textId="77777777" w:rsidR="000D0B1D" w:rsidRDefault="000D0B1D" w:rsidP="000D0B1D">
      <w:pPr>
        <w:ind w:left="720"/>
      </w:pPr>
      <w:r>
        <w:t>The ethical concern with this is a narrow definition of risk can unintentionally reinforce economic inequality in hazard mitigation funding.</w:t>
      </w:r>
    </w:p>
    <w:p w14:paraId="5B7B6624" w14:textId="77777777" w:rsidR="000D0B1D" w:rsidRPr="00626ACC" w:rsidRDefault="000D0B1D" w:rsidP="000D0B1D">
      <w:pPr>
        <w:ind w:left="720"/>
      </w:pPr>
    </w:p>
    <w:p w14:paraId="280A4AAC" w14:textId="77777777" w:rsidR="000D0B1D" w:rsidRDefault="000D0B1D" w:rsidP="000D0B1D">
      <w:pPr>
        <w:rPr>
          <w:b/>
          <w:bCs/>
        </w:rPr>
      </w:pPr>
      <w:r>
        <w:rPr>
          <w:b/>
          <w:bCs/>
        </w:rPr>
        <w:tab/>
        <w:t>Implications for State and Community Decision-Making:</w:t>
      </w:r>
    </w:p>
    <w:p w14:paraId="2DDF68ED" w14:textId="77777777" w:rsidR="000D0B1D" w:rsidRDefault="000D0B1D" w:rsidP="000D0B1D">
      <w:pPr>
        <w:ind w:left="720"/>
      </w:pPr>
      <w:r>
        <w:t xml:space="preserve">State and community decision-making could be negatively impacted with the project risk definition. They may focus on protecting high-value assets rather than protecting their people and low-income or rural communities may be overlooked. Policies could also be affected </w:t>
      </w:r>
      <w:proofErr w:type="gramStart"/>
      <w:r>
        <w:t>to prioritize</w:t>
      </w:r>
      <w:proofErr w:type="gramEnd"/>
      <w:r>
        <w:t xml:space="preserve"> economic efficiency over equity.</w:t>
      </w:r>
    </w:p>
    <w:p w14:paraId="6EC907AA" w14:textId="77777777" w:rsidR="000D0B1D" w:rsidRDefault="000D0B1D" w:rsidP="000D0B1D">
      <w:pPr>
        <w:ind w:left="720"/>
      </w:pPr>
      <w:proofErr w:type="gramStart"/>
      <w:r>
        <w:t>Whereas,</w:t>
      </w:r>
      <w:proofErr w:type="gramEnd"/>
      <w:r>
        <w:t xml:space="preserve"> communities who use the NRI definition are more likely to make more ethical </w:t>
      </w:r>
      <w:proofErr w:type="gramStart"/>
      <w:r>
        <w:t>decision</w:t>
      </w:r>
      <w:proofErr w:type="gramEnd"/>
      <w:r>
        <w:t>. They are more likely to invest in social programs, resilience, and preparedness. Communities that are highly vulnerable may even be identified even if their economic losses are low.</w:t>
      </w:r>
    </w:p>
    <w:p w14:paraId="3137EE1C" w14:textId="77777777" w:rsidR="000D0B1D" w:rsidRDefault="000D0B1D" w:rsidP="000D0B1D">
      <w:pPr>
        <w:ind w:left="720"/>
      </w:pPr>
      <w:r>
        <w:t xml:space="preserve">The ethical concern with this </w:t>
      </w:r>
      <w:proofErr w:type="gramStart"/>
      <w:r>
        <w:t>are</w:t>
      </w:r>
      <w:proofErr w:type="gramEnd"/>
      <w:r>
        <w:t xml:space="preserve"> different definitions of risk lead to different winners and losers in policy, funding, and protection.</w:t>
      </w:r>
    </w:p>
    <w:p w14:paraId="49B66AA2" w14:textId="77777777" w:rsidR="000D0B1D" w:rsidRPr="00F87B49" w:rsidRDefault="000D0B1D" w:rsidP="000D0B1D">
      <w:pPr>
        <w:ind w:left="720"/>
      </w:pPr>
    </w:p>
    <w:p w14:paraId="7625A71C" w14:textId="77777777" w:rsidR="000D0B1D" w:rsidRDefault="000D0B1D" w:rsidP="000D0B1D">
      <w:pPr>
        <w:rPr>
          <w:b/>
          <w:bCs/>
        </w:rPr>
      </w:pPr>
      <w:r>
        <w:rPr>
          <w:b/>
          <w:bCs/>
        </w:rPr>
        <w:tab/>
        <w:t>Overall Ethical Evaluation:</w:t>
      </w:r>
    </w:p>
    <w:p w14:paraId="1D88CA58" w14:textId="77777777" w:rsidR="000D0B1D" w:rsidRDefault="000D0B1D" w:rsidP="000D0B1D">
      <w:pPr>
        <w:ind w:left="720"/>
      </w:pPr>
      <w:r>
        <w:t>Our project risk definition (risk is defined using the Expected Annual Loss (EAL) metric provided in the NRI dataset) is valid, but it is narrower and more economically focused than then NRI’s. This simplicity improves clarity and reproducibility, but it also removes social context, resilience factors, low-risk counties, potentially biases results toward wealthier areas, and could influence funding decisions in ways that disadvantage vulnerable populations.</w:t>
      </w:r>
    </w:p>
    <w:p w14:paraId="757B64DC" w14:textId="714709E5" w:rsidR="000D0B1D" w:rsidRDefault="000D0B1D" w:rsidP="000D0B1D">
      <w:pPr>
        <w:ind w:left="720"/>
        <w:rPr>
          <w:b/>
          <w:bCs/>
        </w:rPr>
      </w:pPr>
      <w:r>
        <w:t>The NRI’s definition is more complex but more ethically aligned with equitable hazard mitigation.</w:t>
      </w:r>
      <w:r>
        <w:br w:type="page"/>
      </w:r>
    </w:p>
    <w:p w14:paraId="19D94A8E" w14:textId="77777777" w:rsidR="000D0B1D" w:rsidRDefault="000D0B1D" w:rsidP="000D0B1D">
      <w:pPr>
        <w:rPr>
          <w:b/>
          <w:bCs/>
        </w:rPr>
      </w:pPr>
      <w:r>
        <w:rPr>
          <w:b/>
          <w:bCs/>
        </w:rPr>
        <w:lastRenderedPageBreak/>
        <w:t>Results for Iowa and Missouri</w:t>
      </w:r>
    </w:p>
    <w:p w14:paraId="400DDC2A" w14:textId="77777777" w:rsidR="000D0B1D" w:rsidRDefault="000D0B1D" w:rsidP="000D0B1D">
      <w:r>
        <w:t>Under our project risk definition, Iowa and Missouri look most “at risk” where damage is costly, while under the NRI definition, they look most “at risk” where people are least able to cope.</w:t>
      </w:r>
    </w:p>
    <w:tbl>
      <w:tblPr>
        <w:tblStyle w:val="TableGrid"/>
        <w:tblW w:w="0" w:type="auto"/>
        <w:tblLook w:val="04A0" w:firstRow="1" w:lastRow="0" w:firstColumn="1" w:lastColumn="0" w:noHBand="0" w:noVBand="1"/>
      </w:tblPr>
      <w:tblGrid>
        <w:gridCol w:w="3116"/>
        <w:gridCol w:w="3117"/>
        <w:gridCol w:w="3117"/>
      </w:tblGrid>
      <w:tr w:rsidR="000D0B1D" w14:paraId="5A100047" w14:textId="77777777" w:rsidTr="00771A6C">
        <w:tc>
          <w:tcPr>
            <w:tcW w:w="3116" w:type="dxa"/>
            <w:vAlign w:val="center"/>
          </w:tcPr>
          <w:p w14:paraId="6EC40209" w14:textId="77777777" w:rsidR="000D0B1D" w:rsidRDefault="000D0B1D" w:rsidP="00771A6C">
            <w:r>
              <w:rPr>
                <w:b/>
                <w:bCs/>
              </w:rPr>
              <w:t>Aspect</w:t>
            </w:r>
          </w:p>
        </w:tc>
        <w:tc>
          <w:tcPr>
            <w:tcW w:w="3117" w:type="dxa"/>
            <w:vAlign w:val="center"/>
          </w:tcPr>
          <w:p w14:paraId="708EF7BF" w14:textId="77777777" w:rsidR="000D0B1D" w:rsidRDefault="000D0B1D" w:rsidP="00771A6C">
            <w:r>
              <w:rPr>
                <w:b/>
                <w:bCs/>
              </w:rPr>
              <w:t>EAL</w:t>
            </w:r>
            <w:r>
              <w:rPr>
                <w:b/>
                <w:bCs/>
              </w:rPr>
              <w:noBreakHyphen/>
              <w:t>only (my definition)</w:t>
            </w:r>
          </w:p>
        </w:tc>
        <w:tc>
          <w:tcPr>
            <w:tcW w:w="3117" w:type="dxa"/>
            <w:vAlign w:val="center"/>
          </w:tcPr>
          <w:p w14:paraId="37C34A8E" w14:textId="77777777" w:rsidR="000D0B1D" w:rsidRDefault="000D0B1D" w:rsidP="00771A6C">
            <w:r>
              <w:rPr>
                <w:b/>
                <w:bCs/>
              </w:rPr>
              <w:t>NRI composite definition</w:t>
            </w:r>
          </w:p>
        </w:tc>
      </w:tr>
      <w:tr w:rsidR="000D0B1D" w14:paraId="5E84A056" w14:textId="77777777" w:rsidTr="00771A6C">
        <w:tc>
          <w:tcPr>
            <w:tcW w:w="3116" w:type="dxa"/>
            <w:vAlign w:val="center"/>
          </w:tcPr>
          <w:p w14:paraId="32E783B4" w14:textId="77777777" w:rsidR="000D0B1D" w:rsidRDefault="000D0B1D" w:rsidP="00771A6C">
            <w:r>
              <w:t>What stands out in Iowa</w:t>
            </w:r>
          </w:p>
        </w:tc>
        <w:tc>
          <w:tcPr>
            <w:tcW w:w="3117" w:type="dxa"/>
            <w:vAlign w:val="center"/>
          </w:tcPr>
          <w:p w14:paraId="76B4570C" w14:textId="77777777" w:rsidR="000D0B1D" w:rsidRDefault="000D0B1D" w:rsidP="00771A6C">
            <w:r>
              <w:t>Counties with higher property values, larger towns, and more infrastructure</w:t>
            </w:r>
          </w:p>
        </w:tc>
        <w:tc>
          <w:tcPr>
            <w:tcW w:w="3117" w:type="dxa"/>
            <w:vAlign w:val="center"/>
          </w:tcPr>
          <w:p w14:paraId="7F7C4C36" w14:textId="77777777" w:rsidR="000D0B1D" w:rsidRDefault="000D0B1D" w:rsidP="00771A6C">
            <w:r>
              <w:t>Counties with higher social vulnerability (e.g., pockets of rural poverty, aging populations, low resilience)</w:t>
            </w:r>
          </w:p>
        </w:tc>
      </w:tr>
      <w:tr w:rsidR="000D0B1D" w14:paraId="0A362F69" w14:textId="77777777" w:rsidTr="00771A6C">
        <w:tc>
          <w:tcPr>
            <w:tcW w:w="3116" w:type="dxa"/>
            <w:vAlign w:val="center"/>
          </w:tcPr>
          <w:p w14:paraId="2107F2AA" w14:textId="77777777" w:rsidR="000D0B1D" w:rsidRDefault="000D0B1D" w:rsidP="00771A6C">
            <w:r>
              <w:t>What stands out in Missouri</w:t>
            </w:r>
          </w:p>
        </w:tc>
        <w:tc>
          <w:tcPr>
            <w:tcW w:w="3117" w:type="dxa"/>
            <w:vAlign w:val="center"/>
          </w:tcPr>
          <w:p w14:paraId="48F51B0E" w14:textId="77777777" w:rsidR="000D0B1D" w:rsidRDefault="000D0B1D" w:rsidP="00771A6C">
            <w:r>
              <w:t>Metro areas (e.g., around Kansas City, St. Louis) and high</w:t>
            </w:r>
            <w:r>
              <w:noBreakHyphen/>
              <w:t>value corridors</w:t>
            </w:r>
          </w:p>
        </w:tc>
        <w:tc>
          <w:tcPr>
            <w:tcW w:w="3117" w:type="dxa"/>
            <w:vAlign w:val="center"/>
          </w:tcPr>
          <w:p w14:paraId="7E1BC3DF" w14:textId="77777777" w:rsidR="000D0B1D" w:rsidRDefault="000D0B1D" w:rsidP="00771A6C">
            <w:r>
              <w:t>Both urban vulnerable neighborhoods and rural, low</w:t>
            </w:r>
            <w:r>
              <w:noBreakHyphen/>
              <w:t>resilience counties in the south and southeast</w:t>
            </w:r>
          </w:p>
        </w:tc>
      </w:tr>
      <w:tr w:rsidR="000D0B1D" w14:paraId="55F154FB" w14:textId="77777777" w:rsidTr="00771A6C">
        <w:tc>
          <w:tcPr>
            <w:tcW w:w="3116" w:type="dxa"/>
            <w:vAlign w:val="center"/>
          </w:tcPr>
          <w:p w14:paraId="5BC58A1D" w14:textId="77777777" w:rsidR="000D0B1D" w:rsidRDefault="000D0B1D" w:rsidP="00771A6C">
            <w:r>
              <w:t>Who looks “low risk”</w:t>
            </w:r>
          </w:p>
        </w:tc>
        <w:tc>
          <w:tcPr>
            <w:tcW w:w="3117" w:type="dxa"/>
            <w:vAlign w:val="center"/>
          </w:tcPr>
          <w:p w14:paraId="44505280" w14:textId="77777777" w:rsidR="000D0B1D" w:rsidRDefault="000D0B1D" w:rsidP="00771A6C">
            <w:r>
              <w:t>Many rural, low</w:t>
            </w:r>
            <w:r>
              <w:noBreakHyphen/>
              <w:t>income counties with low dollar losses</w:t>
            </w:r>
          </w:p>
        </w:tc>
        <w:tc>
          <w:tcPr>
            <w:tcW w:w="3117" w:type="dxa"/>
            <w:vAlign w:val="center"/>
          </w:tcPr>
          <w:p w14:paraId="5879DBC7" w14:textId="77777777" w:rsidR="000D0B1D" w:rsidRDefault="000D0B1D" w:rsidP="00771A6C">
            <w:r>
              <w:t>Wealthier, resilient counties, even if they have high asset values</w:t>
            </w:r>
          </w:p>
        </w:tc>
      </w:tr>
      <w:tr w:rsidR="000D0B1D" w14:paraId="6D1281C2" w14:textId="77777777" w:rsidTr="00771A6C">
        <w:tc>
          <w:tcPr>
            <w:tcW w:w="3116" w:type="dxa"/>
            <w:vAlign w:val="center"/>
          </w:tcPr>
          <w:p w14:paraId="26560C68" w14:textId="77777777" w:rsidR="000D0B1D" w:rsidRDefault="000D0B1D" w:rsidP="00771A6C">
            <w:r>
              <w:t>Overall pattern</w:t>
            </w:r>
          </w:p>
        </w:tc>
        <w:tc>
          <w:tcPr>
            <w:tcW w:w="3117" w:type="dxa"/>
            <w:vAlign w:val="center"/>
          </w:tcPr>
          <w:p w14:paraId="4E26C8D9" w14:textId="77777777" w:rsidR="000D0B1D" w:rsidRDefault="000D0B1D" w:rsidP="00771A6C">
            <w:r>
              <w:t>Risk clusters wher</w:t>
            </w:r>
            <w:r w:rsidRPr="0022433E">
              <w:t>e</w:t>
            </w:r>
            <w:r w:rsidRPr="0022433E">
              <w:rPr>
                <w:b/>
                <w:bCs/>
              </w:rPr>
              <w:t xml:space="preserve"> </w:t>
            </w:r>
            <w:r w:rsidRPr="0022433E">
              <w:rPr>
                <w:rStyle w:val="Strong"/>
              </w:rPr>
              <w:t>assets are expensive</w:t>
            </w:r>
          </w:p>
        </w:tc>
        <w:tc>
          <w:tcPr>
            <w:tcW w:w="3117" w:type="dxa"/>
            <w:vAlign w:val="center"/>
          </w:tcPr>
          <w:p w14:paraId="40F40938" w14:textId="77777777" w:rsidR="000D0B1D" w:rsidRDefault="000D0B1D" w:rsidP="00771A6C">
            <w:r>
              <w:t xml:space="preserve">Risk clusters where </w:t>
            </w:r>
            <w:r w:rsidRPr="0022433E">
              <w:rPr>
                <w:rStyle w:val="Strong"/>
              </w:rPr>
              <w:t>people are vulnerable</w:t>
            </w:r>
            <w:r w:rsidRPr="0022433E">
              <w:rPr>
                <w:b/>
                <w:bCs/>
              </w:rPr>
              <w:t xml:space="preserve"> </w:t>
            </w:r>
            <w:r w:rsidRPr="0022433E">
              <w:t>and</w:t>
            </w:r>
            <w:r w:rsidRPr="0022433E">
              <w:rPr>
                <w:b/>
                <w:bCs/>
              </w:rPr>
              <w:t xml:space="preserve"> </w:t>
            </w:r>
            <w:r w:rsidRPr="0022433E">
              <w:rPr>
                <w:rStyle w:val="Strong"/>
              </w:rPr>
              <w:t>systems are weak</w:t>
            </w:r>
          </w:p>
        </w:tc>
      </w:tr>
    </w:tbl>
    <w:p w14:paraId="7A08D633" w14:textId="77777777" w:rsidR="000D0B1D" w:rsidRDefault="000D0B1D" w:rsidP="000D0B1D"/>
    <w:p w14:paraId="031C6F9D" w14:textId="143E136F" w:rsidR="000D0B1D" w:rsidRDefault="000D0B1D" w:rsidP="000D0B1D">
      <w:r>
        <w:t xml:space="preserve">Overall, our results for Iowa and Missouri showed minor and vast differences in their risk values when we compared them to the NRI definition to our project risk definition. </w:t>
      </w:r>
    </w:p>
    <w:p w14:paraId="74F29ED1" w14:textId="19F53956" w:rsidR="000D0B1D" w:rsidRDefault="000D0B1D" w:rsidP="000D0B1D"/>
    <w:p w14:paraId="1AC3AE64" w14:textId="3A5DFB99" w:rsidR="000D0B1D" w:rsidRDefault="000D0B1D" w:rsidP="000D0B1D">
      <w:r>
        <w:t xml:space="preserve">In </w:t>
      </w:r>
      <w:r>
        <w:t>Figure 1,</w:t>
      </w:r>
      <w:r>
        <w:t xml:space="preserve"> the risk values do show some major differences but overall, </w:t>
      </w:r>
      <w:proofErr w:type="gramStart"/>
      <w:r>
        <w:t>it was</w:t>
      </w:r>
      <w:proofErr w:type="gramEnd"/>
      <w:r>
        <w:t xml:space="preserve"> close. However, in the second figure for risk value of winter weather, we can clearly see our project risk definition impacted the risk value greatly. This shows us that some places can seem at a lower risk than they are and that this can happen for a multitude of reasons. For us, what made the risk value go up for so many places is the frequency these events happen.</w:t>
      </w:r>
    </w:p>
    <w:p w14:paraId="60060379" w14:textId="77777777" w:rsidR="000D0B1D" w:rsidRDefault="000D0B1D" w:rsidP="000D0B1D"/>
    <w:p w14:paraId="61C02E4B" w14:textId="77777777" w:rsidR="000D0B1D" w:rsidRDefault="000D0B1D" w:rsidP="000D0B1D">
      <w:r>
        <w:t>Similar results happened with Figure 3: Tornado Risk by County – NRI vs. Custom Definition for Missouri and Figure 4: Winter Weather by County – NRI vs. Custom Definition for Missouri.</w:t>
      </w:r>
    </w:p>
    <w:p w14:paraId="24BCDE52" w14:textId="77777777" w:rsidR="000D0B1D" w:rsidRDefault="000D0B1D" w:rsidP="000D0B1D"/>
    <w:p w14:paraId="7CA9B8EA" w14:textId="77777777" w:rsidR="000D0B1D" w:rsidRDefault="000D0B1D" w:rsidP="000D0B1D">
      <w:r>
        <w:t xml:space="preserve">For Figures 6-8, it shows us the map of Iowa with the NRI tornado and winter weather definition and then our project risk definition for those two categories. To look deeper into one of these examples, Figure 5 and 7, the NRI definition is failing by deeming almost </w:t>
      </w:r>
      <w:proofErr w:type="gramStart"/>
      <w:r>
        <w:t>all of</w:t>
      </w:r>
      <w:proofErr w:type="gramEnd"/>
      <w:r>
        <w:t xml:space="preserve"> the state a low risk for tornados. However, the actual case when we used our project risk definition is a closer look across the state where tornados have frequently happened. If we had only consulted the NRI definition, there would have been many counties overlooked for funding to send resources or safety. In our project risk definition map, there are only a few counties that show a higher risk for tornadoes but knowing this is still beneficial to be able to help the people that live in these areas.</w:t>
      </w:r>
    </w:p>
    <w:p w14:paraId="1627F401" w14:textId="5306E75F" w:rsidR="000D0B1D" w:rsidRDefault="000D0B1D" w:rsidP="000D0B1D"/>
    <w:p w14:paraId="15C87BBE" w14:textId="4AE6F942" w:rsidR="000D0B1D" w:rsidRDefault="000D0B1D" w:rsidP="000D0B1D"/>
    <w:p w14:paraId="7BDC80BE" w14:textId="00AE3571" w:rsidR="000D0B1D" w:rsidRDefault="000D0B1D" w:rsidP="000D0B1D">
      <w:r>
        <w:lastRenderedPageBreak/>
        <w:t xml:space="preserve">Similar results for figures 9-12 showing a map of Missouri comparing tornadoes and winter weather with the NRI definition and our project definition. After examining our project risk definition maps, there is much more diverse data throughout the state which will be able to tell us which counties </w:t>
      </w:r>
      <w:r>
        <w:t>need</w:t>
      </w:r>
      <w:r>
        <w:t xml:space="preserve"> the most help before or after natural disasters.</w:t>
      </w:r>
    </w:p>
    <w:p w14:paraId="5543E31F" w14:textId="77777777" w:rsidR="000D0B1D" w:rsidRDefault="000D0B1D" w:rsidP="000D0B1D">
      <w:pPr>
        <w:rPr>
          <w:b/>
          <w:bCs/>
        </w:rPr>
      </w:pPr>
      <w:r>
        <w:rPr>
          <w:b/>
          <w:bCs/>
        </w:rPr>
        <w:t>Implications for People Impacted by Natural Disasters</w:t>
      </w:r>
    </w:p>
    <w:p w14:paraId="286CFDE5" w14:textId="77777777" w:rsidR="000D0B1D" w:rsidRDefault="000D0B1D" w:rsidP="000D0B1D">
      <w:pPr>
        <w:rPr>
          <w:b/>
          <w:bCs/>
        </w:rPr>
      </w:pPr>
      <w:r>
        <w:rPr>
          <w:b/>
          <w:bCs/>
        </w:rPr>
        <w:t>Under Project Risk Definition:</w:t>
      </w:r>
    </w:p>
    <w:p w14:paraId="785507AA" w14:textId="655B2A46" w:rsidR="000D0B1D" w:rsidRDefault="000D0B1D" w:rsidP="000D0B1D">
      <w:r>
        <w:t xml:space="preserve">Residents in poorer rural counties or vulnerable neighborhoods may not be recognized as “high risk”, even though they may have fewer resources to evacuate or rebuild. They may also face longer recovery times and experience deeper long-term social and economic harm. The communities that </w:t>
      </w:r>
      <w:r>
        <w:t>receive</w:t>
      </w:r>
      <w:r>
        <w:t xml:space="preserve"> the most attention would be larger cities and higher-value agriculture, Missouri’s metro regions, Iowa’s more developed counties with significant infrastructure.</w:t>
      </w:r>
    </w:p>
    <w:p w14:paraId="7113FDEA" w14:textId="77777777" w:rsidR="000D0B1D" w:rsidRPr="00E43B7E" w:rsidRDefault="000D0B1D" w:rsidP="000D0B1D">
      <w:pPr>
        <w:rPr>
          <w:b/>
          <w:bCs/>
        </w:rPr>
      </w:pPr>
      <w:r>
        <w:rPr>
          <w:b/>
          <w:bCs/>
        </w:rPr>
        <w:t>Under NRI Risk Definition:</w:t>
      </w:r>
    </w:p>
    <w:p w14:paraId="69E80E3E" w14:textId="718C5931" w:rsidR="000D0B1D" w:rsidRDefault="000D0B1D" w:rsidP="000D0B1D">
      <w:r>
        <w:t>In Iowa, counties with higher social vulnerability and lower resilience, including rural areas with limited capacity to respond will receive attention. Likewise, in Missouri, both vulnerable urban neighborhoods and rural counties in the south/southeast with high vulnerability and low resilience will receive attention. Communities with high poverty, limited transportation, older housing, or weak health systems are not going to be recognized as high risk, under the NRI definition, even though they may have fewer resources.</w:t>
      </w:r>
    </w:p>
    <w:p w14:paraId="06775B1C" w14:textId="77777777" w:rsidR="000D0B1D" w:rsidRDefault="000D0B1D" w:rsidP="000D0B1D">
      <w:pPr>
        <w:rPr>
          <w:b/>
          <w:bCs/>
        </w:rPr>
      </w:pPr>
      <w:r>
        <w:rPr>
          <w:b/>
          <w:bCs/>
        </w:rPr>
        <w:t>Connection to FEMA Funding and Future Mitigation</w:t>
      </w:r>
    </w:p>
    <w:p w14:paraId="2BEEFAF1" w14:textId="77777777" w:rsidR="000D0B1D" w:rsidRDefault="000D0B1D" w:rsidP="000D0B1D">
      <w:pPr>
        <w:rPr>
          <w:b/>
          <w:bCs/>
        </w:rPr>
      </w:pPr>
      <w:r>
        <w:rPr>
          <w:b/>
          <w:bCs/>
        </w:rPr>
        <w:t>Under Project Risk Definition:</w:t>
      </w:r>
    </w:p>
    <w:p w14:paraId="0A1DCB1E" w14:textId="77777777" w:rsidR="000D0B1D" w:rsidRPr="00335F63" w:rsidRDefault="000D0B1D" w:rsidP="000D0B1D">
      <w:r>
        <w:t>Funding would tend to flow to higher-value counties in Iowa and Missouri, and to urban and economically dense areas. These consequences lead to vulnerable rural communities and low-income neighborhoods receiving less mitigation funding. While also prioritizing data and services where losses are expensive, and not where people are most at risk. In short, dollars drive decisions, and people with fewer resources are left behind.</w:t>
      </w:r>
    </w:p>
    <w:p w14:paraId="3405F007" w14:textId="77777777" w:rsidR="000D0B1D" w:rsidRPr="00E43B7E" w:rsidRDefault="000D0B1D" w:rsidP="000D0B1D">
      <w:pPr>
        <w:rPr>
          <w:b/>
          <w:bCs/>
        </w:rPr>
      </w:pPr>
      <w:r>
        <w:rPr>
          <w:b/>
          <w:bCs/>
        </w:rPr>
        <w:t>Under NRI Risk Definition:</w:t>
      </w:r>
    </w:p>
    <w:p w14:paraId="62D603DF" w14:textId="77777777" w:rsidR="000D0B1D" w:rsidRDefault="000D0B1D" w:rsidP="000D0B1D">
      <w:r>
        <w:t>Funding would flow to socially vulnerable communities in both Iowa and Missouri, rural counties with limited capacity, as well as vulnerable urban neighborhoods. This will create more equitable distribution of mitigation resources, investments in preparedness, infrastructure, and social support where it is needed the most. Here, human need and vulnerability drive decisions, not just property value.</w:t>
      </w:r>
    </w:p>
    <w:p w14:paraId="2C56F214" w14:textId="1183C7D0" w:rsidR="00656192" w:rsidRDefault="00656192" w:rsidP="00656192">
      <w:pPr>
        <w:pStyle w:val="Heading1"/>
      </w:pPr>
      <w:bookmarkStart w:id="3" w:name="_Toc227678760"/>
      <w:r>
        <w:t>Conclusion</w:t>
      </w:r>
      <w:bookmarkEnd w:id="3"/>
    </w:p>
    <w:p w14:paraId="17C7C21D" w14:textId="625DF49C" w:rsidR="000A7DDA" w:rsidRDefault="00B04D86">
      <w:r>
        <w:t>This assessment compared FEMA’s National Risk Index definition</w:t>
      </w:r>
      <w:r w:rsidR="00297F02">
        <w:t xml:space="preserve"> of a natural hazard risk against a </w:t>
      </w:r>
      <w:r w:rsidR="00660D0C">
        <w:t>definition using Expected Annual Loss applied to census tracts for Iowa and Missouri. The results demonstrate that the groups chosen risk defini</w:t>
      </w:r>
      <w:r w:rsidR="007744A9">
        <w:t>tion have consequences for which communities have been identified as higher risk</w:t>
      </w:r>
      <w:r w:rsidR="00495D60">
        <w:t xml:space="preserve">. The EAL approach highlights areas that are wealthier </w:t>
      </w:r>
      <w:r w:rsidR="00D765A7">
        <w:t xml:space="preserve">and </w:t>
      </w:r>
      <w:r w:rsidR="0086687B">
        <w:t>denser</w:t>
      </w:r>
      <w:r w:rsidR="00D765A7">
        <w:t xml:space="preserve"> while</w:t>
      </w:r>
      <w:r w:rsidR="00BF3C1B">
        <w:t xml:space="preserve"> </w:t>
      </w:r>
      <w:r w:rsidR="0086687B">
        <w:t>the</w:t>
      </w:r>
      <w:r w:rsidR="00D765A7">
        <w:t xml:space="preserve"> more rural, </w:t>
      </w:r>
      <w:r w:rsidR="00167799">
        <w:t>low-income</w:t>
      </w:r>
      <w:r w:rsidR="00D765A7">
        <w:t xml:space="preserve"> </w:t>
      </w:r>
      <w:r w:rsidR="009824A2">
        <w:t>communities</w:t>
      </w:r>
      <w:r w:rsidR="00BF3C1B">
        <w:t xml:space="preserve"> face greater difficulty in </w:t>
      </w:r>
      <w:r w:rsidR="0086687B">
        <w:t xml:space="preserve">disaster recovery. The NRI approach </w:t>
      </w:r>
      <w:r w:rsidR="001A4865">
        <w:t>incorporates</w:t>
      </w:r>
      <w:r w:rsidR="00B6163A">
        <w:t xml:space="preserve"> vulnerability</w:t>
      </w:r>
      <w:r w:rsidR="00321C5A">
        <w:t xml:space="preserve"> and resilience alongside the economic loss</w:t>
      </w:r>
      <w:r w:rsidR="00690115">
        <w:t xml:space="preserve">, which provides a more equitable </w:t>
      </w:r>
      <w:r w:rsidR="002C6F61">
        <w:t xml:space="preserve">definition of risk for both states. </w:t>
      </w:r>
      <w:r w:rsidR="002D10CA">
        <w:t>Our definition</w:t>
      </w:r>
      <w:r w:rsidR="006C1D9C">
        <w:t xml:space="preserve"> of risk applied the</w:t>
      </w:r>
      <w:r w:rsidR="00224945">
        <w:t xml:space="preserve"> frequency of each event by the </w:t>
      </w:r>
      <w:r w:rsidR="0065358D">
        <w:t xml:space="preserve">exposure to create </w:t>
      </w:r>
      <w:r w:rsidR="00167799">
        <w:t>a well-defined version of risk.</w:t>
      </w:r>
      <w:r w:rsidR="000A7DDA">
        <w:br w:type="page"/>
      </w:r>
    </w:p>
    <w:p w14:paraId="5BB9AAFE" w14:textId="4453ACED" w:rsidR="000A7DDA" w:rsidRDefault="000A7DDA" w:rsidP="000A7DDA">
      <w:pPr>
        <w:pStyle w:val="Heading1"/>
      </w:pPr>
      <w:bookmarkStart w:id="4" w:name="_Toc227678761"/>
      <w:r>
        <w:lastRenderedPageBreak/>
        <w:t>Appendix A: Figures</w:t>
      </w:r>
      <w:bookmarkEnd w:id="4"/>
    </w:p>
    <w:p w14:paraId="501ECAAE" w14:textId="4A1D1A8E" w:rsidR="00290451" w:rsidRDefault="00290451" w:rsidP="00BE0981">
      <w:r w:rsidRPr="00290451">
        <w:drawing>
          <wp:inline distT="0" distB="0" distL="0" distR="0" wp14:anchorId="59909479" wp14:editId="4B26259B">
            <wp:extent cx="5943600" cy="2135505"/>
            <wp:effectExtent l="0" t="0" r="0" b="0"/>
            <wp:docPr id="206259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92593" name=""/>
                    <pic:cNvPicPr/>
                  </pic:nvPicPr>
                  <pic:blipFill>
                    <a:blip r:embed="rId11"/>
                    <a:stretch>
                      <a:fillRect/>
                    </a:stretch>
                  </pic:blipFill>
                  <pic:spPr>
                    <a:xfrm>
                      <a:off x="0" y="0"/>
                      <a:ext cx="5943600" cy="2135505"/>
                    </a:xfrm>
                    <a:prstGeom prst="rect">
                      <a:avLst/>
                    </a:prstGeom>
                  </pic:spPr>
                </pic:pic>
              </a:graphicData>
            </a:graphic>
          </wp:inline>
        </w:drawing>
      </w:r>
    </w:p>
    <w:p w14:paraId="49C66BC3" w14:textId="21D68409" w:rsidR="00AB5553" w:rsidRDefault="000E0619" w:rsidP="000E0619">
      <w:pPr>
        <w:pStyle w:val="Caption"/>
      </w:pPr>
      <w:r>
        <w:t xml:space="preserve">Figure </w:t>
      </w:r>
      <w:fldSimple w:instr=" SEQ Figure \* ARABIC ">
        <w:r w:rsidR="00B04D86">
          <w:rPr>
            <w:noProof/>
          </w:rPr>
          <w:t>1</w:t>
        </w:r>
      </w:fldSimple>
      <w:r>
        <w:t xml:space="preserve">. Tornado Risk by County </w:t>
      </w:r>
      <w:r>
        <w:t>NRI vs. Custom for Iowa</w:t>
      </w:r>
    </w:p>
    <w:p w14:paraId="05BA549D" w14:textId="3DEF45E4" w:rsidR="00AB5553" w:rsidRDefault="00AB5553" w:rsidP="00BE0981">
      <w:r w:rsidRPr="00AB5553">
        <w:drawing>
          <wp:inline distT="0" distB="0" distL="0" distR="0" wp14:anchorId="2C94BBBA" wp14:editId="5ACAA0FD">
            <wp:extent cx="5943600" cy="2133600"/>
            <wp:effectExtent l="0" t="0" r="0" b="0"/>
            <wp:docPr id="77843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36333" name=""/>
                    <pic:cNvPicPr/>
                  </pic:nvPicPr>
                  <pic:blipFill>
                    <a:blip r:embed="rId12"/>
                    <a:stretch>
                      <a:fillRect/>
                    </a:stretch>
                  </pic:blipFill>
                  <pic:spPr>
                    <a:xfrm>
                      <a:off x="0" y="0"/>
                      <a:ext cx="5943600" cy="2133600"/>
                    </a:xfrm>
                    <a:prstGeom prst="rect">
                      <a:avLst/>
                    </a:prstGeom>
                  </pic:spPr>
                </pic:pic>
              </a:graphicData>
            </a:graphic>
          </wp:inline>
        </w:drawing>
      </w:r>
    </w:p>
    <w:p w14:paraId="1568DFEB" w14:textId="575FF784" w:rsidR="00AB5553" w:rsidRDefault="000E0619" w:rsidP="000E0619">
      <w:pPr>
        <w:pStyle w:val="Caption"/>
      </w:pPr>
      <w:r>
        <w:t xml:space="preserve">Figure </w:t>
      </w:r>
      <w:fldSimple w:instr=" SEQ Figure \* ARABIC ">
        <w:r w:rsidR="00B04D86">
          <w:rPr>
            <w:noProof/>
          </w:rPr>
          <w:t>2</w:t>
        </w:r>
      </w:fldSimple>
      <w:r>
        <w:t xml:space="preserve">. Winter Weather Risk by County </w:t>
      </w:r>
      <w:r>
        <w:t xml:space="preserve">NRI vs. Custom for </w:t>
      </w:r>
      <w:r>
        <w:t>Iowa</w:t>
      </w:r>
    </w:p>
    <w:p w14:paraId="34E9B3E7" w14:textId="56CCABBC" w:rsidR="00AB5553" w:rsidRDefault="00BC337C" w:rsidP="00BE0981">
      <w:r w:rsidRPr="00BC337C">
        <w:drawing>
          <wp:inline distT="0" distB="0" distL="0" distR="0" wp14:anchorId="04E537CC" wp14:editId="39062993">
            <wp:extent cx="5943600" cy="2606675"/>
            <wp:effectExtent l="0" t="0" r="0" b="3175"/>
            <wp:docPr id="1627026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26201" name=""/>
                    <pic:cNvPicPr/>
                  </pic:nvPicPr>
                  <pic:blipFill>
                    <a:blip r:embed="rId13"/>
                    <a:stretch>
                      <a:fillRect/>
                    </a:stretch>
                  </pic:blipFill>
                  <pic:spPr>
                    <a:xfrm>
                      <a:off x="0" y="0"/>
                      <a:ext cx="5943600" cy="2606675"/>
                    </a:xfrm>
                    <a:prstGeom prst="rect">
                      <a:avLst/>
                    </a:prstGeom>
                  </pic:spPr>
                </pic:pic>
              </a:graphicData>
            </a:graphic>
          </wp:inline>
        </w:drawing>
      </w:r>
    </w:p>
    <w:p w14:paraId="0E068168" w14:textId="0EC28333" w:rsidR="00BC337C" w:rsidRDefault="000E0619" w:rsidP="000E0619">
      <w:pPr>
        <w:pStyle w:val="Caption"/>
      </w:pPr>
      <w:r>
        <w:t xml:space="preserve">Figure </w:t>
      </w:r>
      <w:fldSimple w:instr=" SEQ Figure \* ARABIC ">
        <w:r w:rsidR="00B04D86">
          <w:rPr>
            <w:noProof/>
          </w:rPr>
          <w:t>3</w:t>
        </w:r>
      </w:fldSimple>
      <w:r>
        <w:t xml:space="preserve">. Tornado Risk by County NRI vs. Custom </w:t>
      </w:r>
      <w:proofErr w:type="gramStart"/>
      <w:r>
        <w:t>for</w:t>
      </w:r>
      <w:proofErr w:type="gramEnd"/>
      <w:r>
        <w:t xml:space="preserve"> Missouri</w:t>
      </w:r>
    </w:p>
    <w:p w14:paraId="34B9D89A" w14:textId="53C9CDE3" w:rsidR="00BC337C" w:rsidRDefault="00BC337C" w:rsidP="00BE0981">
      <w:r w:rsidRPr="00BC337C">
        <w:lastRenderedPageBreak/>
        <w:drawing>
          <wp:inline distT="0" distB="0" distL="0" distR="0" wp14:anchorId="7FEC4EE9" wp14:editId="5A256B19">
            <wp:extent cx="5943600" cy="2592705"/>
            <wp:effectExtent l="0" t="0" r="0" b="0"/>
            <wp:docPr id="179883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32387" name=""/>
                    <pic:cNvPicPr/>
                  </pic:nvPicPr>
                  <pic:blipFill>
                    <a:blip r:embed="rId14"/>
                    <a:stretch>
                      <a:fillRect/>
                    </a:stretch>
                  </pic:blipFill>
                  <pic:spPr>
                    <a:xfrm>
                      <a:off x="0" y="0"/>
                      <a:ext cx="5943600" cy="2592705"/>
                    </a:xfrm>
                    <a:prstGeom prst="rect">
                      <a:avLst/>
                    </a:prstGeom>
                  </pic:spPr>
                </pic:pic>
              </a:graphicData>
            </a:graphic>
          </wp:inline>
        </w:drawing>
      </w:r>
    </w:p>
    <w:p w14:paraId="3AB41438" w14:textId="165ACF11" w:rsidR="000F5EF7" w:rsidRDefault="000E0619" w:rsidP="000E0619">
      <w:pPr>
        <w:pStyle w:val="Caption"/>
      </w:pPr>
      <w:r>
        <w:t xml:space="preserve">Figure </w:t>
      </w:r>
      <w:fldSimple w:instr=" SEQ Figure \* ARABIC ">
        <w:r w:rsidR="00B04D86">
          <w:rPr>
            <w:noProof/>
          </w:rPr>
          <w:t>4</w:t>
        </w:r>
      </w:fldSimple>
      <w:r>
        <w:t xml:space="preserve">. Winter Weather Risk by County NRI vs. Custom </w:t>
      </w:r>
      <w:proofErr w:type="gramStart"/>
      <w:r>
        <w:t>for</w:t>
      </w:r>
      <w:proofErr w:type="gramEnd"/>
      <w:r>
        <w:t xml:space="preserve"> Missouri</w:t>
      </w:r>
    </w:p>
    <w:p w14:paraId="0CFF2F94" w14:textId="41088BEF" w:rsidR="000F5EF7" w:rsidRDefault="000F5EF7" w:rsidP="00BE0981">
      <w:r w:rsidRPr="000F5EF7">
        <w:drawing>
          <wp:inline distT="0" distB="0" distL="0" distR="0" wp14:anchorId="7FED3439" wp14:editId="55AF8966">
            <wp:extent cx="5943600" cy="3766185"/>
            <wp:effectExtent l="0" t="0" r="0" b="5715"/>
            <wp:docPr id="51513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35997" name=""/>
                    <pic:cNvPicPr/>
                  </pic:nvPicPr>
                  <pic:blipFill>
                    <a:blip r:embed="rId15"/>
                    <a:stretch>
                      <a:fillRect/>
                    </a:stretch>
                  </pic:blipFill>
                  <pic:spPr>
                    <a:xfrm>
                      <a:off x="0" y="0"/>
                      <a:ext cx="5943600" cy="3766185"/>
                    </a:xfrm>
                    <a:prstGeom prst="rect">
                      <a:avLst/>
                    </a:prstGeom>
                  </pic:spPr>
                </pic:pic>
              </a:graphicData>
            </a:graphic>
          </wp:inline>
        </w:drawing>
      </w:r>
    </w:p>
    <w:p w14:paraId="37488F6A" w14:textId="5EEC2B2F" w:rsidR="000F5EF7" w:rsidRDefault="002F4091" w:rsidP="002F4091">
      <w:pPr>
        <w:pStyle w:val="Caption"/>
      </w:pPr>
      <w:r>
        <w:t xml:space="preserve">Figure </w:t>
      </w:r>
      <w:fldSimple w:instr=" SEQ Figure \* ARABIC ">
        <w:r w:rsidR="00B04D86">
          <w:rPr>
            <w:noProof/>
          </w:rPr>
          <w:t>5</w:t>
        </w:r>
      </w:fldSimple>
      <w:r>
        <w:t>. NRI Tornado Risk Score for Iowa</w:t>
      </w:r>
    </w:p>
    <w:p w14:paraId="6495E8A3" w14:textId="3CFE607E" w:rsidR="000F5EF7" w:rsidRDefault="000F5EF7" w:rsidP="00BE0981">
      <w:r w:rsidRPr="000F5EF7">
        <w:lastRenderedPageBreak/>
        <w:drawing>
          <wp:inline distT="0" distB="0" distL="0" distR="0" wp14:anchorId="05C88896" wp14:editId="44E15902">
            <wp:extent cx="5943600" cy="3731895"/>
            <wp:effectExtent l="0" t="0" r="0" b="1905"/>
            <wp:docPr id="179680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07267" name=""/>
                    <pic:cNvPicPr/>
                  </pic:nvPicPr>
                  <pic:blipFill>
                    <a:blip r:embed="rId16"/>
                    <a:stretch>
                      <a:fillRect/>
                    </a:stretch>
                  </pic:blipFill>
                  <pic:spPr>
                    <a:xfrm>
                      <a:off x="0" y="0"/>
                      <a:ext cx="5943600" cy="3731895"/>
                    </a:xfrm>
                    <a:prstGeom prst="rect">
                      <a:avLst/>
                    </a:prstGeom>
                  </pic:spPr>
                </pic:pic>
              </a:graphicData>
            </a:graphic>
          </wp:inline>
        </w:drawing>
      </w:r>
    </w:p>
    <w:p w14:paraId="70F40A41" w14:textId="48623442" w:rsidR="0094137A" w:rsidRDefault="005148ED" w:rsidP="005148ED">
      <w:pPr>
        <w:pStyle w:val="Caption"/>
      </w:pPr>
      <w:r>
        <w:t xml:space="preserve">Figure </w:t>
      </w:r>
      <w:fldSimple w:instr=" SEQ Figure \* ARABIC ">
        <w:r w:rsidR="00B04D86">
          <w:rPr>
            <w:noProof/>
          </w:rPr>
          <w:t>6</w:t>
        </w:r>
      </w:fldSimple>
      <w:r>
        <w:t>. NRI Winter Weather Risk Score for Iowa</w:t>
      </w:r>
    </w:p>
    <w:p w14:paraId="22E52D66" w14:textId="2FF592CE" w:rsidR="0094137A" w:rsidRDefault="0094137A" w:rsidP="00BE0981">
      <w:r w:rsidRPr="0094137A">
        <w:drawing>
          <wp:inline distT="0" distB="0" distL="0" distR="0" wp14:anchorId="7B0DB2B6" wp14:editId="68DCE04B">
            <wp:extent cx="5943600" cy="3740150"/>
            <wp:effectExtent l="0" t="0" r="0" b="0"/>
            <wp:docPr id="80836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63878" name=""/>
                    <pic:cNvPicPr/>
                  </pic:nvPicPr>
                  <pic:blipFill>
                    <a:blip r:embed="rId17"/>
                    <a:stretch>
                      <a:fillRect/>
                    </a:stretch>
                  </pic:blipFill>
                  <pic:spPr>
                    <a:xfrm>
                      <a:off x="0" y="0"/>
                      <a:ext cx="5943600" cy="3740150"/>
                    </a:xfrm>
                    <a:prstGeom prst="rect">
                      <a:avLst/>
                    </a:prstGeom>
                  </pic:spPr>
                </pic:pic>
              </a:graphicData>
            </a:graphic>
          </wp:inline>
        </w:drawing>
      </w:r>
    </w:p>
    <w:p w14:paraId="1105AAA1" w14:textId="0D69356C" w:rsidR="0094137A" w:rsidRDefault="005148ED" w:rsidP="005148ED">
      <w:pPr>
        <w:pStyle w:val="Caption"/>
      </w:pPr>
      <w:r>
        <w:t xml:space="preserve">Figure </w:t>
      </w:r>
      <w:fldSimple w:instr=" SEQ Figure \* ARABIC ">
        <w:r w:rsidR="00B04D86">
          <w:rPr>
            <w:noProof/>
          </w:rPr>
          <w:t>7</w:t>
        </w:r>
      </w:fldSimple>
      <w:r>
        <w:t>. Custom Tornado Risk Score for Iowa</w:t>
      </w:r>
    </w:p>
    <w:p w14:paraId="4F6906F5" w14:textId="3E9BF96E" w:rsidR="0094137A" w:rsidRDefault="0094137A" w:rsidP="00BE0981">
      <w:r w:rsidRPr="0094137A">
        <w:lastRenderedPageBreak/>
        <w:drawing>
          <wp:inline distT="0" distB="0" distL="0" distR="0" wp14:anchorId="00BCC183" wp14:editId="6BF521AA">
            <wp:extent cx="5943600" cy="3679190"/>
            <wp:effectExtent l="0" t="0" r="0" b="0"/>
            <wp:docPr id="116920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04629" name=""/>
                    <pic:cNvPicPr/>
                  </pic:nvPicPr>
                  <pic:blipFill>
                    <a:blip r:embed="rId18"/>
                    <a:stretch>
                      <a:fillRect/>
                    </a:stretch>
                  </pic:blipFill>
                  <pic:spPr>
                    <a:xfrm>
                      <a:off x="0" y="0"/>
                      <a:ext cx="5943600" cy="3679190"/>
                    </a:xfrm>
                    <a:prstGeom prst="rect">
                      <a:avLst/>
                    </a:prstGeom>
                  </pic:spPr>
                </pic:pic>
              </a:graphicData>
            </a:graphic>
          </wp:inline>
        </w:drawing>
      </w:r>
    </w:p>
    <w:p w14:paraId="2E0399B1" w14:textId="6CA30859" w:rsidR="007079C6" w:rsidRDefault="005148ED" w:rsidP="005148ED">
      <w:pPr>
        <w:pStyle w:val="Caption"/>
      </w:pPr>
      <w:r>
        <w:t xml:space="preserve">Figure </w:t>
      </w:r>
      <w:fldSimple w:instr=" SEQ Figure \* ARABIC ">
        <w:r w:rsidR="00B04D86">
          <w:rPr>
            <w:noProof/>
          </w:rPr>
          <w:t>8</w:t>
        </w:r>
      </w:fldSimple>
      <w:r>
        <w:t xml:space="preserve">. Custom Winter Weather </w:t>
      </w:r>
      <w:r w:rsidRPr="007370CD">
        <w:t>Risk Score for Io</w:t>
      </w:r>
      <w:r>
        <w:t>wa</w:t>
      </w:r>
    </w:p>
    <w:p w14:paraId="40D292F7" w14:textId="6F27DFE7" w:rsidR="007079C6" w:rsidRDefault="007079C6" w:rsidP="005148ED">
      <w:pPr>
        <w:jc w:val="center"/>
      </w:pPr>
      <w:r w:rsidRPr="007079C6">
        <w:drawing>
          <wp:inline distT="0" distB="0" distL="0" distR="0" wp14:anchorId="67C58E29" wp14:editId="7F5BA8CC">
            <wp:extent cx="4534607" cy="3790950"/>
            <wp:effectExtent l="0" t="0" r="0" b="0"/>
            <wp:docPr id="120743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33637" name=""/>
                    <pic:cNvPicPr/>
                  </pic:nvPicPr>
                  <pic:blipFill>
                    <a:blip r:embed="rId19"/>
                    <a:stretch>
                      <a:fillRect/>
                    </a:stretch>
                  </pic:blipFill>
                  <pic:spPr>
                    <a:xfrm>
                      <a:off x="0" y="0"/>
                      <a:ext cx="4552166" cy="3805630"/>
                    </a:xfrm>
                    <a:prstGeom prst="rect">
                      <a:avLst/>
                    </a:prstGeom>
                  </pic:spPr>
                </pic:pic>
              </a:graphicData>
            </a:graphic>
          </wp:inline>
        </w:drawing>
      </w:r>
    </w:p>
    <w:p w14:paraId="280D70A9" w14:textId="30890371" w:rsidR="007079C6" w:rsidRDefault="005148ED" w:rsidP="005148ED">
      <w:pPr>
        <w:pStyle w:val="Caption"/>
      </w:pPr>
      <w:r>
        <w:t xml:space="preserve">Figure </w:t>
      </w:r>
      <w:fldSimple w:instr=" SEQ Figure \* ARABIC ">
        <w:r w:rsidR="00B04D86">
          <w:rPr>
            <w:noProof/>
          </w:rPr>
          <w:t>9</w:t>
        </w:r>
      </w:fldSimple>
      <w:r>
        <w:t>. NRI Tornado Risk Score for Missouri</w:t>
      </w:r>
    </w:p>
    <w:p w14:paraId="0DF0DA3A" w14:textId="51D7FDFF" w:rsidR="007079C6" w:rsidRDefault="007079C6" w:rsidP="005148ED">
      <w:pPr>
        <w:jc w:val="center"/>
      </w:pPr>
      <w:r w:rsidRPr="007079C6">
        <w:lastRenderedPageBreak/>
        <w:drawing>
          <wp:inline distT="0" distB="0" distL="0" distR="0" wp14:anchorId="66380623" wp14:editId="757BA2ED">
            <wp:extent cx="4474953" cy="3829050"/>
            <wp:effectExtent l="0" t="0" r="1905" b="0"/>
            <wp:docPr id="205614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48574" name=""/>
                    <pic:cNvPicPr/>
                  </pic:nvPicPr>
                  <pic:blipFill>
                    <a:blip r:embed="rId20"/>
                    <a:stretch>
                      <a:fillRect/>
                    </a:stretch>
                  </pic:blipFill>
                  <pic:spPr>
                    <a:xfrm>
                      <a:off x="0" y="0"/>
                      <a:ext cx="4480477" cy="3833777"/>
                    </a:xfrm>
                    <a:prstGeom prst="rect">
                      <a:avLst/>
                    </a:prstGeom>
                  </pic:spPr>
                </pic:pic>
              </a:graphicData>
            </a:graphic>
          </wp:inline>
        </w:drawing>
      </w:r>
    </w:p>
    <w:p w14:paraId="4B201285" w14:textId="2C63D5C4" w:rsidR="000E0619" w:rsidRDefault="005148ED" w:rsidP="005148ED">
      <w:pPr>
        <w:pStyle w:val="Caption"/>
      </w:pPr>
      <w:r>
        <w:t xml:space="preserve">Figure </w:t>
      </w:r>
      <w:fldSimple w:instr=" SEQ Figure \* ARABIC ">
        <w:r w:rsidR="00B04D86">
          <w:rPr>
            <w:noProof/>
          </w:rPr>
          <w:t>10</w:t>
        </w:r>
      </w:fldSimple>
      <w:r>
        <w:t>. NRI Tornado Risk Score for Missouri</w:t>
      </w:r>
    </w:p>
    <w:p w14:paraId="6C2EEE2C" w14:textId="667428FA" w:rsidR="000E0619" w:rsidRDefault="000E0619" w:rsidP="005148ED">
      <w:pPr>
        <w:jc w:val="center"/>
      </w:pPr>
      <w:r w:rsidRPr="000E0619">
        <w:drawing>
          <wp:inline distT="0" distB="0" distL="0" distR="0" wp14:anchorId="1154EAF2" wp14:editId="03628998">
            <wp:extent cx="4501369" cy="3829050"/>
            <wp:effectExtent l="0" t="0" r="0" b="0"/>
            <wp:docPr id="64088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89652" name=""/>
                    <pic:cNvPicPr/>
                  </pic:nvPicPr>
                  <pic:blipFill>
                    <a:blip r:embed="rId21"/>
                    <a:stretch>
                      <a:fillRect/>
                    </a:stretch>
                  </pic:blipFill>
                  <pic:spPr>
                    <a:xfrm>
                      <a:off x="0" y="0"/>
                      <a:ext cx="4525240" cy="3849355"/>
                    </a:xfrm>
                    <a:prstGeom prst="rect">
                      <a:avLst/>
                    </a:prstGeom>
                  </pic:spPr>
                </pic:pic>
              </a:graphicData>
            </a:graphic>
          </wp:inline>
        </w:drawing>
      </w:r>
    </w:p>
    <w:p w14:paraId="59B9F9A0" w14:textId="1CA4FA30" w:rsidR="000E0619" w:rsidRDefault="005148ED" w:rsidP="005148ED">
      <w:pPr>
        <w:pStyle w:val="Caption"/>
      </w:pPr>
      <w:r>
        <w:t xml:space="preserve">Figure </w:t>
      </w:r>
      <w:fldSimple w:instr=" SEQ Figure \* ARABIC ">
        <w:r w:rsidR="00B04D86">
          <w:rPr>
            <w:noProof/>
          </w:rPr>
          <w:t>11</w:t>
        </w:r>
      </w:fldSimple>
      <w:r>
        <w:t>. Custom Tornado Risk Score for Missouri</w:t>
      </w:r>
    </w:p>
    <w:p w14:paraId="77A0E7AC" w14:textId="2A88D375" w:rsidR="000E0619" w:rsidRDefault="000E0619" w:rsidP="005148ED">
      <w:pPr>
        <w:jc w:val="center"/>
      </w:pPr>
      <w:r w:rsidRPr="000E0619">
        <w:lastRenderedPageBreak/>
        <w:drawing>
          <wp:inline distT="0" distB="0" distL="0" distR="0" wp14:anchorId="5E250B70" wp14:editId="0B690CED">
            <wp:extent cx="4639566" cy="3924300"/>
            <wp:effectExtent l="0" t="0" r="8890" b="0"/>
            <wp:docPr id="68192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22009" name=""/>
                    <pic:cNvPicPr/>
                  </pic:nvPicPr>
                  <pic:blipFill>
                    <a:blip r:embed="rId22"/>
                    <a:stretch>
                      <a:fillRect/>
                    </a:stretch>
                  </pic:blipFill>
                  <pic:spPr>
                    <a:xfrm>
                      <a:off x="0" y="0"/>
                      <a:ext cx="4656191" cy="3938362"/>
                    </a:xfrm>
                    <a:prstGeom prst="rect">
                      <a:avLst/>
                    </a:prstGeom>
                  </pic:spPr>
                </pic:pic>
              </a:graphicData>
            </a:graphic>
          </wp:inline>
        </w:drawing>
      </w:r>
    </w:p>
    <w:p w14:paraId="6609BD28" w14:textId="3A2B4F61" w:rsidR="003B5A0F" w:rsidRPr="003B5A0F" w:rsidRDefault="005148ED" w:rsidP="005148ED">
      <w:pPr>
        <w:pStyle w:val="Caption"/>
      </w:pPr>
      <w:r>
        <w:t xml:space="preserve">Figure </w:t>
      </w:r>
      <w:fldSimple w:instr=" SEQ Figure \* ARABIC ">
        <w:r w:rsidR="00B04D86">
          <w:rPr>
            <w:noProof/>
          </w:rPr>
          <w:t>12</w:t>
        </w:r>
      </w:fldSimple>
      <w:r>
        <w:t>. Custom Winter Weather Risk Score for Missouri</w:t>
      </w:r>
    </w:p>
    <w:p w14:paraId="69754BF3" w14:textId="428D3BB3" w:rsidR="005B3DD0" w:rsidRDefault="000A7DDA" w:rsidP="32F51796">
      <w:pPr>
        <w:pStyle w:val="Heading1"/>
        <w:spacing w:before="0" w:after="120"/>
      </w:pPr>
      <w:bookmarkStart w:id="5" w:name="_Toc227678762"/>
      <w:r>
        <w:t xml:space="preserve">Appendix B: </w:t>
      </w:r>
      <w:r w:rsidR="23EF5197">
        <w:t>Reference</w:t>
      </w:r>
      <w:r w:rsidR="6580EFA3">
        <w:t xml:space="preserve"> List</w:t>
      </w:r>
      <w:bookmarkEnd w:id="5"/>
    </w:p>
    <w:p w14:paraId="03FD46BA" w14:textId="77777777" w:rsidR="008E1289" w:rsidRPr="008433D2" w:rsidRDefault="008E1289" w:rsidP="008E1289">
      <w:pPr>
        <w:ind w:left="720" w:hanging="720"/>
        <w:rPr>
          <w:bCs/>
        </w:rPr>
      </w:pPr>
      <w:r>
        <w:t xml:space="preserve">National Centers for Environmental Information. (2025). </w:t>
      </w:r>
      <w:r>
        <w:rPr>
          <w:bCs/>
          <w:i/>
          <w:iCs/>
        </w:rPr>
        <w:t xml:space="preserve">Billion-dollar weather and climate disasters. </w:t>
      </w:r>
      <w:r>
        <w:rPr>
          <w:bCs/>
        </w:rPr>
        <w:t xml:space="preserve">National Oceanic and Atmospheric Administration. </w:t>
      </w:r>
      <w:hyperlink r:id="rId23" w:history="1">
        <w:r w:rsidRPr="00D16463">
          <w:rPr>
            <w:rStyle w:val="Hyperlink"/>
          </w:rPr>
          <w:t>https://www.ncei.noaa.gov/access/billions/</w:t>
        </w:r>
      </w:hyperlink>
    </w:p>
    <w:p w14:paraId="268F00AC" w14:textId="77777777" w:rsidR="008E1289" w:rsidRPr="00DA2B07" w:rsidRDefault="008E1289" w:rsidP="008E1289">
      <w:pPr>
        <w:ind w:left="720" w:hanging="720"/>
      </w:pPr>
      <w:r>
        <w:t xml:space="preserve">U.S. Census Bureau. (2025). </w:t>
      </w:r>
      <w:r>
        <w:rPr>
          <w:i/>
          <w:iCs/>
        </w:rPr>
        <w:t xml:space="preserve">American Community Survey (ACS). </w:t>
      </w:r>
      <w:r>
        <w:t xml:space="preserve">United States Census Bureau. </w:t>
      </w:r>
      <w:hyperlink r:id="rId24" w:history="1">
        <w:r w:rsidRPr="00D16463">
          <w:rPr>
            <w:rStyle w:val="Hyperlink"/>
          </w:rPr>
          <w:t>https://www.census.gov/programs-surveys/acs</w:t>
        </w:r>
      </w:hyperlink>
      <w:r>
        <w:t xml:space="preserve"> </w:t>
      </w:r>
    </w:p>
    <w:p w14:paraId="4C3039FD" w14:textId="77777777" w:rsidR="008F6080" w:rsidRPr="00465203" w:rsidRDefault="008F6080" w:rsidP="009E640A">
      <w:pPr>
        <w:spacing w:before="240" w:after="240"/>
        <w:ind w:left="720" w:hanging="720"/>
      </w:pPr>
    </w:p>
    <w:sectPr w:rsidR="008F6080" w:rsidRPr="00465203" w:rsidSect="0083619D">
      <w:headerReference w:type="default" r:id="rId25"/>
      <w:footerReference w:type="even" r:id="rId26"/>
      <w:footerReference w:type="default" r:id="rId27"/>
      <w:headerReference w:type="first" r:id="rId28"/>
      <w:footerReference w:type="first" r:id="rId29"/>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E71B3" w14:textId="77777777" w:rsidR="00DD0735" w:rsidRDefault="00DD0735" w:rsidP="00F74F57">
      <w:r>
        <w:separator/>
      </w:r>
    </w:p>
  </w:endnote>
  <w:endnote w:type="continuationSeparator" w:id="0">
    <w:p w14:paraId="0D7E58D5" w14:textId="77777777" w:rsidR="00DD0735" w:rsidRDefault="00DD0735" w:rsidP="00F74F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953F1" w14:textId="77777777" w:rsidR="00B345FF" w:rsidRDefault="00B345FF" w:rsidP="0083619D">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2E82104" w14:textId="77777777" w:rsidR="00B345FF" w:rsidRDefault="00B345FF" w:rsidP="00B345F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DD1D7" w14:textId="1B4B6974" w:rsidR="00B345FF" w:rsidRDefault="00F41730" w:rsidP="00B345FF">
    <w:pPr>
      <w:pStyle w:val="Footer"/>
      <w:ind w:right="360"/>
      <w:rPr>
        <w:rStyle w:val="PageNumber"/>
      </w:rPr>
    </w:pPr>
    <w:r>
      <w:tab/>
    </w:r>
    <w:r>
      <w:rPr>
        <w:rStyle w:val="PageNumber"/>
      </w:rPr>
      <w:t xml:space="preserve">Page </w:t>
    </w:r>
    <w:r w:rsidR="0083619D">
      <w:rPr>
        <w:rStyle w:val="PageNumber"/>
      </w:rPr>
      <w:fldChar w:fldCharType="begin"/>
    </w:r>
    <w:r w:rsidR="0083619D">
      <w:rPr>
        <w:rStyle w:val="PageNumber"/>
      </w:rPr>
      <w:instrText xml:space="preserve"> PAGE  \* MERGEFORMAT </w:instrText>
    </w:r>
    <w:r w:rsidR="0083619D">
      <w:rPr>
        <w:rStyle w:val="PageNumber"/>
      </w:rPr>
      <w:fldChar w:fldCharType="separate"/>
    </w:r>
    <w:r w:rsidR="0083619D">
      <w:rPr>
        <w:rStyle w:val="PageNumber"/>
        <w:noProof/>
      </w:rPr>
      <w:t>2</w:t>
    </w:r>
    <w:r w:rsidR="0083619D">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rPr>
      <w:t>9</w:t>
    </w:r>
    <w:r>
      <w:rPr>
        <w:rStyle w:val="PageNumber"/>
      </w:rPr>
      <w:fldChar w:fldCharType="end"/>
    </w:r>
  </w:p>
  <w:p w14:paraId="7E70EAF4" w14:textId="30C4F063" w:rsidR="00775208" w:rsidRDefault="00775208" w:rsidP="00775208">
    <w:pPr>
      <w:rPr>
        <w:rFonts w:ascii="Times New Roman" w:eastAsia="Times New Roman" w:hAnsi="Times New Roman"/>
        <w:sz w:val="20"/>
        <w:szCs w:val="20"/>
      </w:rPr>
    </w:pPr>
  </w:p>
  <w:p w14:paraId="3E388722" w14:textId="111A15D9" w:rsidR="00775208" w:rsidRPr="00775208" w:rsidRDefault="00775208" w:rsidP="00775208">
    <w:pPr>
      <w:rPr>
        <w:rFonts w:eastAsia="Times New Roman" w:cstheme="minorHAnsi"/>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3967C92" w14:paraId="78F08D9B" w14:textId="77777777" w:rsidTr="33967C92">
      <w:trPr>
        <w:trHeight w:val="300"/>
      </w:trPr>
      <w:tc>
        <w:tcPr>
          <w:tcW w:w="3120" w:type="dxa"/>
        </w:tcPr>
        <w:p w14:paraId="4B1E2630" w14:textId="24061F8C" w:rsidR="33967C92" w:rsidRDefault="33967C92" w:rsidP="33967C92">
          <w:pPr>
            <w:pStyle w:val="Header"/>
            <w:ind w:left="-115"/>
          </w:pPr>
        </w:p>
      </w:tc>
      <w:tc>
        <w:tcPr>
          <w:tcW w:w="3120" w:type="dxa"/>
        </w:tcPr>
        <w:p w14:paraId="759A50A6" w14:textId="44C8323C" w:rsidR="33967C92" w:rsidRDefault="33967C92" w:rsidP="33967C92">
          <w:pPr>
            <w:pStyle w:val="Header"/>
            <w:jc w:val="center"/>
          </w:pPr>
        </w:p>
      </w:tc>
      <w:tc>
        <w:tcPr>
          <w:tcW w:w="3120" w:type="dxa"/>
        </w:tcPr>
        <w:p w14:paraId="5DD0E955" w14:textId="743C54A1" w:rsidR="33967C92" w:rsidRDefault="33967C92" w:rsidP="33967C92">
          <w:pPr>
            <w:pStyle w:val="Header"/>
            <w:ind w:right="-115"/>
            <w:jc w:val="right"/>
          </w:pPr>
        </w:p>
      </w:tc>
    </w:tr>
  </w:tbl>
  <w:p w14:paraId="2BB257D1" w14:textId="66E029DF" w:rsidR="33967C92" w:rsidRDefault="33967C92" w:rsidP="33967C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9D303" w14:textId="77777777" w:rsidR="00DD0735" w:rsidRDefault="00DD0735" w:rsidP="00F74F57">
      <w:r>
        <w:separator/>
      </w:r>
    </w:p>
  </w:footnote>
  <w:footnote w:type="continuationSeparator" w:id="0">
    <w:p w14:paraId="66A0575D" w14:textId="77777777" w:rsidR="00DD0735" w:rsidRDefault="00DD0735" w:rsidP="00F74F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E357D" w14:textId="7AA64C1E" w:rsidR="00A81F8C" w:rsidRPr="00A81F8C" w:rsidRDefault="32F51796" w:rsidP="00F74F57">
    <w:pPr>
      <w:tabs>
        <w:tab w:val="right" w:pos="9360"/>
      </w:tabs>
    </w:pPr>
    <w:r w:rsidRPr="32F51796">
      <w:rPr>
        <w:b/>
        <w:bCs/>
      </w:rPr>
      <w:t xml:space="preserve">CIVE </w:t>
    </w:r>
    <w:r w:rsidR="00AB293C">
      <w:rPr>
        <w:b/>
        <w:bCs/>
      </w:rPr>
      <w:t>2</w:t>
    </w:r>
    <w:r w:rsidRPr="32F51796">
      <w:rPr>
        <w:b/>
        <w:bCs/>
      </w:rPr>
      <w:t xml:space="preserve">02 </w:t>
    </w:r>
    <w:r w:rsidR="00AB293C">
      <w:rPr>
        <w:b/>
        <w:bCs/>
      </w:rPr>
      <w:t xml:space="preserve">Project </w:t>
    </w:r>
    <w:r w:rsidR="5ABE6F8E" w:rsidRPr="5ABE6F8E">
      <w:rPr>
        <w:b/>
        <w:bCs/>
      </w:rPr>
      <w:t>2</w:t>
    </w:r>
    <w:r w:rsidR="00AB293C">
      <w:rPr>
        <w:b/>
        <w:bCs/>
      </w:rPr>
      <w:t xml:space="preserve"> Report</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AE47C" w14:textId="5D047302" w:rsidR="00385198" w:rsidRDefault="00385198">
    <w:pPr>
      <w:pStyle w:val="Header"/>
    </w:pPr>
    <w:r>
      <w:rPr>
        <w:noProof/>
      </w:rPr>
      <w:drawing>
        <wp:anchor distT="0" distB="0" distL="114300" distR="114300" simplePos="0" relativeHeight="251658240" behindDoc="1" locked="0" layoutInCell="1" allowOverlap="1" wp14:anchorId="0EBCFC8E" wp14:editId="278841DA">
          <wp:simplePos x="0" y="0"/>
          <wp:positionH relativeFrom="column">
            <wp:posOffset>-922866</wp:posOffset>
          </wp:positionH>
          <wp:positionV relativeFrom="paragraph">
            <wp:posOffset>-448733</wp:posOffset>
          </wp:positionV>
          <wp:extent cx="7772478" cy="10058400"/>
          <wp:effectExtent l="0" t="0" r="0" b="0"/>
          <wp:wrapNone/>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72478" cy="10058400"/>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WEDzwNjVXMH1Xl" int2:id="JOCgLvVR">
      <int2:state int2:value="Rejected" int2:type="spell"/>
    </int2:textHash>
    <int2:textHash int2:hashCode="byAvwUFu4knAfS" int2:id="1To6SO7X">
      <int2:state int2:value="Rejected" int2:type="spell"/>
    </int2:textHash>
    <int2:textHash int2:hashCode="vUJEmlaC2IaAic" int2:id="9kLO9Krc">
      <int2:state int2:value="Rejected" int2:type="spell"/>
    </int2:textHash>
    <int2:textHash int2:hashCode="fZNQDIauWHs9n0" int2:id="TB0wbSq3">
      <int2:state int2:value="Rejected" int2:type="spell"/>
    </int2:textHash>
    <int2:textHash int2:hashCode="yX86k2bMri6/eb" int2:id="iftJvFqB">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84BCA"/>
    <w:multiLevelType w:val="hybridMultilevel"/>
    <w:tmpl w:val="D826DEEC"/>
    <w:lvl w:ilvl="0" w:tplc="04090001">
      <w:start w:val="1"/>
      <w:numFmt w:val="bullet"/>
      <w:lvlText w:val=""/>
      <w:lvlJc w:val="left"/>
      <w:pPr>
        <w:ind w:left="360" w:hanging="360"/>
      </w:pPr>
      <w:rPr>
        <w:rFonts w:ascii="Symbol" w:hAnsi="Symbol" w:hint="default"/>
      </w:rPr>
    </w:lvl>
    <w:lvl w:ilvl="1" w:tplc="7D34BF96">
      <w:numFmt w:val="bullet"/>
      <w:lvlText w:val="–"/>
      <w:lvlJc w:val="left"/>
      <w:pPr>
        <w:ind w:left="1080" w:hanging="360"/>
      </w:pPr>
      <w:rPr>
        <w:rFonts w:ascii="Calibri" w:eastAsiaTheme="minorHAnsi" w:hAnsi="Calibri"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788685F"/>
    <w:multiLevelType w:val="multilevel"/>
    <w:tmpl w:val="710E9C9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B956686"/>
    <w:multiLevelType w:val="hybridMultilevel"/>
    <w:tmpl w:val="CB227FD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FE81A68"/>
    <w:multiLevelType w:val="hybridMultilevel"/>
    <w:tmpl w:val="7834C8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2B46C23"/>
    <w:multiLevelType w:val="multilevel"/>
    <w:tmpl w:val="94E8193C"/>
    <w:lvl w:ilvl="0">
      <w:start w:val="2"/>
      <w:numFmt w:val="lowerRoman"/>
      <w:lvlText w:val="%1."/>
      <w:lvlJc w:val="right"/>
      <w:pPr>
        <w:tabs>
          <w:tab w:val="num" w:pos="720"/>
        </w:tabs>
        <w:ind w:left="720" w:hanging="360"/>
      </w:pPr>
    </w:lvl>
    <w:lvl w:ilvl="1">
      <w:start w:val="1"/>
      <w:numFmt w:val="decimal"/>
      <w:lvlText w:val="%2."/>
      <w:lvlJc w:val="left"/>
      <w:pPr>
        <w:ind w:left="1440" w:hanging="360"/>
      </w:pPr>
      <w:rPr>
        <w:rFonts w:asciiTheme="minorHAnsi" w:eastAsiaTheme="minorHAnsi" w:hAnsiTheme="minorHAnsi" w:cstheme="minorBidi" w:hint="default"/>
        <w:b/>
        <w:color w:val="auto"/>
        <w:sz w:val="24"/>
      </w:r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3F1F4416"/>
    <w:multiLevelType w:val="hybridMultilevel"/>
    <w:tmpl w:val="8B8CD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9A0C52"/>
    <w:multiLevelType w:val="hybridMultilevel"/>
    <w:tmpl w:val="EDA0AF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CDB56D0"/>
    <w:multiLevelType w:val="hybridMultilevel"/>
    <w:tmpl w:val="7BBC3B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0C7FC7"/>
    <w:multiLevelType w:val="hybridMultilevel"/>
    <w:tmpl w:val="F98880B4"/>
    <w:lvl w:ilvl="0" w:tplc="04090001">
      <w:start w:val="1"/>
      <w:numFmt w:val="bullet"/>
      <w:lvlText w:val=""/>
      <w:lvlJc w:val="left"/>
      <w:pPr>
        <w:ind w:left="360" w:hanging="360"/>
      </w:pPr>
      <w:rPr>
        <w:rFonts w:ascii="Symbol" w:hAnsi="Symbol" w:hint="default"/>
      </w:rPr>
    </w:lvl>
    <w:lvl w:ilvl="1" w:tplc="EEACBC80">
      <w:numFmt w:val="bullet"/>
      <w:lvlText w:val="–"/>
      <w:lvlJc w:val="left"/>
      <w:pPr>
        <w:ind w:left="1080" w:hanging="360"/>
      </w:pPr>
      <w:rPr>
        <w:rFonts w:ascii="Times New Roman" w:eastAsiaTheme="minorHAnsi"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072D5C7"/>
    <w:multiLevelType w:val="hybridMultilevel"/>
    <w:tmpl w:val="C62AC472"/>
    <w:lvl w:ilvl="0" w:tplc="BB344C72">
      <w:start w:val="1"/>
      <w:numFmt w:val="bullet"/>
      <w:lvlText w:val=""/>
      <w:lvlJc w:val="left"/>
      <w:pPr>
        <w:ind w:left="720" w:hanging="360"/>
      </w:pPr>
      <w:rPr>
        <w:rFonts w:ascii="Symbol" w:hAnsi="Symbol" w:hint="default"/>
      </w:rPr>
    </w:lvl>
    <w:lvl w:ilvl="1" w:tplc="FED24D60">
      <w:start w:val="1"/>
      <w:numFmt w:val="bullet"/>
      <w:lvlText w:val="o"/>
      <w:lvlJc w:val="left"/>
      <w:pPr>
        <w:ind w:left="1440" w:hanging="360"/>
      </w:pPr>
      <w:rPr>
        <w:rFonts w:ascii="Courier New" w:hAnsi="Courier New" w:hint="default"/>
      </w:rPr>
    </w:lvl>
    <w:lvl w:ilvl="2" w:tplc="E5BE7146">
      <w:start w:val="1"/>
      <w:numFmt w:val="bullet"/>
      <w:lvlText w:val=""/>
      <w:lvlJc w:val="left"/>
      <w:pPr>
        <w:ind w:left="2160" w:hanging="360"/>
      </w:pPr>
      <w:rPr>
        <w:rFonts w:ascii="Wingdings" w:hAnsi="Wingdings" w:hint="default"/>
      </w:rPr>
    </w:lvl>
    <w:lvl w:ilvl="3" w:tplc="0B6480F8">
      <w:start w:val="1"/>
      <w:numFmt w:val="bullet"/>
      <w:lvlText w:val=""/>
      <w:lvlJc w:val="left"/>
      <w:pPr>
        <w:ind w:left="2880" w:hanging="360"/>
      </w:pPr>
      <w:rPr>
        <w:rFonts w:ascii="Symbol" w:hAnsi="Symbol" w:hint="default"/>
      </w:rPr>
    </w:lvl>
    <w:lvl w:ilvl="4" w:tplc="205CE754">
      <w:start w:val="1"/>
      <w:numFmt w:val="bullet"/>
      <w:lvlText w:val="o"/>
      <w:lvlJc w:val="left"/>
      <w:pPr>
        <w:ind w:left="3600" w:hanging="360"/>
      </w:pPr>
      <w:rPr>
        <w:rFonts w:ascii="Courier New" w:hAnsi="Courier New" w:hint="default"/>
      </w:rPr>
    </w:lvl>
    <w:lvl w:ilvl="5" w:tplc="360AA20E">
      <w:start w:val="1"/>
      <w:numFmt w:val="bullet"/>
      <w:lvlText w:val=""/>
      <w:lvlJc w:val="left"/>
      <w:pPr>
        <w:ind w:left="4320" w:hanging="360"/>
      </w:pPr>
      <w:rPr>
        <w:rFonts w:ascii="Wingdings" w:hAnsi="Wingdings" w:hint="default"/>
      </w:rPr>
    </w:lvl>
    <w:lvl w:ilvl="6" w:tplc="662E59BC">
      <w:start w:val="1"/>
      <w:numFmt w:val="bullet"/>
      <w:lvlText w:val=""/>
      <w:lvlJc w:val="left"/>
      <w:pPr>
        <w:ind w:left="5040" w:hanging="360"/>
      </w:pPr>
      <w:rPr>
        <w:rFonts w:ascii="Symbol" w:hAnsi="Symbol" w:hint="default"/>
      </w:rPr>
    </w:lvl>
    <w:lvl w:ilvl="7" w:tplc="F424A3F4">
      <w:start w:val="1"/>
      <w:numFmt w:val="bullet"/>
      <w:lvlText w:val="o"/>
      <w:lvlJc w:val="left"/>
      <w:pPr>
        <w:ind w:left="5760" w:hanging="360"/>
      </w:pPr>
      <w:rPr>
        <w:rFonts w:ascii="Courier New" w:hAnsi="Courier New" w:hint="default"/>
      </w:rPr>
    </w:lvl>
    <w:lvl w:ilvl="8" w:tplc="790A08C8">
      <w:start w:val="1"/>
      <w:numFmt w:val="bullet"/>
      <w:lvlText w:val=""/>
      <w:lvlJc w:val="left"/>
      <w:pPr>
        <w:ind w:left="6480" w:hanging="360"/>
      </w:pPr>
      <w:rPr>
        <w:rFonts w:ascii="Wingdings" w:hAnsi="Wingdings" w:hint="default"/>
      </w:rPr>
    </w:lvl>
  </w:abstractNum>
  <w:num w:numId="1" w16cid:durableId="195431851">
    <w:abstractNumId w:val="1"/>
  </w:num>
  <w:num w:numId="2" w16cid:durableId="426077149">
    <w:abstractNumId w:val="8"/>
  </w:num>
  <w:num w:numId="3" w16cid:durableId="53699214">
    <w:abstractNumId w:val="0"/>
  </w:num>
  <w:num w:numId="4" w16cid:durableId="25065481">
    <w:abstractNumId w:val="5"/>
  </w:num>
  <w:num w:numId="5" w16cid:durableId="753555894">
    <w:abstractNumId w:val="6"/>
  </w:num>
  <w:num w:numId="6" w16cid:durableId="700860455">
    <w:abstractNumId w:val="7"/>
  </w:num>
  <w:num w:numId="7" w16cid:durableId="1968195383">
    <w:abstractNumId w:val="9"/>
  </w:num>
  <w:num w:numId="8" w16cid:durableId="1472869597">
    <w:abstractNumId w:val="4"/>
  </w:num>
  <w:num w:numId="9" w16cid:durableId="11878752">
    <w:abstractNumId w:val="3"/>
  </w:num>
  <w:num w:numId="10" w16cid:durableId="9600666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34"/>
    <w:rsid w:val="00000BAD"/>
    <w:rsid w:val="00001B88"/>
    <w:rsid w:val="00002DFD"/>
    <w:rsid w:val="000071F1"/>
    <w:rsid w:val="000249B6"/>
    <w:rsid w:val="00031652"/>
    <w:rsid w:val="000347BF"/>
    <w:rsid w:val="00041B8D"/>
    <w:rsid w:val="00041BC5"/>
    <w:rsid w:val="00041E3C"/>
    <w:rsid w:val="00044990"/>
    <w:rsid w:val="00050524"/>
    <w:rsid w:val="00054453"/>
    <w:rsid w:val="000577D1"/>
    <w:rsid w:val="00062079"/>
    <w:rsid w:val="00063F67"/>
    <w:rsid w:val="000644F1"/>
    <w:rsid w:val="00066D88"/>
    <w:rsid w:val="00073710"/>
    <w:rsid w:val="00085775"/>
    <w:rsid w:val="0008677F"/>
    <w:rsid w:val="000926CF"/>
    <w:rsid w:val="000A0B78"/>
    <w:rsid w:val="000A0F79"/>
    <w:rsid w:val="000A3898"/>
    <w:rsid w:val="000A5620"/>
    <w:rsid w:val="000A7DDA"/>
    <w:rsid w:val="000B3D06"/>
    <w:rsid w:val="000C3F0C"/>
    <w:rsid w:val="000C4D60"/>
    <w:rsid w:val="000C6F37"/>
    <w:rsid w:val="000C7FE2"/>
    <w:rsid w:val="000D01CD"/>
    <w:rsid w:val="000D0B1D"/>
    <w:rsid w:val="000D1311"/>
    <w:rsid w:val="000D1696"/>
    <w:rsid w:val="000E0117"/>
    <w:rsid w:val="000E0619"/>
    <w:rsid w:val="000E200F"/>
    <w:rsid w:val="000E328B"/>
    <w:rsid w:val="000E673F"/>
    <w:rsid w:val="000F4BDF"/>
    <w:rsid w:val="000F5EF7"/>
    <w:rsid w:val="0012216B"/>
    <w:rsid w:val="00122316"/>
    <w:rsid w:val="00123858"/>
    <w:rsid w:val="00130A3F"/>
    <w:rsid w:val="0013309C"/>
    <w:rsid w:val="00133B9B"/>
    <w:rsid w:val="001350B7"/>
    <w:rsid w:val="00144966"/>
    <w:rsid w:val="001449F4"/>
    <w:rsid w:val="0014615E"/>
    <w:rsid w:val="00147ED0"/>
    <w:rsid w:val="001517C1"/>
    <w:rsid w:val="00153B07"/>
    <w:rsid w:val="00162537"/>
    <w:rsid w:val="00165F04"/>
    <w:rsid w:val="00167799"/>
    <w:rsid w:val="0017198F"/>
    <w:rsid w:val="00172F8A"/>
    <w:rsid w:val="00176086"/>
    <w:rsid w:val="001765F1"/>
    <w:rsid w:val="0017710C"/>
    <w:rsid w:val="00180BC6"/>
    <w:rsid w:val="00182B50"/>
    <w:rsid w:val="00182DC0"/>
    <w:rsid w:val="00185A72"/>
    <w:rsid w:val="0019229A"/>
    <w:rsid w:val="00197A0C"/>
    <w:rsid w:val="001A361A"/>
    <w:rsid w:val="001A3742"/>
    <w:rsid w:val="001A4865"/>
    <w:rsid w:val="001A570F"/>
    <w:rsid w:val="001A6352"/>
    <w:rsid w:val="001A77DB"/>
    <w:rsid w:val="001A7F3F"/>
    <w:rsid w:val="001B11C8"/>
    <w:rsid w:val="001B39B6"/>
    <w:rsid w:val="001B3EC3"/>
    <w:rsid w:val="001B5A5A"/>
    <w:rsid w:val="001B60BF"/>
    <w:rsid w:val="001D08BC"/>
    <w:rsid w:val="001D097C"/>
    <w:rsid w:val="001D462E"/>
    <w:rsid w:val="001D608D"/>
    <w:rsid w:val="001E08A6"/>
    <w:rsid w:val="001E09C9"/>
    <w:rsid w:val="001E2B46"/>
    <w:rsid w:val="001E5D8D"/>
    <w:rsid w:val="001E7AA7"/>
    <w:rsid w:val="00207537"/>
    <w:rsid w:val="002148B7"/>
    <w:rsid w:val="00224945"/>
    <w:rsid w:val="0023329C"/>
    <w:rsid w:val="00235939"/>
    <w:rsid w:val="00236318"/>
    <w:rsid w:val="00237A4D"/>
    <w:rsid w:val="00243030"/>
    <w:rsid w:val="002456CE"/>
    <w:rsid w:val="00250A06"/>
    <w:rsid w:val="00254414"/>
    <w:rsid w:val="002557DA"/>
    <w:rsid w:val="00264888"/>
    <w:rsid w:val="0027256C"/>
    <w:rsid w:val="00275592"/>
    <w:rsid w:val="00277632"/>
    <w:rsid w:val="00277BAA"/>
    <w:rsid w:val="00280C6F"/>
    <w:rsid w:val="00290451"/>
    <w:rsid w:val="0029357D"/>
    <w:rsid w:val="002954B0"/>
    <w:rsid w:val="00297250"/>
    <w:rsid w:val="00297F02"/>
    <w:rsid w:val="002A74BF"/>
    <w:rsid w:val="002B0865"/>
    <w:rsid w:val="002B1883"/>
    <w:rsid w:val="002B33F0"/>
    <w:rsid w:val="002B5904"/>
    <w:rsid w:val="002C0226"/>
    <w:rsid w:val="002C6F61"/>
    <w:rsid w:val="002D10CA"/>
    <w:rsid w:val="002D269A"/>
    <w:rsid w:val="002D3696"/>
    <w:rsid w:val="002D436F"/>
    <w:rsid w:val="002D5551"/>
    <w:rsid w:val="002E43B3"/>
    <w:rsid w:val="002E6756"/>
    <w:rsid w:val="002E78E3"/>
    <w:rsid w:val="002F0243"/>
    <w:rsid w:val="002F4091"/>
    <w:rsid w:val="002F62C6"/>
    <w:rsid w:val="00315EF2"/>
    <w:rsid w:val="003173D8"/>
    <w:rsid w:val="00321C5A"/>
    <w:rsid w:val="003227AC"/>
    <w:rsid w:val="00323568"/>
    <w:rsid w:val="00324F09"/>
    <w:rsid w:val="0032503D"/>
    <w:rsid w:val="00326377"/>
    <w:rsid w:val="0033174A"/>
    <w:rsid w:val="003333AF"/>
    <w:rsid w:val="00334DAF"/>
    <w:rsid w:val="00341FE8"/>
    <w:rsid w:val="00342CD4"/>
    <w:rsid w:val="00357DD7"/>
    <w:rsid w:val="003625E4"/>
    <w:rsid w:val="003646DB"/>
    <w:rsid w:val="00370CA5"/>
    <w:rsid w:val="003728DE"/>
    <w:rsid w:val="003732B5"/>
    <w:rsid w:val="00380276"/>
    <w:rsid w:val="003824CF"/>
    <w:rsid w:val="003829C5"/>
    <w:rsid w:val="00383903"/>
    <w:rsid w:val="00385198"/>
    <w:rsid w:val="00386656"/>
    <w:rsid w:val="0038773D"/>
    <w:rsid w:val="00387F71"/>
    <w:rsid w:val="003900A3"/>
    <w:rsid w:val="00390A95"/>
    <w:rsid w:val="00391220"/>
    <w:rsid w:val="00394D85"/>
    <w:rsid w:val="003A297A"/>
    <w:rsid w:val="003A4DC9"/>
    <w:rsid w:val="003A7A6E"/>
    <w:rsid w:val="003B0A31"/>
    <w:rsid w:val="003B50D2"/>
    <w:rsid w:val="003B5A0F"/>
    <w:rsid w:val="003C177D"/>
    <w:rsid w:val="003C2BF1"/>
    <w:rsid w:val="003E053C"/>
    <w:rsid w:val="003E10DB"/>
    <w:rsid w:val="003E17A2"/>
    <w:rsid w:val="003E22D3"/>
    <w:rsid w:val="003E3CDF"/>
    <w:rsid w:val="003E69FE"/>
    <w:rsid w:val="003E6D7D"/>
    <w:rsid w:val="003E7EC2"/>
    <w:rsid w:val="003F0FC0"/>
    <w:rsid w:val="003F1C23"/>
    <w:rsid w:val="003F4D0F"/>
    <w:rsid w:val="003F6211"/>
    <w:rsid w:val="00400869"/>
    <w:rsid w:val="00401E94"/>
    <w:rsid w:val="00402180"/>
    <w:rsid w:val="00404685"/>
    <w:rsid w:val="00406BBA"/>
    <w:rsid w:val="00410EC7"/>
    <w:rsid w:val="0041200E"/>
    <w:rsid w:val="0041465C"/>
    <w:rsid w:val="00415271"/>
    <w:rsid w:val="004165BA"/>
    <w:rsid w:val="0041C7FA"/>
    <w:rsid w:val="00422775"/>
    <w:rsid w:val="00425124"/>
    <w:rsid w:val="00425884"/>
    <w:rsid w:val="00431B71"/>
    <w:rsid w:val="00435C57"/>
    <w:rsid w:val="004364DD"/>
    <w:rsid w:val="004403E8"/>
    <w:rsid w:val="0044345D"/>
    <w:rsid w:val="004451B2"/>
    <w:rsid w:val="00445F2B"/>
    <w:rsid w:val="00446D70"/>
    <w:rsid w:val="0044778F"/>
    <w:rsid w:val="00450B02"/>
    <w:rsid w:val="00451061"/>
    <w:rsid w:val="00451D9F"/>
    <w:rsid w:val="0045345B"/>
    <w:rsid w:val="00453581"/>
    <w:rsid w:val="004547CD"/>
    <w:rsid w:val="00460836"/>
    <w:rsid w:val="00465203"/>
    <w:rsid w:val="0047208C"/>
    <w:rsid w:val="00476B6A"/>
    <w:rsid w:val="0049068B"/>
    <w:rsid w:val="0049323E"/>
    <w:rsid w:val="00495D60"/>
    <w:rsid w:val="00495E85"/>
    <w:rsid w:val="00497376"/>
    <w:rsid w:val="004A06A7"/>
    <w:rsid w:val="004A14C2"/>
    <w:rsid w:val="004A357A"/>
    <w:rsid w:val="004A52FB"/>
    <w:rsid w:val="004A6C2A"/>
    <w:rsid w:val="004B17A0"/>
    <w:rsid w:val="004C4CEF"/>
    <w:rsid w:val="004C5344"/>
    <w:rsid w:val="004C6648"/>
    <w:rsid w:val="004C68F7"/>
    <w:rsid w:val="004C786D"/>
    <w:rsid w:val="004D4489"/>
    <w:rsid w:val="004D5CF1"/>
    <w:rsid w:val="004E532B"/>
    <w:rsid w:val="004E6794"/>
    <w:rsid w:val="005148ED"/>
    <w:rsid w:val="00514D45"/>
    <w:rsid w:val="0051721E"/>
    <w:rsid w:val="0052290D"/>
    <w:rsid w:val="00522EC2"/>
    <w:rsid w:val="0052368E"/>
    <w:rsid w:val="00525F0B"/>
    <w:rsid w:val="00526A36"/>
    <w:rsid w:val="00530DF7"/>
    <w:rsid w:val="005375D5"/>
    <w:rsid w:val="00537E97"/>
    <w:rsid w:val="005410B8"/>
    <w:rsid w:val="00545658"/>
    <w:rsid w:val="005534CA"/>
    <w:rsid w:val="005547C2"/>
    <w:rsid w:val="00561168"/>
    <w:rsid w:val="00567604"/>
    <w:rsid w:val="005711B7"/>
    <w:rsid w:val="00573DAE"/>
    <w:rsid w:val="00581CFF"/>
    <w:rsid w:val="0058211F"/>
    <w:rsid w:val="00585D25"/>
    <w:rsid w:val="005861EE"/>
    <w:rsid w:val="00587A4B"/>
    <w:rsid w:val="005932F3"/>
    <w:rsid w:val="00595A4A"/>
    <w:rsid w:val="0059743E"/>
    <w:rsid w:val="00597C9A"/>
    <w:rsid w:val="005A1409"/>
    <w:rsid w:val="005A1C69"/>
    <w:rsid w:val="005B3DD0"/>
    <w:rsid w:val="005C45C1"/>
    <w:rsid w:val="005C7EC1"/>
    <w:rsid w:val="005D0EF0"/>
    <w:rsid w:val="005D29FF"/>
    <w:rsid w:val="005D309E"/>
    <w:rsid w:val="005E1E77"/>
    <w:rsid w:val="005E25BD"/>
    <w:rsid w:val="005E2CC9"/>
    <w:rsid w:val="005E2F0D"/>
    <w:rsid w:val="005E5467"/>
    <w:rsid w:val="005E5D49"/>
    <w:rsid w:val="005F0114"/>
    <w:rsid w:val="005F685F"/>
    <w:rsid w:val="00601EF2"/>
    <w:rsid w:val="00604D48"/>
    <w:rsid w:val="006066B9"/>
    <w:rsid w:val="00610129"/>
    <w:rsid w:val="006114D5"/>
    <w:rsid w:val="006161BF"/>
    <w:rsid w:val="00616596"/>
    <w:rsid w:val="00621EAE"/>
    <w:rsid w:val="0064571B"/>
    <w:rsid w:val="0065358D"/>
    <w:rsid w:val="00656192"/>
    <w:rsid w:val="00660D0C"/>
    <w:rsid w:val="006612C0"/>
    <w:rsid w:val="00676FB4"/>
    <w:rsid w:val="0068384E"/>
    <w:rsid w:val="006841D4"/>
    <w:rsid w:val="00685F1E"/>
    <w:rsid w:val="00687952"/>
    <w:rsid w:val="00690115"/>
    <w:rsid w:val="006906B1"/>
    <w:rsid w:val="0069468E"/>
    <w:rsid w:val="0069568F"/>
    <w:rsid w:val="006A60A4"/>
    <w:rsid w:val="006A6EAA"/>
    <w:rsid w:val="006B13CC"/>
    <w:rsid w:val="006C05BE"/>
    <w:rsid w:val="006C1D9C"/>
    <w:rsid w:val="006D281B"/>
    <w:rsid w:val="006D7C4A"/>
    <w:rsid w:val="006E2419"/>
    <w:rsid w:val="006E2EBE"/>
    <w:rsid w:val="006E4DB8"/>
    <w:rsid w:val="006F47D0"/>
    <w:rsid w:val="0070268A"/>
    <w:rsid w:val="007079C6"/>
    <w:rsid w:val="00707C83"/>
    <w:rsid w:val="00727DD5"/>
    <w:rsid w:val="007469FF"/>
    <w:rsid w:val="007529A4"/>
    <w:rsid w:val="007532F9"/>
    <w:rsid w:val="00753A13"/>
    <w:rsid w:val="007547FD"/>
    <w:rsid w:val="0075667D"/>
    <w:rsid w:val="007573F9"/>
    <w:rsid w:val="00757E09"/>
    <w:rsid w:val="00760DA4"/>
    <w:rsid w:val="00761DEB"/>
    <w:rsid w:val="007651E4"/>
    <w:rsid w:val="007655EB"/>
    <w:rsid w:val="007744A9"/>
    <w:rsid w:val="00775208"/>
    <w:rsid w:val="0077553B"/>
    <w:rsid w:val="007770F2"/>
    <w:rsid w:val="0078644C"/>
    <w:rsid w:val="007873FB"/>
    <w:rsid w:val="007901EC"/>
    <w:rsid w:val="00790A19"/>
    <w:rsid w:val="00792D70"/>
    <w:rsid w:val="007A12DE"/>
    <w:rsid w:val="007A5E65"/>
    <w:rsid w:val="007A5F93"/>
    <w:rsid w:val="007A61BE"/>
    <w:rsid w:val="007B058E"/>
    <w:rsid w:val="007C2F77"/>
    <w:rsid w:val="007C3773"/>
    <w:rsid w:val="007C5944"/>
    <w:rsid w:val="007C66FA"/>
    <w:rsid w:val="007C6C7D"/>
    <w:rsid w:val="007D0C55"/>
    <w:rsid w:val="007D3943"/>
    <w:rsid w:val="007E2FE0"/>
    <w:rsid w:val="007E5392"/>
    <w:rsid w:val="007F0BED"/>
    <w:rsid w:val="007F27BC"/>
    <w:rsid w:val="007F6044"/>
    <w:rsid w:val="00802CAC"/>
    <w:rsid w:val="00806B54"/>
    <w:rsid w:val="008072FB"/>
    <w:rsid w:val="00807C9B"/>
    <w:rsid w:val="008108CF"/>
    <w:rsid w:val="008161DE"/>
    <w:rsid w:val="008176AD"/>
    <w:rsid w:val="0083207A"/>
    <w:rsid w:val="00832B3D"/>
    <w:rsid w:val="0083619D"/>
    <w:rsid w:val="00836CA7"/>
    <w:rsid w:val="008422BA"/>
    <w:rsid w:val="00844212"/>
    <w:rsid w:val="0084523C"/>
    <w:rsid w:val="00855391"/>
    <w:rsid w:val="00855950"/>
    <w:rsid w:val="0085685F"/>
    <w:rsid w:val="00860AE0"/>
    <w:rsid w:val="0086687B"/>
    <w:rsid w:val="00867961"/>
    <w:rsid w:val="00867A3A"/>
    <w:rsid w:val="00867AE9"/>
    <w:rsid w:val="00871315"/>
    <w:rsid w:val="0087180B"/>
    <w:rsid w:val="00873047"/>
    <w:rsid w:val="008743B5"/>
    <w:rsid w:val="008748DD"/>
    <w:rsid w:val="00881BDD"/>
    <w:rsid w:val="00881E12"/>
    <w:rsid w:val="008857A3"/>
    <w:rsid w:val="00886249"/>
    <w:rsid w:val="00887E3C"/>
    <w:rsid w:val="00895EFC"/>
    <w:rsid w:val="0089671E"/>
    <w:rsid w:val="008B40F5"/>
    <w:rsid w:val="008C6EDB"/>
    <w:rsid w:val="008E079D"/>
    <w:rsid w:val="008E1289"/>
    <w:rsid w:val="008E42AB"/>
    <w:rsid w:val="008E68FA"/>
    <w:rsid w:val="008F2427"/>
    <w:rsid w:val="008F325A"/>
    <w:rsid w:val="008F6080"/>
    <w:rsid w:val="008F6C41"/>
    <w:rsid w:val="0090467C"/>
    <w:rsid w:val="009115A8"/>
    <w:rsid w:val="00912759"/>
    <w:rsid w:val="00912F01"/>
    <w:rsid w:val="0091710E"/>
    <w:rsid w:val="00917B75"/>
    <w:rsid w:val="0092085D"/>
    <w:rsid w:val="0092173B"/>
    <w:rsid w:val="00922F33"/>
    <w:rsid w:val="00927589"/>
    <w:rsid w:val="00930B14"/>
    <w:rsid w:val="0093149F"/>
    <w:rsid w:val="0093778E"/>
    <w:rsid w:val="0094137A"/>
    <w:rsid w:val="00944173"/>
    <w:rsid w:val="00947107"/>
    <w:rsid w:val="00947151"/>
    <w:rsid w:val="00950441"/>
    <w:rsid w:val="00950FB6"/>
    <w:rsid w:val="009529E4"/>
    <w:rsid w:val="00954110"/>
    <w:rsid w:val="009543EE"/>
    <w:rsid w:val="00954BCD"/>
    <w:rsid w:val="00956E04"/>
    <w:rsid w:val="00963A81"/>
    <w:rsid w:val="0097085D"/>
    <w:rsid w:val="00971D23"/>
    <w:rsid w:val="00972765"/>
    <w:rsid w:val="00973961"/>
    <w:rsid w:val="00975386"/>
    <w:rsid w:val="0097722F"/>
    <w:rsid w:val="00981BCA"/>
    <w:rsid w:val="009824A2"/>
    <w:rsid w:val="009861EC"/>
    <w:rsid w:val="009869EF"/>
    <w:rsid w:val="00986E2E"/>
    <w:rsid w:val="00993BAC"/>
    <w:rsid w:val="009A593C"/>
    <w:rsid w:val="009A59E7"/>
    <w:rsid w:val="009A5C87"/>
    <w:rsid w:val="009B0DF1"/>
    <w:rsid w:val="009C0923"/>
    <w:rsid w:val="009C21AA"/>
    <w:rsid w:val="009C4B17"/>
    <w:rsid w:val="009C6675"/>
    <w:rsid w:val="009D50F0"/>
    <w:rsid w:val="009E2D72"/>
    <w:rsid w:val="009E5AB4"/>
    <w:rsid w:val="009E640A"/>
    <w:rsid w:val="009F3530"/>
    <w:rsid w:val="00A01A70"/>
    <w:rsid w:val="00A03827"/>
    <w:rsid w:val="00A12033"/>
    <w:rsid w:val="00A12799"/>
    <w:rsid w:val="00A1332E"/>
    <w:rsid w:val="00A1501D"/>
    <w:rsid w:val="00A15A85"/>
    <w:rsid w:val="00A160D6"/>
    <w:rsid w:val="00A2372E"/>
    <w:rsid w:val="00A2555D"/>
    <w:rsid w:val="00A32D2A"/>
    <w:rsid w:val="00A36FA4"/>
    <w:rsid w:val="00A453F4"/>
    <w:rsid w:val="00A50999"/>
    <w:rsid w:val="00A516C7"/>
    <w:rsid w:val="00A52A86"/>
    <w:rsid w:val="00A53C38"/>
    <w:rsid w:val="00A671E6"/>
    <w:rsid w:val="00A67E17"/>
    <w:rsid w:val="00A7446C"/>
    <w:rsid w:val="00A749F2"/>
    <w:rsid w:val="00A76329"/>
    <w:rsid w:val="00A7C9A6"/>
    <w:rsid w:val="00A81F8C"/>
    <w:rsid w:val="00AA4E4C"/>
    <w:rsid w:val="00AA7FD2"/>
    <w:rsid w:val="00AB1605"/>
    <w:rsid w:val="00AB293C"/>
    <w:rsid w:val="00AB31EE"/>
    <w:rsid w:val="00AB5553"/>
    <w:rsid w:val="00AB7101"/>
    <w:rsid w:val="00AC4E98"/>
    <w:rsid w:val="00AC7A7F"/>
    <w:rsid w:val="00AD4B12"/>
    <w:rsid w:val="00AD4CD5"/>
    <w:rsid w:val="00AD67F0"/>
    <w:rsid w:val="00AE164F"/>
    <w:rsid w:val="00AF05A9"/>
    <w:rsid w:val="00AF0DE5"/>
    <w:rsid w:val="00AF613D"/>
    <w:rsid w:val="00B013DD"/>
    <w:rsid w:val="00B04D86"/>
    <w:rsid w:val="00B058A3"/>
    <w:rsid w:val="00B101FD"/>
    <w:rsid w:val="00B16BA0"/>
    <w:rsid w:val="00B21B90"/>
    <w:rsid w:val="00B31014"/>
    <w:rsid w:val="00B32896"/>
    <w:rsid w:val="00B34118"/>
    <w:rsid w:val="00B345FF"/>
    <w:rsid w:val="00B37B19"/>
    <w:rsid w:val="00B425FF"/>
    <w:rsid w:val="00B436BE"/>
    <w:rsid w:val="00B463C9"/>
    <w:rsid w:val="00B50430"/>
    <w:rsid w:val="00B51E24"/>
    <w:rsid w:val="00B5261D"/>
    <w:rsid w:val="00B52B5E"/>
    <w:rsid w:val="00B54F62"/>
    <w:rsid w:val="00B6163A"/>
    <w:rsid w:val="00B62A21"/>
    <w:rsid w:val="00B72496"/>
    <w:rsid w:val="00B757FB"/>
    <w:rsid w:val="00B7758B"/>
    <w:rsid w:val="00B84D8D"/>
    <w:rsid w:val="00B871C7"/>
    <w:rsid w:val="00B8762B"/>
    <w:rsid w:val="00B87E88"/>
    <w:rsid w:val="00B932D2"/>
    <w:rsid w:val="00B95706"/>
    <w:rsid w:val="00BA1BD1"/>
    <w:rsid w:val="00BA2516"/>
    <w:rsid w:val="00BA6781"/>
    <w:rsid w:val="00BC3038"/>
    <w:rsid w:val="00BC3231"/>
    <w:rsid w:val="00BC337C"/>
    <w:rsid w:val="00BC507C"/>
    <w:rsid w:val="00BC64E8"/>
    <w:rsid w:val="00BD4C8A"/>
    <w:rsid w:val="00BD5E5C"/>
    <w:rsid w:val="00BE0981"/>
    <w:rsid w:val="00BE4FDA"/>
    <w:rsid w:val="00BE67D7"/>
    <w:rsid w:val="00BF0168"/>
    <w:rsid w:val="00BF3C1B"/>
    <w:rsid w:val="00C01C2B"/>
    <w:rsid w:val="00C154F8"/>
    <w:rsid w:val="00C1650D"/>
    <w:rsid w:val="00C202EF"/>
    <w:rsid w:val="00C258DF"/>
    <w:rsid w:val="00C26A8C"/>
    <w:rsid w:val="00C27CE3"/>
    <w:rsid w:val="00C32D5B"/>
    <w:rsid w:val="00C4544C"/>
    <w:rsid w:val="00C459F5"/>
    <w:rsid w:val="00C50BFE"/>
    <w:rsid w:val="00C53A3B"/>
    <w:rsid w:val="00C602E0"/>
    <w:rsid w:val="00C61E3C"/>
    <w:rsid w:val="00C6523E"/>
    <w:rsid w:val="00C66A13"/>
    <w:rsid w:val="00C67941"/>
    <w:rsid w:val="00C70B3E"/>
    <w:rsid w:val="00C71D34"/>
    <w:rsid w:val="00C72243"/>
    <w:rsid w:val="00C727A7"/>
    <w:rsid w:val="00C769E6"/>
    <w:rsid w:val="00C87D15"/>
    <w:rsid w:val="00C9121D"/>
    <w:rsid w:val="00C92BAD"/>
    <w:rsid w:val="00C94355"/>
    <w:rsid w:val="00C94615"/>
    <w:rsid w:val="00C958A0"/>
    <w:rsid w:val="00CA0EDE"/>
    <w:rsid w:val="00CA12F5"/>
    <w:rsid w:val="00CA249A"/>
    <w:rsid w:val="00CA64F1"/>
    <w:rsid w:val="00CA6AEC"/>
    <w:rsid w:val="00CA6C95"/>
    <w:rsid w:val="00CB14FE"/>
    <w:rsid w:val="00CB29AB"/>
    <w:rsid w:val="00CB3335"/>
    <w:rsid w:val="00CB39CF"/>
    <w:rsid w:val="00CC08CC"/>
    <w:rsid w:val="00CC1E6D"/>
    <w:rsid w:val="00CC2907"/>
    <w:rsid w:val="00CC6776"/>
    <w:rsid w:val="00CD11D2"/>
    <w:rsid w:val="00CD50AF"/>
    <w:rsid w:val="00CD69CD"/>
    <w:rsid w:val="00CE6EDD"/>
    <w:rsid w:val="00CF4D69"/>
    <w:rsid w:val="00D041CF"/>
    <w:rsid w:val="00D11098"/>
    <w:rsid w:val="00D14C9B"/>
    <w:rsid w:val="00D16203"/>
    <w:rsid w:val="00D1756F"/>
    <w:rsid w:val="00D20017"/>
    <w:rsid w:val="00D20624"/>
    <w:rsid w:val="00D20DDD"/>
    <w:rsid w:val="00D21BC5"/>
    <w:rsid w:val="00D2778C"/>
    <w:rsid w:val="00D30678"/>
    <w:rsid w:val="00D330E1"/>
    <w:rsid w:val="00D33FE6"/>
    <w:rsid w:val="00D376CB"/>
    <w:rsid w:val="00D38E80"/>
    <w:rsid w:val="00D422EB"/>
    <w:rsid w:val="00D51E05"/>
    <w:rsid w:val="00D52630"/>
    <w:rsid w:val="00D53F8F"/>
    <w:rsid w:val="00D55F46"/>
    <w:rsid w:val="00D70D22"/>
    <w:rsid w:val="00D7476F"/>
    <w:rsid w:val="00D7624A"/>
    <w:rsid w:val="00D765A7"/>
    <w:rsid w:val="00D80F9A"/>
    <w:rsid w:val="00D81FDE"/>
    <w:rsid w:val="00D83F78"/>
    <w:rsid w:val="00D87D61"/>
    <w:rsid w:val="00D9185A"/>
    <w:rsid w:val="00D92291"/>
    <w:rsid w:val="00D941DD"/>
    <w:rsid w:val="00D9685C"/>
    <w:rsid w:val="00DA1487"/>
    <w:rsid w:val="00DA7142"/>
    <w:rsid w:val="00DA7B0F"/>
    <w:rsid w:val="00DB4DA7"/>
    <w:rsid w:val="00DB6686"/>
    <w:rsid w:val="00DD0735"/>
    <w:rsid w:val="00DD5CE1"/>
    <w:rsid w:val="00DD5F0A"/>
    <w:rsid w:val="00DD662B"/>
    <w:rsid w:val="00DD7DF0"/>
    <w:rsid w:val="00DE5EED"/>
    <w:rsid w:val="00DF0C26"/>
    <w:rsid w:val="00DF1F40"/>
    <w:rsid w:val="00DF4791"/>
    <w:rsid w:val="00DF5FBF"/>
    <w:rsid w:val="00E04D1B"/>
    <w:rsid w:val="00E175AA"/>
    <w:rsid w:val="00E21032"/>
    <w:rsid w:val="00E270E4"/>
    <w:rsid w:val="00E27C9E"/>
    <w:rsid w:val="00E33D11"/>
    <w:rsid w:val="00E34915"/>
    <w:rsid w:val="00E41D15"/>
    <w:rsid w:val="00E44353"/>
    <w:rsid w:val="00E44C4A"/>
    <w:rsid w:val="00E6395C"/>
    <w:rsid w:val="00E63BFB"/>
    <w:rsid w:val="00E640A2"/>
    <w:rsid w:val="00E67CBA"/>
    <w:rsid w:val="00E706BD"/>
    <w:rsid w:val="00E74857"/>
    <w:rsid w:val="00E764F1"/>
    <w:rsid w:val="00E809FB"/>
    <w:rsid w:val="00E80D27"/>
    <w:rsid w:val="00E84189"/>
    <w:rsid w:val="00E849EB"/>
    <w:rsid w:val="00E85CFA"/>
    <w:rsid w:val="00E919C3"/>
    <w:rsid w:val="00E9494A"/>
    <w:rsid w:val="00EA2C32"/>
    <w:rsid w:val="00EB07F3"/>
    <w:rsid w:val="00EB26AD"/>
    <w:rsid w:val="00EB552A"/>
    <w:rsid w:val="00EB6FA2"/>
    <w:rsid w:val="00EB7341"/>
    <w:rsid w:val="00EC0D50"/>
    <w:rsid w:val="00EC35CE"/>
    <w:rsid w:val="00EC783D"/>
    <w:rsid w:val="00ED66A1"/>
    <w:rsid w:val="00EE0864"/>
    <w:rsid w:val="00EE4EAD"/>
    <w:rsid w:val="00EE547E"/>
    <w:rsid w:val="00EF3182"/>
    <w:rsid w:val="00EF63BD"/>
    <w:rsid w:val="00EF67AC"/>
    <w:rsid w:val="00EF6C77"/>
    <w:rsid w:val="00EF7A6D"/>
    <w:rsid w:val="00F00CA0"/>
    <w:rsid w:val="00F02560"/>
    <w:rsid w:val="00F10016"/>
    <w:rsid w:val="00F11435"/>
    <w:rsid w:val="00F15647"/>
    <w:rsid w:val="00F203D4"/>
    <w:rsid w:val="00F2735B"/>
    <w:rsid w:val="00F274A8"/>
    <w:rsid w:val="00F27ABE"/>
    <w:rsid w:val="00F30D7E"/>
    <w:rsid w:val="00F4041E"/>
    <w:rsid w:val="00F41730"/>
    <w:rsid w:val="00F41A72"/>
    <w:rsid w:val="00F435BC"/>
    <w:rsid w:val="00F47D3E"/>
    <w:rsid w:val="00F51BF2"/>
    <w:rsid w:val="00F56DCA"/>
    <w:rsid w:val="00F6154A"/>
    <w:rsid w:val="00F65E1D"/>
    <w:rsid w:val="00F66928"/>
    <w:rsid w:val="00F66F5F"/>
    <w:rsid w:val="00F70E6B"/>
    <w:rsid w:val="00F738E1"/>
    <w:rsid w:val="00F73CE7"/>
    <w:rsid w:val="00F74F57"/>
    <w:rsid w:val="00F75FBD"/>
    <w:rsid w:val="00F77150"/>
    <w:rsid w:val="00F83038"/>
    <w:rsid w:val="00F85170"/>
    <w:rsid w:val="00F90A90"/>
    <w:rsid w:val="00F96CF2"/>
    <w:rsid w:val="00FA00DE"/>
    <w:rsid w:val="00FA21F0"/>
    <w:rsid w:val="00FA6C76"/>
    <w:rsid w:val="00FB0828"/>
    <w:rsid w:val="00FB0CE0"/>
    <w:rsid w:val="00FB2218"/>
    <w:rsid w:val="00FC1B3A"/>
    <w:rsid w:val="00FC2906"/>
    <w:rsid w:val="00FC585D"/>
    <w:rsid w:val="00FD0F00"/>
    <w:rsid w:val="00FD5D42"/>
    <w:rsid w:val="00FE2381"/>
    <w:rsid w:val="00FE2A2D"/>
    <w:rsid w:val="00FE6D33"/>
    <w:rsid w:val="00FF4BAC"/>
    <w:rsid w:val="00FF63EC"/>
    <w:rsid w:val="01BC0E19"/>
    <w:rsid w:val="01D0AA6D"/>
    <w:rsid w:val="0261C218"/>
    <w:rsid w:val="03147C67"/>
    <w:rsid w:val="037EC77F"/>
    <w:rsid w:val="03A1C3EE"/>
    <w:rsid w:val="03B34A6E"/>
    <w:rsid w:val="041168E4"/>
    <w:rsid w:val="0486B298"/>
    <w:rsid w:val="04A46CC4"/>
    <w:rsid w:val="04F63431"/>
    <w:rsid w:val="0604481A"/>
    <w:rsid w:val="060889FD"/>
    <w:rsid w:val="061194AC"/>
    <w:rsid w:val="06EF1BB2"/>
    <w:rsid w:val="07701A11"/>
    <w:rsid w:val="07B23C01"/>
    <w:rsid w:val="07E0BAEC"/>
    <w:rsid w:val="086ED146"/>
    <w:rsid w:val="087082B1"/>
    <w:rsid w:val="08A1C17B"/>
    <w:rsid w:val="08B459DB"/>
    <w:rsid w:val="08C66699"/>
    <w:rsid w:val="093CD000"/>
    <w:rsid w:val="0954A130"/>
    <w:rsid w:val="0982E106"/>
    <w:rsid w:val="09CA843D"/>
    <w:rsid w:val="09CBB159"/>
    <w:rsid w:val="0A8AA704"/>
    <w:rsid w:val="0ADC9F5F"/>
    <w:rsid w:val="0AE2167E"/>
    <w:rsid w:val="0AEACB64"/>
    <w:rsid w:val="0B272457"/>
    <w:rsid w:val="0BBEB1C6"/>
    <w:rsid w:val="0BC63939"/>
    <w:rsid w:val="0BCAFF10"/>
    <w:rsid w:val="0C0A1153"/>
    <w:rsid w:val="0CB87F16"/>
    <w:rsid w:val="0D4F0802"/>
    <w:rsid w:val="0DC6A0E6"/>
    <w:rsid w:val="0E3B90A2"/>
    <w:rsid w:val="0E54D422"/>
    <w:rsid w:val="0F0CC925"/>
    <w:rsid w:val="0FC4D7F3"/>
    <w:rsid w:val="1099A14B"/>
    <w:rsid w:val="1099E7A8"/>
    <w:rsid w:val="10BBC507"/>
    <w:rsid w:val="10CD9D3B"/>
    <w:rsid w:val="10DECA16"/>
    <w:rsid w:val="10E7E29E"/>
    <w:rsid w:val="118B51C1"/>
    <w:rsid w:val="11DABE09"/>
    <w:rsid w:val="11DD2D74"/>
    <w:rsid w:val="1203BCB0"/>
    <w:rsid w:val="1207741D"/>
    <w:rsid w:val="125B5751"/>
    <w:rsid w:val="129A301E"/>
    <w:rsid w:val="129AE791"/>
    <w:rsid w:val="12C7C443"/>
    <w:rsid w:val="12EB90D5"/>
    <w:rsid w:val="12F38C05"/>
    <w:rsid w:val="1310B02F"/>
    <w:rsid w:val="1336006F"/>
    <w:rsid w:val="13D06E1E"/>
    <w:rsid w:val="1453438A"/>
    <w:rsid w:val="1508587E"/>
    <w:rsid w:val="15253F90"/>
    <w:rsid w:val="1552AB91"/>
    <w:rsid w:val="158E5BA7"/>
    <w:rsid w:val="15A89D24"/>
    <w:rsid w:val="15E4C0A6"/>
    <w:rsid w:val="1627575C"/>
    <w:rsid w:val="163FB2BE"/>
    <w:rsid w:val="1773E754"/>
    <w:rsid w:val="177A0547"/>
    <w:rsid w:val="1816F7FE"/>
    <w:rsid w:val="183E19E7"/>
    <w:rsid w:val="1843BDA3"/>
    <w:rsid w:val="198F54A9"/>
    <w:rsid w:val="19E8C614"/>
    <w:rsid w:val="1AB1148C"/>
    <w:rsid w:val="1AB40602"/>
    <w:rsid w:val="1AF2E29E"/>
    <w:rsid w:val="1BC22A27"/>
    <w:rsid w:val="1BC30300"/>
    <w:rsid w:val="1CD25AE9"/>
    <w:rsid w:val="1D6CB793"/>
    <w:rsid w:val="1D9802A2"/>
    <w:rsid w:val="1E1042B3"/>
    <w:rsid w:val="1E4554E3"/>
    <w:rsid w:val="1E48E5D4"/>
    <w:rsid w:val="1E7301B2"/>
    <w:rsid w:val="1EE61C86"/>
    <w:rsid w:val="1F0F52DA"/>
    <w:rsid w:val="1F1564EB"/>
    <w:rsid w:val="1FEEAA17"/>
    <w:rsid w:val="20842586"/>
    <w:rsid w:val="20CD6973"/>
    <w:rsid w:val="20D53A8F"/>
    <w:rsid w:val="22320D92"/>
    <w:rsid w:val="227E2557"/>
    <w:rsid w:val="22FCDBA2"/>
    <w:rsid w:val="231244E6"/>
    <w:rsid w:val="23EF5197"/>
    <w:rsid w:val="24697FE4"/>
    <w:rsid w:val="24A43EE1"/>
    <w:rsid w:val="25658258"/>
    <w:rsid w:val="257F5933"/>
    <w:rsid w:val="257FE7CB"/>
    <w:rsid w:val="25BCAF6A"/>
    <w:rsid w:val="26079C39"/>
    <w:rsid w:val="262838E0"/>
    <w:rsid w:val="26899B89"/>
    <w:rsid w:val="2689B908"/>
    <w:rsid w:val="26A2A1C2"/>
    <w:rsid w:val="26A6F64F"/>
    <w:rsid w:val="273D8089"/>
    <w:rsid w:val="27700D38"/>
    <w:rsid w:val="2793840F"/>
    <w:rsid w:val="27BE3847"/>
    <w:rsid w:val="282DA4E7"/>
    <w:rsid w:val="2908A337"/>
    <w:rsid w:val="296A461F"/>
    <w:rsid w:val="29D83533"/>
    <w:rsid w:val="29F148F7"/>
    <w:rsid w:val="29F3F277"/>
    <w:rsid w:val="2AAB5831"/>
    <w:rsid w:val="2AC98DB7"/>
    <w:rsid w:val="2AFF3215"/>
    <w:rsid w:val="2BD589E3"/>
    <w:rsid w:val="2BDF6D98"/>
    <w:rsid w:val="2BE703C6"/>
    <w:rsid w:val="2D319C9A"/>
    <w:rsid w:val="2EAFF0DB"/>
    <w:rsid w:val="2F0CCD66"/>
    <w:rsid w:val="2F440EC2"/>
    <w:rsid w:val="2F51DFC4"/>
    <w:rsid w:val="2F6FE317"/>
    <w:rsid w:val="2FB5DC75"/>
    <w:rsid w:val="2FE826B2"/>
    <w:rsid w:val="3045AF17"/>
    <w:rsid w:val="30676F8E"/>
    <w:rsid w:val="30DA32E8"/>
    <w:rsid w:val="31AE90E5"/>
    <w:rsid w:val="31BF06F2"/>
    <w:rsid w:val="31CA747A"/>
    <w:rsid w:val="31EF34F3"/>
    <w:rsid w:val="324FB8CB"/>
    <w:rsid w:val="3250D7BF"/>
    <w:rsid w:val="32F4C5EA"/>
    <w:rsid w:val="32F51796"/>
    <w:rsid w:val="332E5EE5"/>
    <w:rsid w:val="3389C4DA"/>
    <w:rsid w:val="33967C92"/>
    <w:rsid w:val="33C80CBD"/>
    <w:rsid w:val="33FA6B5B"/>
    <w:rsid w:val="3470A01D"/>
    <w:rsid w:val="34BAA8B1"/>
    <w:rsid w:val="34D6275B"/>
    <w:rsid w:val="34F6338E"/>
    <w:rsid w:val="350754AC"/>
    <w:rsid w:val="351C7C91"/>
    <w:rsid w:val="35CB593A"/>
    <w:rsid w:val="35D848BF"/>
    <w:rsid w:val="36638CB6"/>
    <w:rsid w:val="36A12BBF"/>
    <w:rsid w:val="37023C1F"/>
    <w:rsid w:val="3730E712"/>
    <w:rsid w:val="375C5B85"/>
    <w:rsid w:val="3808FD5D"/>
    <w:rsid w:val="382943EB"/>
    <w:rsid w:val="38943549"/>
    <w:rsid w:val="3956E4B0"/>
    <w:rsid w:val="39574EC6"/>
    <w:rsid w:val="396B32C8"/>
    <w:rsid w:val="3A34AE1B"/>
    <w:rsid w:val="3B80DF79"/>
    <w:rsid w:val="3B9A097F"/>
    <w:rsid w:val="3B9D6403"/>
    <w:rsid w:val="3BE6DB17"/>
    <w:rsid w:val="3D09FA15"/>
    <w:rsid w:val="3D25308C"/>
    <w:rsid w:val="3D573906"/>
    <w:rsid w:val="3DAFB906"/>
    <w:rsid w:val="3DEF9F98"/>
    <w:rsid w:val="3E3662C8"/>
    <w:rsid w:val="3E4C8BE1"/>
    <w:rsid w:val="3E7FD881"/>
    <w:rsid w:val="3EC9FAE9"/>
    <w:rsid w:val="3EF3FD1C"/>
    <w:rsid w:val="3F7B942D"/>
    <w:rsid w:val="3FCE8BD9"/>
    <w:rsid w:val="3FFA47DF"/>
    <w:rsid w:val="408D9CB1"/>
    <w:rsid w:val="40B94191"/>
    <w:rsid w:val="41F79A52"/>
    <w:rsid w:val="426C70E4"/>
    <w:rsid w:val="4315E5C7"/>
    <w:rsid w:val="4326EC22"/>
    <w:rsid w:val="43276CAC"/>
    <w:rsid w:val="43384216"/>
    <w:rsid w:val="434BECD1"/>
    <w:rsid w:val="4370B6C2"/>
    <w:rsid w:val="437B1E77"/>
    <w:rsid w:val="44C6E196"/>
    <w:rsid w:val="44E90ADF"/>
    <w:rsid w:val="45077BF1"/>
    <w:rsid w:val="45DAAFBE"/>
    <w:rsid w:val="46FB8A2B"/>
    <w:rsid w:val="47311409"/>
    <w:rsid w:val="4751D9D9"/>
    <w:rsid w:val="47727248"/>
    <w:rsid w:val="47964183"/>
    <w:rsid w:val="4799945D"/>
    <w:rsid w:val="47D25B8B"/>
    <w:rsid w:val="47E93A8E"/>
    <w:rsid w:val="482C09EA"/>
    <w:rsid w:val="48497466"/>
    <w:rsid w:val="48543452"/>
    <w:rsid w:val="49078EA7"/>
    <w:rsid w:val="490E4411"/>
    <w:rsid w:val="493705DC"/>
    <w:rsid w:val="4A5FD09B"/>
    <w:rsid w:val="4AE612E6"/>
    <w:rsid w:val="4AF3502C"/>
    <w:rsid w:val="4B11419B"/>
    <w:rsid w:val="4B4EC9B6"/>
    <w:rsid w:val="4C01C875"/>
    <w:rsid w:val="4C2C9374"/>
    <w:rsid w:val="4C63EE2F"/>
    <w:rsid w:val="4C79BBA1"/>
    <w:rsid w:val="4D351FB4"/>
    <w:rsid w:val="4D3949A1"/>
    <w:rsid w:val="4D3B2E1D"/>
    <w:rsid w:val="4D5629F4"/>
    <w:rsid w:val="4D865EC8"/>
    <w:rsid w:val="4DB5354B"/>
    <w:rsid w:val="4E58669C"/>
    <w:rsid w:val="4E6D893A"/>
    <w:rsid w:val="4E902B9A"/>
    <w:rsid w:val="4EF5D58C"/>
    <w:rsid w:val="4F29B3B9"/>
    <w:rsid w:val="4F3F793D"/>
    <w:rsid w:val="4F7CC31A"/>
    <w:rsid w:val="4F903FA8"/>
    <w:rsid w:val="4F961A43"/>
    <w:rsid w:val="4F9E75EA"/>
    <w:rsid w:val="507BB4CA"/>
    <w:rsid w:val="50B36145"/>
    <w:rsid w:val="51AF7E59"/>
    <w:rsid w:val="51EECEBD"/>
    <w:rsid w:val="51EFF0B4"/>
    <w:rsid w:val="5223DEA0"/>
    <w:rsid w:val="525D475C"/>
    <w:rsid w:val="52DAC008"/>
    <w:rsid w:val="52DD9F78"/>
    <w:rsid w:val="52E01DC5"/>
    <w:rsid w:val="5335E3D3"/>
    <w:rsid w:val="5349AB12"/>
    <w:rsid w:val="537DB2F3"/>
    <w:rsid w:val="5395DA71"/>
    <w:rsid w:val="539C64C7"/>
    <w:rsid w:val="53A5268E"/>
    <w:rsid w:val="5421761C"/>
    <w:rsid w:val="54391164"/>
    <w:rsid w:val="544F802B"/>
    <w:rsid w:val="544F9456"/>
    <w:rsid w:val="54859286"/>
    <w:rsid w:val="550F3D75"/>
    <w:rsid w:val="5516C333"/>
    <w:rsid w:val="5519618A"/>
    <w:rsid w:val="551BBFC2"/>
    <w:rsid w:val="5627E019"/>
    <w:rsid w:val="5685B2BE"/>
    <w:rsid w:val="569BEA8F"/>
    <w:rsid w:val="56ADFD94"/>
    <w:rsid w:val="577EFC36"/>
    <w:rsid w:val="57BF20C4"/>
    <w:rsid w:val="58585AF1"/>
    <w:rsid w:val="58632AB9"/>
    <w:rsid w:val="589D3FFA"/>
    <w:rsid w:val="59226751"/>
    <w:rsid w:val="599F0890"/>
    <w:rsid w:val="5A145608"/>
    <w:rsid w:val="5A421103"/>
    <w:rsid w:val="5ABE6F8E"/>
    <w:rsid w:val="5AD648A5"/>
    <w:rsid w:val="5AEAE99E"/>
    <w:rsid w:val="5B59E35B"/>
    <w:rsid w:val="5B8DEC00"/>
    <w:rsid w:val="5BF2F1F8"/>
    <w:rsid w:val="5C3502F8"/>
    <w:rsid w:val="5C5D0650"/>
    <w:rsid w:val="5D3A7645"/>
    <w:rsid w:val="5D588A3A"/>
    <w:rsid w:val="5DA9F097"/>
    <w:rsid w:val="5DC7A384"/>
    <w:rsid w:val="5DFE95C5"/>
    <w:rsid w:val="5E29815F"/>
    <w:rsid w:val="5E3214CE"/>
    <w:rsid w:val="5F094C51"/>
    <w:rsid w:val="5F106B13"/>
    <w:rsid w:val="601A9D1A"/>
    <w:rsid w:val="601D1ADC"/>
    <w:rsid w:val="6028774C"/>
    <w:rsid w:val="60BB1F0F"/>
    <w:rsid w:val="60EF9CEB"/>
    <w:rsid w:val="61521F8E"/>
    <w:rsid w:val="616A9E4D"/>
    <w:rsid w:val="61E302E8"/>
    <w:rsid w:val="627E9CCE"/>
    <w:rsid w:val="62BC84E0"/>
    <w:rsid w:val="630D0F90"/>
    <w:rsid w:val="6356B804"/>
    <w:rsid w:val="6380CE7A"/>
    <w:rsid w:val="638CF65C"/>
    <w:rsid w:val="63961672"/>
    <w:rsid w:val="63BAC0AC"/>
    <w:rsid w:val="63C4FE2F"/>
    <w:rsid w:val="63E40296"/>
    <w:rsid w:val="63EBBDC5"/>
    <w:rsid w:val="64097CEC"/>
    <w:rsid w:val="6422FF65"/>
    <w:rsid w:val="643239B6"/>
    <w:rsid w:val="64D91918"/>
    <w:rsid w:val="64DE94CE"/>
    <w:rsid w:val="6580EFA3"/>
    <w:rsid w:val="661A215D"/>
    <w:rsid w:val="6699B252"/>
    <w:rsid w:val="66A2DD3D"/>
    <w:rsid w:val="66BB4693"/>
    <w:rsid w:val="687E90AF"/>
    <w:rsid w:val="687F3E3F"/>
    <w:rsid w:val="688FB702"/>
    <w:rsid w:val="68ED1C9D"/>
    <w:rsid w:val="68FB7560"/>
    <w:rsid w:val="6905498C"/>
    <w:rsid w:val="691DC8A8"/>
    <w:rsid w:val="69B1A75D"/>
    <w:rsid w:val="6A2F5C95"/>
    <w:rsid w:val="6BB21D34"/>
    <w:rsid w:val="6BC98079"/>
    <w:rsid w:val="6C4D48B1"/>
    <w:rsid w:val="6C6F09FF"/>
    <w:rsid w:val="6CD6B681"/>
    <w:rsid w:val="6CDC208A"/>
    <w:rsid w:val="6D854FF5"/>
    <w:rsid w:val="6E968309"/>
    <w:rsid w:val="6EE338A8"/>
    <w:rsid w:val="6F1565D5"/>
    <w:rsid w:val="6F479134"/>
    <w:rsid w:val="6F709578"/>
    <w:rsid w:val="6F82487E"/>
    <w:rsid w:val="7032CE0C"/>
    <w:rsid w:val="70510191"/>
    <w:rsid w:val="71126A5E"/>
    <w:rsid w:val="723D1910"/>
    <w:rsid w:val="729B89F6"/>
    <w:rsid w:val="72B7F7E9"/>
    <w:rsid w:val="72CDB898"/>
    <w:rsid w:val="737D172F"/>
    <w:rsid w:val="738B5597"/>
    <w:rsid w:val="74097C9A"/>
    <w:rsid w:val="740CD8C8"/>
    <w:rsid w:val="742FD1AB"/>
    <w:rsid w:val="747878AD"/>
    <w:rsid w:val="7480C83A"/>
    <w:rsid w:val="74937524"/>
    <w:rsid w:val="74C2D738"/>
    <w:rsid w:val="75DFB054"/>
    <w:rsid w:val="75E61165"/>
    <w:rsid w:val="76B7F770"/>
    <w:rsid w:val="77ADD20C"/>
    <w:rsid w:val="77F5DFF7"/>
    <w:rsid w:val="780C72EA"/>
    <w:rsid w:val="780CADD6"/>
    <w:rsid w:val="78412ED1"/>
    <w:rsid w:val="784F4713"/>
    <w:rsid w:val="78C192A5"/>
    <w:rsid w:val="78CC1668"/>
    <w:rsid w:val="78F54611"/>
    <w:rsid w:val="79C36BE4"/>
    <w:rsid w:val="7A3B81DB"/>
    <w:rsid w:val="7A796B65"/>
    <w:rsid w:val="7AE6B10F"/>
    <w:rsid w:val="7C8370BD"/>
    <w:rsid w:val="7CDDED85"/>
    <w:rsid w:val="7CE26BD2"/>
    <w:rsid w:val="7CE926F1"/>
    <w:rsid w:val="7D89C9D3"/>
    <w:rsid w:val="7D9549FC"/>
    <w:rsid w:val="7E101990"/>
    <w:rsid w:val="7E9D5B16"/>
    <w:rsid w:val="7EC8FAB2"/>
    <w:rsid w:val="7EE6D6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A3888"/>
  <w14:defaultImageDpi w14:val="32767"/>
  <w15:chartTrackingRefBased/>
  <w15:docId w15:val="{690070B9-D046-435C-B351-9EDD85B50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F57"/>
    <w:rPr>
      <w:rFonts w:cs="Times New Roman"/>
    </w:rPr>
  </w:style>
  <w:style w:type="paragraph" w:styleId="Heading1">
    <w:name w:val="heading 1"/>
    <w:basedOn w:val="ListParagraph"/>
    <w:next w:val="Normal"/>
    <w:link w:val="Heading1Char"/>
    <w:uiPriority w:val="9"/>
    <w:qFormat/>
    <w:rsid w:val="006066B9"/>
    <w:pPr>
      <w:keepNext/>
      <w:keepLines/>
      <w:spacing w:before="240" w:line="259" w:lineRule="auto"/>
      <w:ind w:left="0"/>
      <w:contextualSpacing w:val="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6395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84D8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1F8C"/>
    <w:pPr>
      <w:tabs>
        <w:tab w:val="center" w:pos="4680"/>
        <w:tab w:val="right" w:pos="9360"/>
      </w:tabs>
    </w:pPr>
  </w:style>
  <w:style w:type="character" w:customStyle="1" w:styleId="HeaderChar">
    <w:name w:val="Header Char"/>
    <w:basedOn w:val="DefaultParagraphFont"/>
    <w:link w:val="Header"/>
    <w:uiPriority w:val="99"/>
    <w:rsid w:val="00A81F8C"/>
  </w:style>
  <w:style w:type="paragraph" w:styleId="Footer">
    <w:name w:val="footer"/>
    <w:basedOn w:val="Normal"/>
    <w:link w:val="FooterChar"/>
    <w:uiPriority w:val="99"/>
    <w:unhideWhenUsed/>
    <w:rsid w:val="00A81F8C"/>
    <w:pPr>
      <w:tabs>
        <w:tab w:val="center" w:pos="4680"/>
        <w:tab w:val="right" w:pos="9360"/>
      </w:tabs>
    </w:pPr>
  </w:style>
  <w:style w:type="character" w:customStyle="1" w:styleId="FooterChar">
    <w:name w:val="Footer Char"/>
    <w:basedOn w:val="DefaultParagraphFont"/>
    <w:link w:val="Footer"/>
    <w:uiPriority w:val="99"/>
    <w:rsid w:val="00A81F8C"/>
  </w:style>
  <w:style w:type="paragraph" w:styleId="ListParagraph">
    <w:name w:val="List Paragraph"/>
    <w:basedOn w:val="Normal"/>
    <w:uiPriority w:val="34"/>
    <w:qFormat/>
    <w:rsid w:val="00C602E0"/>
    <w:pPr>
      <w:ind w:left="720"/>
      <w:contextualSpacing/>
    </w:pPr>
  </w:style>
  <w:style w:type="character" w:customStyle="1" w:styleId="Heading1Char">
    <w:name w:val="Heading 1 Char"/>
    <w:basedOn w:val="DefaultParagraphFont"/>
    <w:link w:val="Heading1"/>
    <w:uiPriority w:val="9"/>
    <w:rsid w:val="006066B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D747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D5CF1"/>
    <w:pPr>
      <w:spacing w:after="200"/>
      <w:jc w:val="both"/>
    </w:pPr>
    <w:rPr>
      <w:rFonts w:ascii="Arial" w:eastAsia="Arial" w:hAnsi="Arial" w:cs="Arial"/>
      <w:i/>
      <w:iCs/>
      <w:color w:val="44546A" w:themeColor="text2"/>
      <w:sz w:val="18"/>
      <w:szCs w:val="18"/>
    </w:rPr>
  </w:style>
  <w:style w:type="character" w:styleId="PageNumber">
    <w:name w:val="page number"/>
    <w:basedOn w:val="DefaultParagraphFont"/>
    <w:uiPriority w:val="99"/>
    <w:semiHidden/>
    <w:unhideWhenUsed/>
    <w:rsid w:val="00B345FF"/>
  </w:style>
  <w:style w:type="paragraph" w:styleId="NoSpacing">
    <w:name w:val="No Spacing"/>
    <w:link w:val="NoSpacingChar"/>
    <w:uiPriority w:val="1"/>
    <w:qFormat/>
    <w:rsid w:val="00A453F4"/>
    <w:rPr>
      <w:rFonts w:eastAsiaTheme="minorEastAsia"/>
      <w:sz w:val="22"/>
      <w:szCs w:val="22"/>
      <w:lang w:eastAsia="zh-CN"/>
    </w:rPr>
  </w:style>
  <w:style w:type="character" w:customStyle="1" w:styleId="NoSpacingChar">
    <w:name w:val="No Spacing Char"/>
    <w:basedOn w:val="DefaultParagraphFont"/>
    <w:link w:val="NoSpacing"/>
    <w:uiPriority w:val="1"/>
    <w:rsid w:val="00A453F4"/>
    <w:rPr>
      <w:rFonts w:eastAsiaTheme="minorEastAsia"/>
      <w:sz w:val="22"/>
      <w:szCs w:val="22"/>
      <w:lang w:eastAsia="zh-CN"/>
    </w:rPr>
  </w:style>
  <w:style w:type="paragraph" w:styleId="TOCHeading">
    <w:name w:val="TOC Heading"/>
    <w:basedOn w:val="Heading1"/>
    <w:next w:val="Normal"/>
    <w:uiPriority w:val="39"/>
    <w:unhideWhenUsed/>
    <w:qFormat/>
    <w:rsid w:val="00A453F4"/>
    <w:pPr>
      <w:spacing w:before="480" w:line="276" w:lineRule="auto"/>
      <w:outlineLvl w:val="9"/>
    </w:pPr>
    <w:rPr>
      <w:bCs/>
      <w:sz w:val="28"/>
      <w:szCs w:val="28"/>
    </w:rPr>
  </w:style>
  <w:style w:type="paragraph" w:styleId="TOC1">
    <w:name w:val="toc 1"/>
    <w:basedOn w:val="Normal"/>
    <w:next w:val="Normal"/>
    <w:autoRedefine/>
    <w:uiPriority w:val="39"/>
    <w:unhideWhenUsed/>
    <w:rsid w:val="00A453F4"/>
    <w:pPr>
      <w:spacing w:before="120"/>
    </w:pPr>
    <w:rPr>
      <w:rFonts w:cstheme="minorHAnsi"/>
      <w:b/>
      <w:bCs/>
      <w:i/>
      <w:iCs/>
    </w:rPr>
  </w:style>
  <w:style w:type="character" w:styleId="Hyperlink">
    <w:name w:val="Hyperlink"/>
    <w:basedOn w:val="DefaultParagraphFont"/>
    <w:uiPriority w:val="99"/>
    <w:unhideWhenUsed/>
    <w:rsid w:val="00A453F4"/>
    <w:rPr>
      <w:color w:val="0563C1" w:themeColor="hyperlink"/>
      <w:u w:val="single"/>
    </w:rPr>
  </w:style>
  <w:style w:type="paragraph" w:styleId="TOC2">
    <w:name w:val="toc 2"/>
    <w:basedOn w:val="Normal"/>
    <w:next w:val="Normal"/>
    <w:autoRedefine/>
    <w:uiPriority w:val="39"/>
    <w:unhideWhenUsed/>
    <w:rsid w:val="00A453F4"/>
    <w:pPr>
      <w:spacing w:before="120"/>
      <w:ind w:left="240"/>
    </w:pPr>
    <w:rPr>
      <w:rFonts w:cstheme="minorHAnsi"/>
      <w:b/>
      <w:bCs/>
      <w:sz w:val="22"/>
      <w:szCs w:val="22"/>
    </w:rPr>
  </w:style>
  <w:style w:type="paragraph" w:styleId="TOC3">
    <w:name w:val="toc 3"/>
    <w:basedOn w:val="Normal"/>
    <w:next w:val="Normal"/>
    <w:autoRedefine/>
    <w:uiPriority w:val="39"/>
    <w:unhideWhenUsed/>
    <w:rsid w:val="00A453F4"/>
    <w:pPr>
      <w:ind w:left="480"/>
    </w:pPr>
    <w:rPr>
      <w:rFonts w:cstheme="minorHAnsi"/>
      <w:sz w:val="20"/>
      <w:szCs w:val="20"/>
    </w:rPr>
  </w:style>
  <w:style w:type="paragraph" w:styleId="TOC4">
    <w:name w:val="toc 4"/>
    <w:basedOn w:val="Normal"/>
    <w:next w:val="Normal"/>
    <w:autoRedefine/>
    <w:uiPriority w:val="39"/>
    <w:semiHidden/>
    <w:unhideWhenUsed/>
    <w:rsid w:val="00A453F4"/>
    <w:pPr>
      <w:ind w:left="720"/>
    </w:pPr>
    <w:rPr>
      <w:rFonts w:cstheme="minorHAnsi"/>
      <w:sz w:val="20"/>
      <w:szCs w:val="20"/>
    </w:rPr>
  </w:style>
  <w:style w:type="paragraph" w:styleId="TOC5">
    <w:name w:val="toc 5"/>
    <w:basedOn w:val="Normal"/>
    <w:next w:val="Normal"/>
    <w:autoRedefine/>
    <w:uiPriority w:val="39"/>
    <w:semiHidden/>
    <w:unhideWhenUsed/>
    <w:rsid w:val="00A453F4"/>
    <w:pPr>
      <w:ind w:left="960"/>
    </w:pPr>
    <w:rPr>
      <w:rFonts w:cstheme="minorHAnsi"/>
      <w:sz w:val="20"/>
      <w:szCs w:val="20"/>
    </w:rPr>
  </w:style>
  <w:style w:type="paragraph" w:styleId="TOC6">
    <w:name w:val="toc 6"/>
    <w:basedOn w:val="Normal"/>
    <w:next w:val="Normal"/>
    <w:autoRedefine/>
    <w:uiPriority w:val="39"/>
    <w:semiHidden/>
    <w:unhideWhenUsed/>
    <w:rsid w:val="00A453F4"/>
    <w:pPr>
      <w:ind w:left="1200"/>
    </w:pPr>
    <w:rPr>
      <w:rFonts w:cstheme="minorHAnsi"/>
      <w:sz w:val="20"/>
      <w:szCs w:val="20"/>
    </w:rPr>
  </w:style>
  <w:style w:type="paragraph" w:styleId="TOC7">
    <w:name w:val="toc 7"/>
    <w:basedOn w:val="Normal"/>
    <w:next w:val="Normal"/>
    <w:autoRedefine/>
    <w:uiPriority w:val="39"/>
    <w:semiHidden/>
    <w:unhideWhenUsed/>
    <w:rsid w:val="00A453F4"/>
    <w:pPr>
      <w:ind w:left="1440"/>
    </w:pPr>
    <w:rPr>
      <w:rFonts w:cstheme="minorHAnsi"/>
      <w:sz w:val="20"/>
      <w:szCs w:val="20"/>
    </w:rPr>
  </w:style>
  <w:style w:type="paragraph" w:styleId="TOC8">
    <w:name w:val="toc 8"/>
    <w:basedOn w:val="Normal"/>
    <w:next w:val="Normal"/>
    <w:autoRedefine/>
    <w:uiPriority w:val="39"/>
    <w:semiHidden/>
    <w:unhideWhenUsed/>
    <w:rsid w:val="00A453F4"/>
    <w:pPr>
      <w:ind w:left="1680"/>
    </w:pPr>
    <w:rPr>
      <w:rFonts w:cstheme="minorHAnsi"/>
      <w:sz w:val="20"/>
      <w:szCs w:val="20"/>
    </w:rPr>
  </w:style>
  <w:style w:type="paragraph" w:styleId="TOC9">
    <w:name w:val="toc 9"/>
    <w:basedOn w:val="Normal"/>
    <w:next w:val="Normal"/>
    <w:autoRedefine/>
    <w:uiPriority w:val="39"/>
    <w:semiHidden/>
    <w:unhideWhenUsed/>
    <w:rsid w:val="00A453F4"/>
    <w:pPr>
      <w:ind w:left="1920"/>
    </w:pPr>
    <w:rPr>
      <w:rFonts w:cstheme="minorHAnsi"/>
      <w:sz w:val="20"/>
      <w:szCs w:val="20"/>
    </w:rPr>
  </w:style>
  <w:style w:type="character" w:customStyle="1" w:styleId="Heading2Char">
    <w:name w:val="Heading 2 Char"/>
    <w:basedOn w:val="DefaultParagraphFont"/>
    <w:link w:val="Heading2"/>
    <w:uiPriority w:val="9"/>
    <w:rsid w:val="00E6395C"/>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2954B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4B0"/>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2E43B3"/>
    <w:rPr>
      <w:color w:val="605E5C"/>
      <w:shd w:val="clear" w:color="auto" w:fill="E1DFDD"/>
    </w:rPr>
  </w:style>
  <w:style w:type="character" w:customStyle="1" w:styleId="Heading3Char">
    <w:name w:val="Heading 3 Char"/>
    <w:basedOn w:val="DefaultParagraphFont"/>
    <w:link w:val="Heading3"/>
    <w:uiPriority w:val="9"/>
    <w:rsid w:val="00B84D8D"/>
    <w:rPr>
      <w:rFonts w:asciiTheme="majorHAnsi" w:eastAsiaTheme="majorEastAsia" w:hAnsiTheme="majorHAnsi" w:cstheme="majorBidi"/>
      <w:color w:val="1F3763" w:themeColor="accent1" w:themeShade="7F"/>
    </w:rPr>
  </w:style>
  <w:style w:type="paragraph" w:styleId="Revision">
    <w:name w:val="Revision"/>
    <w:hidden/>
    <w:uiPriority w:val="99"/>
    <w:semiHidden/>
    <w:rsid w:val="00581CFF"/>
    <w:rPr>
      <w:rFonts w:cs="Times New Roman"/>
    </w:rPr>
  </w:style>
  <w:style w:type="character" w:styleId="CommentReference">
    <w:name w:val="annotation reference"/>
    <w:basedOn w:val="DefaultParagraphFont"/>
    <w:uiPriority w:val="99"/>
    <w:semiHidden/>
    <w:unhideWhenUsed/>
    <w:rsid w:val="00C26A8C"/>
    <w:rPr>
      <w:sz w:val="16"/>
      <w:szCs w:val="16"/>
    </w:rPr>
  </w:style>
  <w:style w:type="paragraph" w:styleId="CommentText">
    <w:name w:val="annotation text"/>
    <w:basedOn w:val="Normal"/>
    <w:link w:val="CommentTextChar"/>
    <w:uiPriority w:val="99"/>
    <w:semiHidden/>
    <w:unhideWhenUsed/>
    <w:rsid w:val="00C26A8C"/>
    <w:rPr>
      <w:sz w:val="20"/>
      <w:szCs w:val="20"/>
    </w:rPr>
  </w:style>
  <w:style w:type="character" w:customStyle="1" w:styleId="CommentTextChar">
    <w:name w:val="Comment Text Char"/>
    <w:basedOn w:val="DefaultParagraphFont"/>
    <w:link w:val="CommentText"/>
    <w:uiPriority w:val="99"/>
    <w:semiHidden/>
    <w:rsid w:val="00C26A8C"/>
    <w:rPr>
      <w:rFonts w:cs="Times New Roman"/>
      <w:sz w:val="20"/>
      <w:szCs w:val="20"/>
    </w:rPr>
  </w:style>
  <w:style w:type="paragraph" w:styleId="CommentSubject">
    <w:name w:val="annotation subject"/>
    <w:basedOn w:val="CommentText"/>
    <w:next w:val="CommentText"/>
    <w:link w:val="CommentSubjectChar"/>
    <w:uiPriority w:val="99"/>
    <w:semiHidden/>
    <w:unhideWhenUsed/>
    <w:rsid w:val="00C26A8C"/>
    <w:rPr>
      <w:b/>
      <w:bCs/>
    </w:rPr>
  </w:style>
  <w:style w:type="character" w:customStyle="1" w:styleId="CommentSubjectChar">
    <w:name w:val="Comment Subject Char"/>
    <w:basedOn w:val="CommentTextChar"/>
    <w:link w:val="CommentSubject"/>
    <w:uiPriority w:val="99"/>
    <w:semiHidden/>
    <w:rsid w:val="00C26A8C"/>
    <w:rPr>
      <w:rFonts w:cs="Times New Roman"/>
      <w:b/>
      <w:bCs/>
      <w:sz w:val="20"/>
      <w:szCs w:val="20"/>
    </w:rPr>
  </w:style>
  <w:style w:type="character" w:styleId="Mention">
    <w:name w:val="Mention"/>
    <w:basedOn w:val="DefaultParagraphFont"/>
    <w:uiPriority w:val="99"/>
    <w:unhideWhenUsed/>
    <w:rsid w:val="0069468E"/>
    <w:rPr>
      <w:color w:val="2B579A"/>
      <w:shd w:val="clear" w:color="auto" w:fill="E1DFDD"/>
    </w:rPr>
  </w:style>
  <w:style w:type="character" w:styleId="FollowedHyperlink">
    <w:name w:val="FollowedHyperlink"/>
    <w:basedOn w:val="DefaultParagraphFont"/>
    <w:uiPriority w:val="99"/>
    <w:semiHidden/>
    <w:unhideWhenUsed/>
    <w:rsid w:val="00F75FBD"/>
    <w:rPr>
      <w:color w:val="954F72" w:themeColor="followedHyperlink"/>
      <w:u w:val="single"/>
    </w:rPr>
  </w:style>
  <w:style w:type="character" w:styleId="Strong">
    <w:name w:val="Strong"/>
    <w:basedOn w:val="DefaultParagraphFont"/>
    <w:uiPriority w:val="22"/>
    <w:qFormat/>
    <w:rsid w:val="002B59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082218">
      <w:bodyDiv w:val="1"/>
      <w:marLeft w:val="0"/>
      <w:marRight w:val="0"/>
      <w:marTop w:val="0"/>
      <w:marBottom w:val="0"/>
      <w:divBdr>
        <w:top w:val="none" w:sz="0" w:space="0" w:color="auto"/>
        <w:left w:val="none" w:sz="0" w:space="0" w:color="auto"/>
        <w:bottom w:val="none" w:sz="0" w:space="0" w:color="auto"/>
        <w:right w:val="none" w:sz="0" w:space="0" w:color="auto"/>
      </w:divBdr>
      <w:divsChild>
        <w:div w:id="64036039">
          <w:marLeft w:val="0"/>
          <w:marRight w:val="0"/>
          <w:marTop w:val="0"/>
          <w:marBottom w:val="0"/>
          <w:divBdr>
            <w:top w:val="none" w:sz="0" w:space="0" w:color="auto"/>
            <w:left w:val="none" w:sz="0" w:space="0" w:color="auto"/>
            <w:bottom w:val="none" w:sz="0" w:space="0" w:color="auto"/>
            <w:right w:val="none" w:sz="0" w:space="0" w:color="auto"/>
          </w:divBdr>
        </w:div>
        <w:div w:id="71853687">
          <w:marLeft w:val="0"/>
          <w:marRight w:val="0"/>
          <w:marTop w:val="0"/>
          <w:marBottom w:val="0"/>
          <w:divBdr>
            <w:top w:val="none" w:sz="0" w:space="0" w:color="auto"/>
            <w:left w:val="none" w:sz="0" w:space="0" w:color="auto"/>
            <w:bottom w:val="none" w:sz="0" w:space="0" w:color="auto"/>
            <w:right w:val="none" w:sz="0" w:space="0" w:color="auto"/>
          </w:divBdr>
        </w:div>
        <w:div w:id="91173436">
          <w:marLeft w:val="0"/>
          <w:marRight w:val="0"/>
          <w:marTop w:val="0"/>
          <w:marBottom w:val="0"/>
          <w:divBdr>
            <w:top w:val="none" w:sz="0" w:space="0" w:color="auto"/>
            <w:left w:val="none" w:sz="0" w:space="0" w:color="auto"/>
            <w:bottom w:val="none" w:sz="0" w:space="0" w:color="auto"/>
            <w:right w:val="none" w:sz="0" w:space="0" w:color="auto"/>
          </w:divBdr>
        </w:div>
        <w:div w:id="122314362">
          <w:marLeft w:val="0"/>
          <w:marRight w:val="0"/>
          <w:marTop w:val="0"/>
          <w:marBottom w:val="0"/>
          <w:divBdr>
            <w:top w:val="none" w:sz="0" w:space="0" w:color="auto"/>
            <w:left w:val="none" w:sz="0" w:space="0" w:color="auto"/>
            <w:bottom w:val="none" w:sz="0" w:space="0" w:color="auto"/>
            <w:right w:val="none" w:sz="0" w:space="0" w:color="auto"/>
          </w:divBdr>
        </w:div>
        <w:div w:id="149635066">
          <w:marLeft w:val="0"/>
          <w:marRight w:val="0"/>
          <w:marTop w:val="0"/>
          <w:marBottom w:val="0"/>
          <w:divBdr>
            <w:top w:val="none" w:sz="0" w:space="0" w:color="auto"/>
            <w:left w:val="none" w:sz="0" w:space="0" w:color="auto"/>
            <w:bottom w:val="none" w:sz="0" w:space="0" w:color="auto"/>
            <w:right w:val="none" w:sz="0" w:space="0" w:color="auto"/>
          </w:divBdr>
        </w:div>
        <w:div w:id="168253933">
          <w:marLeft w:val="0"/>
          <w:marRight w:val="0"/>
          <w:marTop w:val="0"/>
          <w:marBottom w:val="0"/>
          <w:divBdr>
            <w:top w:val="none" w:sz="0" w:space="0" w:color="auto"/>
            <w:left w:val="none" w:sz="0" w:space="0" w:color="auto"/>
            <w:bottom w:val="none" w:sz="0" w:space="0" w:color="auto"/>
            <w:right w:val="none" w:sz="0" w:space="0" w:color="auto"/>
          </w:divBdr>
        </w:div>
        <w:div w:id="283539120">
          <w:marLeft w:val="0"/>
          <w:marRight w:val="0"/>
          <w:marTop w:val="0"/>
          <w:marBottom w:val="0"/>
          <w:divBdr>
            <w:top w:val="none" w:sz="0" w:space="0" w:color="auto"/>
            <w:left w:val="none" w:sz="0" w:space="0" w:color="auto"/>
            <w:bottom w:val="none" w:sz="0" w:space="0" w:color="auto"/>
            <w:right w:val="none" w:sz="0" w:space="0" w:color="auto"/>
          </w:divBdr>
        </w:div>
        <w:div w:id="291405528">
          <w:marLeft w:val="0"/>
          <w:marRight w:val="0"/>
          <w:marTop w:val="0"/>
          <w:marBottom w:val="0"/>
          <w:divBdr>
            <w:top w:val="none" w:sz="0" w:space="0" w:color="auto"/>
            <w:left w:val="none" w:sz="0" w:space="0" w:color="auto"/>
            <w:bottom w:val="none" w:sz="0" w:space="0" w:color="auto"/>
            <w:right w:val="none" w:sz="0" w:space="0" w:color="auto"/>
          </w:divBdr>
        </w:div>
        <w:div w:id="297223096">
          <w:marLeft w:val="0"/>
          <w:marRight w:val="0"/>
          <w:marTop w:val="0"/>
          <w:marBottom w:val="0"/>
          <w:divBdr>
            <w:top w:val="none" w:sz="0" w:space="0" w:color="auto"/>
            <w:left w:val="none" w:sz="0" w:space="0" w:color="auto"/>
            <w:bottom w:val="none" w:sz="0" w:space="0" w:color="auto"/>
            <w:right w:val="none" w:sz="0" w:space="0" w:color="auto"/>
          </w:divBdr>
        </w:div>
        <w:div w:id="546138284">
          <w:marLeft w:val="0"/>
          <w:marRight w:val="0"/>
          <w:marTop w:val="0"/>
          <w:marBottom w:val="0"/>
          <w:divBdr>
            <w:top w:val="none" w:sz="0" w:space="0" w:color="auto"/>
            <w:left w:val="none" w:sz="0" w:space="0" w:color="auto"/>
            <w:bottom w:val="none" w:sz="0" w:space="0" w:color="auto"/>
            <w:right w:val="none" w:sz="0" w:space="0" w:color="auto"/>
          </w:divBdr>
        </w:div>
        <w:div w:id="561790978">
          <w:marLeft w:val="0"/>
          <w:marRight w:val="0"/>
          <w:marTop w:val="0"/>
          <w:marBottom w:val="0"/>
          <w:divBdr>
            <w:top w:val="none" w:sz="0" w:space="0" w:color="auto"/>
            <w:left w:val="none" w:sz="0" w:space="0" w:color="auto"/>
            <w:bottom w:val="none" w:sz="0" w:space="0" w:color="auto"/>
            <w:right w:val="none" w:sz="0" w:space="0" w:color="auto"/>
          </w:divBdr>
        </w:div>
        <w:div w:id="660234776">
          <w:marLeft w:val="0"/>
          <w:marRight w:val="0"/>
          <w:marTop w:val="0"/>
          <w:marBottom w:val="0"/>
          <w:divBdr>
            <w:top w:val="none" w:sz="0" w:space="0" w:color="auto"/>
            <w:left w:val="none" w:sz="0" w:space="0" w:color="auto"/>
            <w:bottom w:val="none" w:sz="0" w:space="0" w:color="auto"/>
            <w:right w:val="none" w:sz="0" w:space="0" w:color="auto"/>
          </w:divBdr>
        </w:div>
        <w:div w:id="765344005">
          <w:marLeft w:val="0"/>
          <w:marRight w:val="0"/>
          <w:marTop w:val="0"/>
          <w:marBottom w:val="0"/>
          <w:divBdr>
            <w:top w:val="none" w:sz="0" w:space="0" w:color="auto"/>
            <w:left w:val="none" w:sz="0" w:space="0" w:color="auto"/>
            <w:bottom w:val="none" w:sz="0" w:space="0" w:color="auto"/>
            <w:right w:val="none" w:sz="0" w:space="0" w:color="auto"/>
          </w:divBdr>
        </w:div>
        <w:div w:id="778990409">
          <w:marLeft w:val="0"/>
          <w:marRight w:val="0"/>
          <w:marTop w:val="0"/>
          <w:marBottom w:val="0"/>
          <w:divBdr>
            <w:top w:val="none" w:sz="0" w:space="0" w:color="auto"/>
            <w:left w:val="none" w:sz="0" w:space="0" w:color="auto"/>
            <w:bottom w:val="none" w:sz="0" w:space="0" w:color="auto"/>
            <w:right w:val="none" w:sz="0" w:space="0" w:color="auto"/>
          </w:divBdr>
        </w:div>
        <w:div w:id="804859796">
          <w:marLeft w:val="0"/>
          <w:marRight w:val="0"/>
          <w:marTop w:val="0"/>
          <w:marBottom w:val="0"/>
          <w:divBdr>
            <w:top w:val="none" w:sz="0" w:space="0" w:color="auto"/>
            <w:left w:val="none" w:sz="0" w:space="0" w:color="auto"/>
            <w:bottom w:val="none" w:sz="0" w:space="0" w:color="auto"/>
            <w:right w:val="none" w:sz="0" w:space="0" w:color="auto"/>
          </w:divBdr>
        </w:div>
        <w:div w:id="807750413">
          <w:marLeft w:val="0"/>
          <w:marRight w:val="0"/>
          <w:marTop w:val="0"/>
          <w:marBottom w:val="0"/>
          <w:divBdr>
            <w:top w:val="none" w:sz="0" w:space="0" w:color="auto"/>
            <w:left w:val="none" w:sz="0" w:space="0" w:color="auto"/>
            <w:bottom w:val="none" w:sz="0" w:space="0" w:color="auto"/>
            <w:right w:val="none" w:sz="0" w:space="0" w:color="auto"/>
          </w:divBdr>
        </w:div>
        <w:div w:id="812253923">
          <w:marLeft w:val="0"/>
          <w:marRight w:val="0"/>
          <w:marTop w:val="0"/>
          <w:marBottom w:val="0"/>
          <w:divBdr>
            <w:top w:val="none" w:sz="0" w:space="0" w:color="auto"/>
            <w:left w:val="none" w:sz="0" w:space="0" w:color="auto"/>
            <w:bottom w:val="none" w:sz="0" w:space="0" w:color="auto"/>
            <w:right w:val="none" w:sz="0" w:space="0" w:color="auto"/>
          </w:divBdr>
        </w:div>
        <w:div w:id="895629557">
          <w:marLeft w:val="0"/>
          <w:marRight w:val="0"/>
          <w:marTop w:val="0"/>
          <w:marBottom w:val="0"/>
          <w:divBdr>
            <w:top w:val="none" w:sz="0" w:space="0" w:color="auto"/>
            <w:left w:val="none" w:sz="0" w:space="0" w:color="auto"/>
            <w:bottom w:val="none" w:sz="0" w:space="0" w:color="auto"/>
            <w:right w:val="none" w:sz="0" w:space="0" w:color="auto"/>
          </w:divBdr>
        </w:div>
        <w:div w:id="904532183">
          <w:marLeft w:val="0"/>
          <w:marRight w:val="0"/>
          <w:marTop w:val="0"/>
          <w:marBottom w:val="0"/>
          <w:divBdr>
            <w:top w:val="none" w:sz="0" w:space="0" w:color="auto"/>
            <w:left w:val="none" w:sz="0" w:space="0" w:color="auto"/>
            <w:bottom w:val="none" w:sz="0" w:space="0" w:color="auto"/>
            <w:right w:val="none" w:sz="0" w:space="0" w:color="auto"/>
          </w:divBdr>
        </w:div>
        <w:div w:id="1076629826">
          <w:marLeft w:val="0"/>
          <w:marRight w:val="0"/>
          <w:marTop w:val="0"/>
          <w:marBottom w:val="0"/>
          <w:divBdr>
            <w:top w:val="none" w:sz="0" w:space="0" w:color="auto"/>
            <w:left w:val="none" w:sz="0" w:space="0" w:color="auto"/>
            <w:bottom w:val="none" w:sz="0" w:space="0" w:color="auto"/>
            <w:right w:val="none" w:sz="0" w:space="0" w:color="auto"/>
          </w:divBdr>
        </w:div>
        <w:div w:id="1089545990">
          <w:marLeft w:val="0"/>
          <w:marRight w:val="0"/>
          <w:marTop w:val="0"/>
          <w:marBottom w:val="0"/>
          <w:divBdr>
            <w:top w:val="none" w:sz="0" w:space="0" w:color="auto"/>
            <w:left w:val="none" w:sz="0" w:space="0" w:color="auto"/>
            <w:bottom w:val="none" w:sz="0" w:space="0" w:color="auto"/>
            <w:right w:val="none" w:sz="0" w:space="0" w:color="auto"/>
          </w:divBdr>
        </w:div>
        <w:div w:id="1165632152">
          <w:marLeft w:val="0"/>
          <w:marRight w:val="0"/>
          <w:marTop w:val="0"/>
          <w:marBottom w:val="0"/>
          <w:divBdr>
            <w:top w:val="none" w:sz="0" w:space="0" w:color="auto"/>
            <w:left w:val="none" w:sz="0" w:space="0" w:color="auto"/>
            <w:bottom w:val="none" w:sz="0" w:space="0" w:color="auto"/>
            <w:right w:val="none" w:sz="0" w:space="0" w:color="auto"/>
          </w:divBdr>
        </w:div>
        <w:div w:id="1182162823">
          <w:marLeft w:val="0"/>
          <w:marRight w:val="0"/>
          <w:marTop w:val="0"/>
          <w:marBottom w:val="0"/>
          <w:divBdr>
            <w:top w:val="none" w:sz="0" w:space="0" w:color="auto"/>
            <w:left w:val="none" w:sz="0" w:space="0" w:color="auto"/>
            <w:bottom w:val="none" w:sz="0" w:space="0" w:color="auto"/>
            <w:right w:val="none" w:sz="0" w:space="0" w:color="auto"/>
          </w:divBdr>
        </w:div>
        <w:div w:id="1263338795">
          <w:marLeft w:val="0"/>
          <w:marRight w:val="0"/>
          <w:marTop w:val="0"/>
          <w:marBottom w:val="0"/>
          <w:divBdr>
            <w:top w:val="none" w:sz="0" w:space="0" w:color="auto"/>
            <w:left w:val="none" w:sz="0" w:space="0" w:color="auto"/>
            <w:bottom w:val="none" w:sz="0" w:space="0" w:color="auto"/>
            <w:right w:val="none" w:sz="0" w:space="0" w:color="auto"/>
          </w:divBdr>
        </w:div>
        <w:div w:id="1432818065">
          <w:marLeft w:val="0"/>
          <w:marRight w:val="0"/>
          <w:marTop w:val="0"/>
          <w:marBottom w:val="0"/>
          <w:divBdr>
            <w:top w:val="none" w:sz="0" w:space="0" w:color="auto"/>
            <w:left w:val="none" w:sz="0" w:space="0" w:color="auto"/>
            <w:bottom w:val="none" w:sz="0" w:space="0" w:color="auto"/>
            <w:right w:val="none" w:sz="0" w:space="0" w:color="auto"/>
          </w:divBdr>
        </w:div>
        <w:div w:id="1467317050">
          <w:marLeft w:val="0"/>
          <w:marRight w:val="0"/>
          <w:marTop w:val="0"/>
          <w:marBottom w:val="0"/>
          <w:divBdr>
            <w:top w:val="none" w:sz="0" w:space="0" w:color="auto"/>
            <w:left w:val="none" w:sz="0" w:space="0" w:color="auto"/>
            <w:bottom w:val="none" w:sz="0" w:space="0" w:color="auto"/>
            <w:right w:val="none" w:sz="0" w:space="0" w:color="auto"/>
          </w:divBdr>
        </w:div>
        <w:div w:id="1497648237">
          <w:marLeft w:val="0"/>
          <w:marRight w:val="0"/>
          <w:marTop w:val="0"/>
          <w:marBottom w:val="0"/>
          <w:divBdr>
            <w:top w:val="none" w:sz="0" w:space="0" w:color="auto"/>
            <w:left w:val="none" w:sz="0" w:space="0" w:color="auto"/>
            <w:bottom w:val="none" w:sz="0" w:space="0" w:color="auto"/>
            <w:right w:val="none" w:sz="0" w:space="0" w:color="auto"/>
          </w:divBdr>
        </w:div>
        <w:div w:id="1525094517">
          <w:marLeft w:val="0"/>
          <w:marRight w:val="0"/>
          <w:marTop w:val="0"/>
          <w:marBottom w:val="0"/>
          <w:divBdr>
            <w:top w:val="none" w:sz="0" w:space="0" w:color="auto"/>
            <w:left w:val="none" w:sz="0" w:space="0" w:color="auto"/>
            <w:bottom w:val="none" w:sz="0" w:space="0" w:color="auto"/>
            <w:right w:val="none" w:sz="0" w:space="0" w:color="auto"/>
          </w:divBdr>
        </w:div>
        <w:div w:id="1693188331">
          <w:marLeft w:val="0"/>
          <w:marRight w:val="0"/>
          <w:marTop w:val="0"/>
          <w:marBottom w:val="0"/>
          <w:divBdr>
            <w:top w:val="none" w:sz="0" w:space="0" w:color="auto"/>
            <w:left w:val="none" w:sz="0" w:space="0" w:color="auto"/>
            <w:bottom w:val="none" w:sz="0" w:space="0" w:color="auto"/>
            <w:right w:val="none" w:sz="0" w:space="0" w:color="auto"/>
          </w:divBdr>
        </w:div>
        <w:div w:id="1737167559">
          <w:marLeft w:val="0"/>
          <w:marRight w:val="0"/>
          <w:marTop w:val="0"/>
          <w:marBottom w:val="0"/>
          <w:divBdr>
            <w:top w:val="none" w:sz="0" w:space="0" w:color="auto"/>
            <w:left w:val="none" w:sz="0" w:space="0" w:color="auto"/>
            <w:bottom w:val="none" w:sz="0" w:space="0" w:color="auto"/>
            <w:right w:val="none" w:sz="0" w:space="0" w:color="auto"/>
          </w:divBdr>
        </w:div>
        <w:div w:id="1901936476">
          <w:marLeft w:val="0"/>
          <w:marRight w:val="0"/>
          <w:marTop w:val="0"/>
          <w:marBottom w:val="0"/>
          <w:divBdr>
            <w:top w:val="none" w:sz="0" w:space="0" w:color="auto"/>
            <w:left w:val="none" w:sz="0" w:space="0" w:color="auto"/>
            <w:bottom w:val="none" w:sz="0" w:space="0" w:color="auto"/>
            <w:right w:val="none" w:sz="0" w:space="0" w:color="auto"/>
          </w:divBdr>
        </w:div>
        <w:div w:id="1969237708">
          <w:marLeft w:val="0"/>
          <w:marRight w:val="0"/>
          <w:marTop w:val="0"/>
          <w:marBottom w:val="0"/>
          <w:divBdr>
            <w:top w:val="none" w:sz="0" w:space="0" w:color="auto"/>
            <w:left w:val="none" w:sz="0" w:space="0" w:color="auto"/>
            <w:bottom w:val="none" w:sz="0" w:space="0" w:color="auto"/>
            <w:right w:val="none" w:sz="0" w:space="0" w:color="auto"/>
          </w:divBdr>
        </w:div>
        <w:div w:id="2053919811">
          <w:marLeft w:val="0"/>
          <w:marRight w:val="0"/>
          <w:marTop w:val="0"/>
          <w:marBottom w:val="0"/>
          <w:divBdr>
            <w:top w:val="none" w:sz="0" w:space="0" w:color="auto"/>
            <w:left w:val="none" w:sz="0" w:space="0" w:color="auto"/>
            <w:bottom w:val="none" w:sz="0" w:space="0" w:color="auto"/>
            <w:right w:val="none" w:sz="0" w:space="0" w:color="auto"/>
          </w:divBdr>
        </w:div>
        <w:div w:id="2115317693">
          <w:marLeft w:val="0"/>
          <w:marRight w:val="0"/>
          <w:marTop w:val="0"/>
          <w:marBottom w:val="0"/>
          <w:divBdr>
            <w:top w:val="none" w:sz="0" w:space="0" w:color="auto"/>
            <w:left w:val="none" w:sz="0" w:space="0" w:color="auto"/>
            <w:bottom w:val="none" w:sz="0" w:space="0" w:color="auto"/>
            <w:right w:val="none" w:sz="0" w:space="0" w:color="auto"/>
          </w:divBdr>
        </w:div>
        <w:div w:id="2138450051">
          <w:marLeft w:val="0"/>
          <w:marRight w:val="0"/>
          <w:marTop w:val="0"/>
          <w:marBottom w:val="0"/>
          <w:divBdr>
            <w:top w:val="none" w:sz="0" w:space="0" w:color="auto"/>
            <w:left w:val="none" w:sz="0" w:space="0" w:color="auto"/>
            <w:bottom w:val="none" w:sz="0" w:space="0" w:color="auto"/>
            <w:right w:val="none" w:sz="0" w:space="0" w:color="auto"/>
          </w:divBdr>
        </w:div>
        <w:div w:id="2142074097">
          <w:marLeft w:val="0"/>
          <w:marRight w:val="0"/>
          <w:marTop w:val="0"/>
          <w:marBottom w:val="0"/>
          <w:divBdr>
            <w:top w:val="none" w:sz="0" w:space="0" w:color="auto"/>
            <w:left w:val="none" w:sz="0" w:space="0" w:color="auto"/>
            <w:bottom w:val="none" w:sz="0" w:space="0" w:color="auto"/>
            <w:right w:val="none" w:sz="0" w:space="0" w:color="auto"/>
          </w:divBdr>
        </w:div>
      </w:divsChild>
    </w:div>
    <w:div w:id="1993022987">
      <w:bodyDiv w:val="1"/>
      <w:marLeft w:val="0"/>
      <w:marRight w:val="0"/>
      <w:marTop w:val="0"/>
      <w:marBottom w:val="0"/>
      <w:divBdr>
        <w:top w:val="none" w:sz="0" w:space="0" w:color="auto"/>
        <w:left w:val="none" w:sz="0" w:space="0" w:color="auto"/>
        <w:bottom w:val="none" w:sz="0" w:space="0" w:color="auto"/>
        <w:right w:val="none" w:sz="0" w:space="0" w:color="auto"/>
      </w:divBdr>
      <w:divsChild>
        <w:div w:id="89007578">
          <w:marLeft w:val="0"/>
          <w:marRight w:val="0"/>
          <w:marTop w:val="0"/>
          <w:marBottom w:val="0"/>
          <w:divBdr>
            <w:top w:val="none" w:sz="0" w:space="0" w:color="auto"/>
            <w:left w:val="none" w:sz="0" w:space="0" w:color="auto"/>
            <w:bottom w:val="none" w:sz="0" w:space="0" w:color="auto"/>
            <w:right w:val="none" w:sz="0" w:space="0" w:color="auto"/>
          </w:divBdr>
        </w:div>
        <w:div w:id="124468569">
          <w:marLeft w:val="0"/>
          <w:marRight w:val="0"/>
          <w:marTop w:val="0"/>
          <w:marBottom w:val="0"/>
          <w:divBdr>
            <w:top w:val="none" w:sz="0" w:space="0" w:color="auto"/>
            <w:left w:val="none" w:sz="0" w:space="0" w:color="auto"/>
            <w:bottom w:val="none" w:sz="0" w:space="0" w:color="auto"/>
            <w:right w:val="none" w:sz="0" w:space="0" w:color="auto"/>
          </w:divBdr>
        </w:div>
        <w:div w:id="271017029">
          <w:marLeft w:val="0"/>
          <w:marRight w:val="0"/>
          <w:marTop w:val="0"/>
          <w:marBottom w:val="0"/>
          <w:divBdr>
            <w:top w:val="none" w:sz="0" w:space="0" w:color="auto"/>
            <w:left w:val="none" w:sz="0" w:space="0" w:color="auto"/>
            <w:bottom w:val="none" w:sz="0" w:space="0" w:color="auto"/>
            <w:right w:val="none" w:sz="0" w:space="0" w:color="auto"/>
          </w:divBdr>
        </w:div>
        <w:div w:id="301082994">
          <w:marLeft w:val="0"/>
          <w:marRight w:val="0"/>
          <w:marTop w:val="0"/>
          <w:marBottom w:val="0"/>
          <w:divBdr>
            <w:top w:val="none" w:sz="0" w:space="0" w:color="auto"/>
            <w:left w:val="none" w:sz="0" w:space="0" w:color="auto"/>
            <w:bottom w:val="none" w:sz="0" w:space="0" w:color="auto"/>
            <w:right w:val="none" w:sz="0" w:space="0" w:color="auto"/>
          </w:divBdr>
        </w:div>
        <w:div w:id="358624799">
          <w:marLeft w:val="0"/>
          <w:marRight w:val="0"/>
          <w:marTop w:val="0"/>
          <w:marBottom w:val="0"/>
          <w:divBdr>
            <w:top w:val="none" w:sz="0" w:space="0" w:color="auto"/>
            <w:left w:val="none" w:sz="0" w:space="0" w:color="auto"/>
            <w:bottom w:val="none" w:sz="0" w:space="0" w:color="auto"/>
            <w:right w:val="none" w:sz="0" w:space="0" w:color="auto"/>
          </w:divBdr>
        </w:div>
        <w:div w:id="463162571">
          <w:marLeft w:val="0"/>
          <w:marRight w:val="0"/>
          <w:marTop w:val="0"/>
          <w:marBottom w:val="0"/>
          <w:divBdr>
            <w:top w:val="none" w:sz="0" w:space="0" w:color="auto"/>
            <w:left w:val="none" w:sz="0" w:space="0" w:color="auto"/>
            <w:bottom w:val="none" w:sz="0" w:space="0" w:color="auto"/>
            <w:right w:val="none" w:sz="0" w:space="0" w:color="auto"/>
          </w:divBdr>
        </w:div>
        <w:div w:id="490829145">
          <w:marLeft w:val="0"/>
          <w:marRight w:val="0"/>
          <w:marTop w:val="0"/>
          <w:marBottom w:val="0"/>
          <w:divBdr>
            <w:top w:val="none" w:sz="0" w:space="0" w:color="auto"/>
            <w:left w:val="none" w:sz="0" w:space="0" w:color="auto"/>
            <w:bottom w:val="none" w:sz="0" w:space="0" w:color="auto"/>
            <w:right w:val="none" w:sz="0" w:space="0" w:color="auto"/>
          </w:divBdr>
        </w:div>
        <w:div w:id="497041158">
          <w:marLeft w:val="0"/>
          <w:marRight w:val="0"/>
          <w:marTop w:val="0"/>
          <w:marBottom w:val="0"/>
          <w:divBdr>
            <w:top w:val="none" w:sz="0" w:space="0" w:color="auto"/>
            <w:left w:val="none" w:sz="0" w:space="0" w:color="auto"/>
            <w:bottom w:val="none" w:sz="0" w:space="0" w:color="auto"/>
            <w:right w:val="none" w:sz="0" w:space="0" w:color="auto"/>
          </w:divBdr>
        </w:div>
        <w:div w:id="509952933">
          <w:marLeft w:val="0"/>
          <w:marRight w:val="0"/>
          <w:marTop w:val="0"/>
          <w:marBottom w:val="0"/>
          <w:divBdr>
            <w:top w:val="none" w:sz="0" w:space="0" w:color="auto"/>
            <w:left w:val="none" w:sz="0" w:space="0" w:color="auto"/>
            <w:bottom w:val="none" w:sz="0" w:space="0" w:color="auto"/>
            <w:right w:val="none" w:sz="0" w:space="0" w:color="auto"/>
          </w:divBdr>
        </w:div>
        <w:div w:id="512384417">
          <w:marLeft w:val="0"/>
          <w:marRight w:val="0"/>
          <w:marTop w:val="0"/>
          <w:marBottom w:val="0"/>
          <w:divBdr>
            <w:top w:val="none" w:sz="0" w:space="0" w:color="auto"/>
            <w:left w:val="none" w:sz="0" w:space="0" w:color="auto"/>
            <w:bottom w:val="none" w:sz="0" w:space="0" w:color="auto"/>
            <w:right w:val="none" w:sz="0" w:space="0" w:color="auto"/>
          </w:divBdr>
        </w:div>
        <w:div w:id="537357754">
          <w:marLeft w:val="0"/>
          <w:marRight w:val="0"/>
          <w:marTop w:val="0"/>
          <w:marBottom w:val="0"/>
          <w:divBdr>
            <w:top w:val="none" w:sz="0" w:space="0" w:color="auto"/>
            <w:left w:val="none" w:sz="0" w:space="0" w:color="auto"/>
            <w:bottom w:val="none" w:sz="0" w:space="0" w:color="auto"/>
            <w:right w:val="none" w:sz="0" w:space="0" w:color="auto"/>
          </w:divBdr>
        </w:div>
        <w:div w:id="548423623">
          <w:marLeft w:val="0"/>
          <w:marRight w:val="0"/>
          <w:marTop w:val="0"/>
          <w:marBottom w:val="0"/>
          <w:divBdr>
            <w:top w:val="none" w:sz="0" w:space="0" w:color="auto"/>
            <w:left w:val="none" w:sz="0" w:space="0" w:color="auto"/>
            <w:bottom w:val="none" w:sz="0" w:space="0" w:color="auto"/>
            <w:right w:val="none" w:sz="0" w:space="0" w:color="auto"/>
          </w:divBdr>
        </w:div>
        <w:div w:id="630525592">
          <w:marLeft w:val="0"/>
          <w:marRight w:val="0"/>
          <w:marTop w:val="0"/>
          <w:marBottom w:val="0"/>
          <w:divBdr>
            <w:top w:val="none" w:sz="0" w:space="0" w:color="auto"/>
            <w:left w:val="none" w:sz="0" w:space="0" w:color="auto"/>
            <w:bottom w:val="none" w:sz="0" w:space="0" w:color="auto"/>
            <w:right w:val="none" w:sz="0" w:space="0" w:color="auto"/>
          </w:divBdr>
        </w:div>
        <w:div w:id="776295248">
          <w:marLeft w:val="0"/>
          <w:marRight w:val="0"/>
          <w:marTop w:val="0"/>
          <w:marBottom w:val="0"/>
          <w:divBdr>
            <w:top w:val="none" w:sz="0" w:space="0" w:color="auto"/>
            <w:left w:val="none" w:sz="0" w:space="0" w:color="auto"/>
            <w:bottom w:val="none" w:sz="0" w:space="0" w:color="auto"/>
            <w:right w:val="none" w:sz="0" w:space="0" w:color="auto"/>
          </w:divBdr>
        </w:div>
        <w:div w:id="780808673">
          <w:marLeft w:val="0"/>
          <w:marRight w:val="0"/>
          <w:marTop w:val="0"/>
          <w:marBottom w:val="0"/>
          <w:divBdr>
            <w:top w:val="none" w:sz="0" w:space="0" w:color="auto"/>
            <w:left w:val="none" w:sz="0" w:space="0" w:color="auto"/>
            <w:bottom w:val="none" w:sz="0" w:space="0" w:color="auto"/>
            <w:right w:val="none" w:sz="0" w:space="0" w:color="auto"/>
          </w:divBdr>
        </w:div>
        <w:div w:id="839732527">
          <w:marLeft w:val="0"/>
          <w:marRight w:val="0"/>
          <w:marTop w:val="0"/>
          <w:marBottom w:val="0"/>
          <w:divBdr>
            <w:top w:val="none" w:sz="0" w:space="0" w:color="auto"/>
            <w:left w:val="none" w:sz="0" w:space="0" w:color="auto"/>
            <w:bottom w:val="none" w:sz="0" w:space="0" w:color="auto"/>
            <w:right w:val="none" w:sz="0" w:space="0" w:color="auto"/>
          </w:divBdr>
        </w:div>
        <w:div w:id="926110140">
          <w:marLeft w:val="0"/>
          <w:marRight w:val="0"/>
          <w:marTop w:val="0"/>
          <w:marBottom w:val="0"/>
          <w:divBdr>
            <w:top w:val="none" w:sz="0" w:space="0" w:color="auto"/>
            <w:left w:val="none" w:sz="0" w:space="0" w:color="auto"/>
            <w:bottom w:val="none" w:sz="0" w:space="0" w:color="auto"/>
            <w:right w:val="none" w:sz="0" w:space="0" w:color="auto"/>
          </w:divBdr>
        </w:div>
        <w:div w:id="988364667">
          <w:marLeft w:val="0"/>
          <w:marRight w:val="0"/>
          <w:marTop w:val="0"/>
          <w:marBottom w:val="0"/>
          <w:divBdr>
            <w:top w:val="none" w:sz="0" w:space="0" w:color="auto"/>
            <w:left w:val="none" w:sz="0" w:space="0" w:color="auto"/>
            <w:bottom w:val="none" w:sz="0" w:space="0" w:color="auto"/>
            <w:right w:val="none" w:sz="0" w:space="0" w:color="auto"/>
          </w:divBdr>
        </w:div>
        <w:div w:id="1023284422">
          <w:marLeft w:val="0"/>
          <w:marRight w:val="0"/>
          <w:marTop w:val="0"/>
          <w:marBottom w:val="0"/>
          <w:divBdr>
            <w:top w:val="none" w:sz="0" w:space="0" w:color="auto"/>
            <w:left w:val="none" w:sz="0" w:space="0" w:color="auto"/>
            <w:bottom w:val="none" w:sz="0" w:space="0" w:color="auto"/>
            <w:right w:val="none" w:sz="0" w:space="0" w:color="auto"/>
          </w:divBdr>
        </w:div>
        <w:div w:id="1256279285">
          <w:marLeft w:val="0"/>
          <w:marRight w:val="0"/>
          <w:marTop w:val="0"/>
          <w:marBottom w:val="0"/>
          <w:divBdr>
            <w:top w:val="none" w:sz="0" w:space="0" w:color="auto"/>
            <w:left w:val="none" w:sz="0" w:space="0" w:color="auto"/>
            <w:bottom w:val="none" w:sz="0" w:space="0" w:color="auto"/>
            <w:right w:val="none" w:sz="0" w:space="0" w:color="auto"/>
          </w:divBdr>
        </w:div>
        <w:div w:id="1269048957">
          <w:marLeft w:val="0"/>
          <w:marRight w:val="0"/>
          <w:marTop w:val="0"/>
          <w:marBottom w:val="0"/>
          <w:divBdr>
            <w:top w:val="none" w:sz="0" w:space="0" w:color="auto"/>
            <w:left w:val="none" w:sz="0" w:space="0" w:color="auto"/>
            <w:bottom w:val="none" w:sz="0" w:space="0" w:color="auto"/>
            <w:right w:val="none" w:sz="0" w:space="0" w:color="auto"/>
          </w:divBdr>
        </w:div>
        <w:div w:id="1371372306">
          <w:marLeft w:val="0"/>
          <w:marRight w:val="0"/>
          <w:marTop w:val="0"/>
          <w:marBottom w:val="0"/>
          <w:divBdr>
            <w:top w:val="none" w:sz="0" w:space="0" w:color="auto"/>
            <w:left w:val="none" w:sz="0" w:space="0" w:color="auto"/>
            <w:bottom w:val="none" w:sz="0" w:space="0" w:color="auto"/>
            <w:right w:val="none" w:sz="0" w:space="0" w:color="auto"/>
          </w:divBdr>
        </w:div>
        <w:div w:id="1410467057">
          <w:marLeft w:val="0"/>
          <w:marRight w:val="0"/>
          <w:marTop w:val="0"/>
          <w:marBottom w:val="0"/>
          <w:divBdr>
            <w:top w:val="none" w:sz="0" w:space="0" w:color="auto"/>
            <w:left w:val="none" w:sz="0" w:space="0" w:color="auto"/>
            <w:bottom w:val="none" w:sz="0" w:space="0" w:color="auto"/>
            <w:right w:val="none" w:sz="0" w:space="0" w:color="auto"/>
          </w:divBdr>
        </w:div>
        <w:div w:id="1519008566">
          <w:marLeft w:val="0"/>
          <w:marRight w:val="0"/>
          <w:marTop w:val="0"/>
          <w:marBottom w:val="0"/>
          <w:divBdr>
            <w:top w:val="none" w:sz="0" w:space="0" w:color="auto"/>
            <w:left w:val="none" w:sz="0" w:space="0" w:color="auto"/>
            <w:bottom w:val="none" w:sz="0" w:space="0" w:color="auto"/>
            <w:right w:val="none" w:sz="0" w:space="0" w:color="auto"/>
          </w:divBdr>
        </w:div>
        <w:div w:id="1530756004">
          <w:marLeft w:val="0"/>
          <w:marRight w:val="0"/>
          <w:marTop w:val="0"/>
          <w:marBottom w:val="0"/>
          <w:divBdr>
            <w:top w:val="none" w:sz="0" w:space="0" w:color="auto"/>
            <w:left w:val="none" w:sz="0" w:space="0" w:color="auto"/>
            <w:bottom w:val="none" w:sz="0" w:space="0" w:color="auto"/>
            <w:right w:val="none" w:sz="0" w:space="0" w:color="auto"/>
          </w:divBdr>
        </w:div>
        <w:div w:id="1743285957">
          <w:marLeft w:val="0"/>
          <w:marRight w:val="0"/>
          <w:marTop w:val="0"/>
          <w:marBottom w:val="0"/>
          <w:divBdr>
            <w:top w:val="none" w:sz="0" w:space="0" w:color="auto"/>
            <w:left w:val="none" w:sz="0" w:space="0" w:color="auto"/>
            <w:bottom w:val="none" w:sz="0" w:space="0" w:color="auto"/>
            <w:right w:val="none" w:sz="0" w:space="0" w:color="auto"/>
          </w:divBdr>
        </w:div>
        <w:div w:id="1752851576">
          <w:marLeft w:val="0"/>
          <w:marRight w:val="0"/>
          <w:marTop w:val="0"/>
          <w:marBottom w:val="0"/>
          <w:divBdr>
            <w:top w:val="none" w:sz="0" w:space="0" w:color="auto"/>
            <w:left w:val="none" w:sz="0" w:space="0" w:color="auto"/>
            <w:bottom w:val="none" w:sz="0" w:space="0" w:color="auto"/>
            <w:right w:val="none" w:sz="0" w:space="0" w:color="auto"/>
          </w:divBdr>
        </w:div>
        <w:div w:id="1760325679">
          <w:marLeft w:val="0"/>
          <w:marRight w:val="0"/>
          <w:marTop w:val="0"/>
          <w:marBottom w:val="0"/>
          <w:divBdr>
            <w:top w:val="none" w:sz="0" w:space="0" w:color="auto"/>
            <w:left w:val="none" w:sz="0" w:space="0" w:color="auto"/>
            <w:bottom w:val="none" w:sz="0" w:space="0" w:color="auto"/>
            <w:right w:val="none" w:sz="0" w:space="0" w:color="auto"/>
          </w:divBdr>
        </w:div>
        <w:div w:id="1801613283">
          <w:marLeft w:val="0"/>
          <w:marRight w:val="0"/>
          <w:marTop w:val="0"/>
          <w:marBottom w:val="0"/>
          <w:divBdr>
            <w:top w:val="none" w:sz="0" w:space="0" w:color="auto"/>
            <w:left w:val="none" w:sz="0" w:space="0" w:color="auto"/>
            <w:bottom w:val="none" w:sz="0" w:space="0" w:color="auto"/>
            <w:right w:val="none" w:sz="0" w:space="0" w:color="auto"/>
          </w:divBdr>
        </w:div>
        <w:div w:id="1887789704">
          <w:marLeft w:val="0"/>
          <w:marRight w:val="0"/>
          <w:marTop w:val="0"/>
          <w:marBottom w:val="0"/>
          <w:divBdr>
            <w:top w:val="none" w:sz="0" w:space="0" w:color="auto"/>
            <w:left w:val="none" w:sz="0" w:space="0" w:color="auto"/>
            <w:bottom w:val="none" w:sz="0" w:space="0" w:color="auto"/>
            <w:right w:val="none" w:sz="0" w:space="0" w:color="auto"/>
          </w:divBdr>
        </w:div>
        <w:div w:id="1934360767">
          <w:marLeft w:val="0"/>
          <w:marRight w:val="0"/>
          <w:marTop w:val="0"/>
          <w:marBottom w:val="0"/>
          <w:divBdr>
            <w:top w:val="none" w:sz="0" w:space="0" w:color="auto"/>
            <w:left w:val="none" w:sz="0" w:space="0" w:color="auto"/>
            <w:bottom w:val="none" w:sz="0" w:space="0" w:color="auto"/>
            <w:right w:val="none" w:sz="0" w:space="0" w:color="auto"/>
          </w:divBdr>
        </w:div>
        <w:div w:id="2027366151">
          <w:marLeft w:val="0"/>
          <w:marRight w:val="0"/>
          <w:marTop w:val="0"/>
          <w:marBottom w:val="0"/>
          <w:divBdr>
            <w:top w:val="none" w:sz="0" w:space="0" w:color="auto"/>
            <w:left w:val="none" w:sz="0" w:space="0" w:color="auto"/>
            <w:bottom w:val="none" w:sz="0" w:space="0" w:color="auto"/>
            <w:right w:val="none" w:sz="0" w:space="0" w:color="auto"/>
          </w:divBdr>
        </w:div>
        <w:div w:id="208210074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census.gov/programs-surveys/acs" TargetMode="External"/><Relationship Id="rId32"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ncei.noaa.gov/access/billions/" TargetMode="External"/><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e9421992-1748-4946-9df7-7dcc5eeedee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13BDF199B2F7A44A7B3C70F4EA79324" ma:contentTypeVersion="11" ma:contentTypeDescription="Create a new document." ma:contentTypeScope="" ma:versionID="744c191cc933c547e6a2a45200e01dac">
  <xsd:schema xmlns:xsd="http://www.w3.org/2001/XMLSchema" xmlns:xs="http://www.w3.org/2001/XMLSchema" xmlns:p="http://schemas.microsoft.com/office/2006/metadata/properties" xmlns:ns3="e9421992-1748-4946-9df7-7dcc5eeedeef" targetNamespace="http://schemas.microsoft.com/office/2006/metadata/properties" ma:root="true" ma:fieldsID="55131b0b586a4bdbb56d0d1f82596059" ns3:_="">
    <xsd:import namespace="e9421992-1748-4946-9df7-7dcc5eeede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421992-1748-4946-9df7-7dcc5eeede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4208C2-3A71-43F0-8434-1F235F3CAF40}">
  <ds:schemaRefs>
    <ds:schemaRef ds:uri="http://schemas.microsoft.com/sharepoint/v3/contenttype/forms"/>
  </ds:schemaRefs>
</ds:datastoreItem>
</file>

<file path=customXml/itemProps2.xml><?xml version="1.0" encoding="utf-8"?>
<ds:datastoreItem xmlns:ds="http://schemas.openxmlformats.org/officeDocument/2006/customXml" ds:itemID="{226D5398-3386-5140-8C2A-83C5C5E1AA67}">
  <ds:schemaRefs>
    <ds:schemaRef ds:uri="http://schemas.openxmlformats.org/officeDocument/2006/bibliography"/>
  </ds:schemaRefs>
</ds:datastoreItem>
</file>

<file path=customXml/itemProps3.xml><?xml version="1.0" encoding="utf-8"?>
<ds:datastoreItem xmlns:ds="http://schemas.openxmlformats.org/officeDocument/2006/customXml" ds:itemID="{3833654B-272B-486B-A50A-239557E3B3B1}">
  <ds:schemaRefs>
    <ds:schemaRef ds:uri="http://schemas.microsoft.com/office/2006/metadata/properties"/>
    <ds:schemaRef ds:uri="http://schemas.microsoft.com/office/infopath/2007/PartnerControls"/>
    <ds:schemaRef ds:uri="e9421992-1748-4946-9df7-7dcc5eeedeef"/>
  </ds:schemaRefs>
</ds:datastoreItem>
</file>

<file path=customXml/itemProps4.xml><?xml version="1.0" encoding="utf-8"?>
<ds:datastoreItem xmlns:ds="http://schemas.openxmlformats.org/officeDocument/2006/customXml" ds:itemID="{EF43A3F5-1566-4938-A484-11B844232E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421992-1748-4946-9df7-7dcc5eeede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14</Pages>
  <Words>2486</Words>
  <Characters>14175</Characters>
  <Application>Microsoft Office Word</Application>
  <DocSecurity>0</DocSecurity>
  <Lines>118</Lines>
  <Paragraphs>33</Paragraphs>
  <ScaleCrop>false</ScaleCrop>
  <Company/>
  <LinksUpToDate>false</LinksUpToDate>
  <CharactersWithSpaces>16628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NEBRASKA EWB-USA CHAPTER STYLE GUIDE FOR REPORTS</dc:title>
  <dc:subject/>
  <dc:creator>Libby Jones</dc:creator>
  <cp:keywords/>
  <dc:description/>
  <cp:lastModifiedBy>Gavin Rothmeyer</cp:lastModifiedBy>
  <cp:revision>322</cp:revision>
  <cp:lastPrinted>2026-04-21T20:13:00Z</cp:lastPrinted>
  <dcterms:created xsi:type="dcterms:W3CDTF">2026-01-30T14:47:00Z</dcterms:created>
  <dcterms:modified xsi:type="dcterms:W3CDTF">2026-04-21T20:45:00Z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0x010100E13BDF199B2F7A44A7B3C70F4EA79324</vt:lpwstr>
  </property>
  <property fmtid="{D5CDD505-2E9C-101B-9397-08002B2CF9AE}" pid="3" name="MediaServiceImageTags">
    <vt:lpwstr/>
  </property>
</Properties>
</file>