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jc w:val="center"/>
      </w:pPr>
      <w:r>
        <w:drawing>
          <wp:inline distT="0" distB="0" distL="0" distR="0">
            <wp:extent cx="4286250" cy="457200"/>
            <wp:effectExtent t="0" r="0" b="0" l="0"/>
            <wp:docPr id="1" name="combined-lockup" descr="Combined lockup" title="GROUND + GW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457200"/>
                    </a:xfrm>
                    <a:prstGeom prst="rect">
                      <a:avLst/>
                    </a:prstGeom>
                  </pic:spPr>
                </pic:pic>
              </a:graphicData>
            </a:graphic>
          </wp:inline>
        </w:drawing>
      </w:r>
    </w:p>
    <w:p>
      <w:pPr>
        <w:spacing w:after="600"/>
      </w:pPr>
    </w:p>
    <w:p>
      <w:pPr>
        <w:spacing w:after="100"/>
        <w:jc w:val="center"/>
      </w:pPr>
      <w:r>
        <w:rPr>
          <w:rFonts w:ascii="Arial" w:cs="Arial" w:eastAsia="Arial" w:hAnsi="Arial"/>
          <w:b/>
          <w:bCs/>
          <w:color w:val="0A0C14"/>
          <w:sz w:val="48"/>
          <w:szCs w:val="48"/>
        </w:rPr>
        <w:t xml:space="preserve">Brand Identity Guidelines</w:t>
      </w:r>
    </w:p>
    <w:p>
      <w:pPr>
        <w:spacing w:after="100"/>
        <w:jc w:val="center"/>
      </w:pPr>
      <w:r>
        <w:rPr>
          <w:rFonts w:ascii="Arial" w:cs="Arial" w:eastAsia="Arial" w:hAnsi="Arial"/>
          <w:color w:val="636A78"/>
          <w:sz w:val="28"/>
          <w:szCs w:val="28"/>
        </w:rPr>
        <w:t xml:space="preserve">Logo Specification Document</w:t>
      </w:r>
    </w:p>
    <w:p>
      <w:pPr>
        <w:spacing w:after="400"/>
      </w:pPr>
    </w:p>
    <w:p>
      <w:pPr>
        <w:pBdr>
          <w:top w:val="single" w:color="C8CDD8" w:sz="1" w:space="12"/>
        </w:pBdr>
        <w:jc w:val="center"/>
      </w:pPr>
    </w:p>
    <w:p>
      <w:pPr>
        <w:spacing w:after="100"/>
      </w:pPr>
    </w:p>
    <w:p>
      <w:pPr>
        <w:jc w:val="center"/>
      </w:pPr>
      <w:r>
        <w:rPr>
          <w:color w:val="636A78"/>
          <w:sz w:val="22"/>
          <w:szCs w:val="22"/>
        </w:rPr>
        <w:t xml:space="preserve">Version 1.0</w:t>
      </w:r>
    </w:p>
    <w:p>
      <w:pPr>
        <w:jc w:val="center"/>
      </w:pPr>
      <w:r>
        <w:rPr>
          <w:color w:val="636A78"/>
          <w:sz w:val="22"/>
          <w:szCs w:val="22"/>
        </w:rPr>
        <w:t xml:space="preserve">March 2026</w:t>
      </w:r>
    </w:p>
    <w:p>
      <w:pPr>
        <w:spacing w:after="200"/>
      </w:pPr>
    </w:p>
    <w:p>
      <w:pPr>
        <w:jc w:val="center"/>
      </w:pPr>
      <w:r>
        <w:rPr>
          <w:color w:val="636A78"/>
          <w:sz w:val="22"/>
          <w:szCs w:val="22"/>
        </w:rPr>
        <w:t xml:space="preserve">GROUND Inc.</w:t>
      </w:r>
    </w:p>
    <w:p>
      <w:pPr>
        <w:jc w:val="center"/>
      </w:pPr>
      <w:r>
        <w:rPr>
          <w:i/>
          <w:iCs/>
          <w:color w:val="999999"/>
          <w:sz w:val="20"/>
          <w:szCs w:val="20"/>
        </w:rPr>
        <w:t xml:space="preserve">Confidential</w:t>
      </w:r>
    </w:p>
    <w:p>
      <w:pPr>
        <w:sectPr>
          <w:pgSz w:w="11906" w:h="16838" w:orient="portrait"/>
          <w:pgMar w:top="1440" w:right="1440" w:bottom="1440" w:left="1440" w:header="708" w:footer="708" w:gutter="0"/>
          <w:pgNumType/>
          <w:docGrid w:linePitch="360"/>
        </w:sectPr>
      </w:pPr>
    </w:p>
    <w:p>
      <w:pPr>
        <w:pStyle w:val="Heading1"/>
        <w:spacing w:before="400" w:after="200"/>
      </w:pPr>
      <w:r>
        <w:t xml:space="preserve">Contents</w:t>
      </w:r>
    </w:p>
    <w:p>
      <w:pPr>
        <w:spacing w:after="100"/>
      </w:pPr>
    </w:p>
    <w:p>
      <w:pPr>
        <w:spacing w:after="120"/>
      </w:pPr>
      <w:r>
        <w:t xml:space="preserve">1. Brand Philosophy</w:t>
      </w:r>
    </w:p>
    <w:p>
      <w:pPr>
        <w:spacing w:after="120"/>
      </w:pPr>
      <w:r>
        <w:t xml:space="preserve">2. GROUND Corporate Logo</w:t>
      </w:r>
    </w:p>
    <w:p>
      <w:pPr>
        <w:spacing w:after="120"/>
      </w:pPr>
      <w:r>
        <w:t xml:space="preserve">   2.1  G Mark</w:t>
      </w:r>
    </w:p>
    <w:p>
      <w:pPr>
        <w:spacing w:after="120"/>
      </w:pPr>
      <w:r>
        <w:t xml:space="preserve">   2.2  Wordmark</w:t>
      </w:r>
    </w:p>
    <w:p>
      <w:pPr>
        <w:spacing w:after="120"/>
      </w:pPr>
      <w:r>
        <w:t xml:space="preserve">   2.3  Full Lockup</w:t>
      </w:r>
    </w:p>
    <w:p>
      <w:pPr>
        <w:spacing w:after="120"/>
      </w:pPr>
      <w:r>
        <w:t xml:space="preserve">   2.4  Specifications</w:t>
      </w:r>
    </w:p>
    <w:p>
      <w:pPr>
        <w:spacing w:after="120"/>
      </w:pPr>
      <w:r>
        <w:t xml:space="preserve">3. GWES Product Logo</w:t>
      </w:r>
    </w:p>
    <w:p>
      <w:pPr>
        <w:spacing w:after="120"/>
      </w:pPr>
      <w:r>
        <w:t xml:space="preserve">   3.1  Particle Grid Mark</w:t>
      </w:r>
    </w:p>
    <w:p>
      <w:pPr>
        <w:spacing w:after="120"/>
      </w:pPr>
      <w:r>
        <w:t xml:space="preserve">   3.2  Logotype</w:t>
      </w:r>
    </w:p>
    <w:p>
      <w:pPr>
        <w:spacing w:after="120"/>
      </w:pPr>
      <w:r>
        <w:t xml:space="preserve">   3.3  Full Lockup</w:t>
      </w:r>
    </w:p>
    <w:p>
      <w:pPr>
        <w:spacing w:after="120"/>
      </w:pPr>
      <w:r>
        <w:t xml:space="preserve">   3.4  Specifications</w:t>
      </w:r>
    </w:p>
    <w:p>
      <w:pPr>
        <w:spacing w:after="120"/>
      </w:pPr>
      <w:r>
        <w:t xml:space="preserve">4. Combined Lockup</w:t>
      </w:r>
    </w:p>
    <w:p>
      <w:pPr>
        <w:spacing w:after="120"/>
      </w:pPr>
      <w:r>
        <w:t xml:space="preserve">5. Color Palette</w:t>
      </w:r>
    </w:p>
    <w:p>
      <w:pPr>
        <w:spacing w:after="120"/>
      </w:pPr>
      <w:r>
        <w:t xml:space="preserve">6. Typography</w:t>
      </w:r>
    </w:p>
    <w:p>
      <w:pPr>
        <w:spacing w:after="120"/>
      </w:pPr>
      <w:r>
        <w:t xml:space="preserve">7. Clear Space &amp; Minimum Size</w:t>
      </w:r>
    </w:p>
    <w:p>
      <w:pPr>
        <w:spacing w:after="120"/>
      </w:pPr>
      <w:r>
        <w:t xml:space="preserve">8. Usage Guidelines</w:t>
      </w:r>
    </w:p>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spacing w:before="400" w:after="200"/>
      </w:pPr>
      <w:r>
        <w:t xml:space="preserve">1. Brand Philosophy</w:t>
      </w:r>
    </w:p>
    <w:p>
      <w:pPr>
        <w:spacing w:after="100"/>
      </w:pPr>
    </w:p>
    <w:p>
      <w:pPr>
        <w:pStyle w:val="Heading2"/>
        <w:spacing w:before="300" w:after="150"/>
      </w:pPr>
      <w:r>
        <w:t xml:space="preserve">GROUND Inc.</w:t>
      </w:r>
    </w:p>
    <w:p>
      <w:pPr>
        <w:spacing w:after="120"/>
      </w:pPr>
      <w:r>
        <w:t xml:space="preserve">GROUND Inc. is built on the belief that logistics infrastructure is the foundation upon which modern commerce stands. The name itself reflects this conviction: GROUND represents the bedrock, the essential platform that everything else is built upon.</w:t>
      </w:r>
    </w:p>
    <w:p>
      <w:pPr>
        <w:spacing w:after="120"/>
      </w:pPr>
      <w:r>
        <w:t xml:space="preserve">The G Mark, our corporate symbol, embodies this philosophy through its architectural geometry. Derived from a bold, structural letterform, it evokes the form of a warehouse entrance or loading dock viewed from above. The open aperture on the right side represents the flow of goods, the constant movement that defines logistics. The solid perimeter speaks to stability, reliability, and the structural integrity that our technology provides to warehouse operations.</w:t>
      </w:r>
    </w:p>
    <w:p>
      <w:pPr>
        <w:spacing w:after="120"/>
      </w:pPr>
      <w:r>
        <w:t xml:space="preserve">The titanium gradient applied to the G Mark on light backgrounds suggests industrial precision and the advanced materials of modern automation, while the pure white rendering on dark backgrounds conveys clarity of purpose and technological sophistication.</w:t>
      </w:r>
    </w:p>
    <w:p>
      <w:pPr>
        <w:spacing w:after="100"/>
      </w:pPr>
    </w:p>
    <w:p>
      <w:pPr>
        <w:pStyle w:val="Heading2"/>
        <w:spacing w:before="300" w:after="150"/>
      </w:pPr>
      <w:r>
        <w:t xml:space="preserve">GWES</w:t>
      </w:r>
    </w:p>
    <w:p>
      <w:pPr>
        <w:spacing w:after="120"/>
      </w:pPr>
      <w:r>
        <w:t xml:space="preserve">GWES (GROUND Warehouse Execution System) is the intelligent operating system that brings autonomous warehouse operations to life. Its visual identity needed to communicate a fundamentally different quality from the corporate mark: not structural permanence, but distributed intelligence, networked awareness, and emergent coordination.</w:t>
      </w:r>
    </w:p>
    <w:p>
      <w:pPr>
        <w:spacing w:after="120"/>
      </w:pPr>
      <w:r>
        <w:t xml:space="preserve">The Particle Grid mark captures this essence. A diamond-shaped matrix of luminous dots radiates outward from a brilliant central node, each particle representing an autonomous agent within the warehouse ecosystem. Robots, sensors, conveyors, and management systems are all connected in a living network of coordinated intelligence.</w:t>
      </w:r>
    </w:p>
    <w:p>
      <w:pPr>
        <w:spacing w:after="120"/>
      </w:pPr>
      <w:r>
        <w:t xml:space="preserve">The brightness gradient from edge to center tells the story of GWES itself: data flows inward from thousands of distributed sensors and devices, converging at the system core where real-time decisions are made. The central dot, rendered in pure white at full opacity, represents the unified intelligence that emerges when all these signals are synthesized into coordinated action.</w:t>
      </w:r>
    </w:p>
    <w:p>
      <w:pPr>
        <w:spacing w:after="120"/>
      </w:pPr>
      <w:r>
        <w:t xml:space="preserve">The cyan color palette was chosen deliberately. In the context of dark warehouse environments and industrial control interfaces, cyan communicates precision, technological capability, and active monitoring. It is the color of radar screens, HUD displays, and sensor readouts, the visual language of systems that are always watching, always optimizing.</w:t>
      </w:r>
    </w:p>
    <w:p>
      <w:pPr>
        <w:spacing w:after="120"/>
      </w:pPr>
      <w:r>
        <w:t xml:space="preserve">Together, the particle grid and the GWES logotype express our core promise: that within the complexity of modern warehouse operations, there is an intelligent system orchestrating every movement with clarity and purpose.</w:t>
      </w:r>
    </w:p>
    <w:p>
      <w:r>
        <w:br w:type="page"/>
      </w:r>
    </w:p>
    <w:p>
      <w:pPr>
        <w:pStyle w:val="Heading1"/>
        <w:spacing w:before="400" w:after="200"/>
      </w:pPr>
      <w:r>
        <w:t xml:space="preserve">2. GROUND Corporate Logo</w:t>
      </w:r>
    </w:p>
    <w:p>
      <w:pPr>
        <w:spacing w:after="100"/>
      </w:pPr>
    </w:p>
    <w:p>
      <w:pPr>
        <w:pStyle w:val="Heading2"/>
        <w:spacing w:before="300" w:after="150"/>
      </w:pPr>
      <w:r>
        <w:t xml:space="preserve">2.1 G Mark</w:t>
      </w:r>
    </w:p>
    <w:p>
      <w:pPr>
        <w:spacing w:after="120"/>
      </w:pPr>
      <w:r>
        <w:t xml:space="preserve">The G Mark is the primary symbol of GROUND Inc. It is a geometric abstraction of the letter G, designed to evoke architectural forms associated with logistics infrastructure.</w:t>
      </w:r>
    </w:p>
    <w:p>
      <w:pPr>
        <w:spacing w:before="200" w:after="200"/>
        <w:jc w:val="center"/>
      </w:pPr>
      <w:r>
        <w:drawing>
          <wp:inline distT="0" distB="0" distL="0" distR="0">
            <wp:extent cx="1905000" cy="952500"/>
            <wp:effectExtent t="0" r="0" b="0" l="0"/>
            <wp:docPr id="1" name="GROUND G Mark" descr="GROUND G Mark" title="GROUND G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952500"/>
                    </a:xfrm>
                    <a:prstGeom prst="rect">
                      <a:avLst/>
                    </a:prstGeom>
                  </pic:spPr>
                </pic:pic>
              </a:graphicData>
            </a:graphic>
          </wp:inline>
        </w:drawing>
      </w:r>
    </w:p>
    <w:p>
      <w:pPr>
        <w:pStyle w:val="Heading3"/>
        <w:spacing w:before="200" w:after="100"/>
      </w:pPr>
      <w:r>
        <w:t xml:space="preserve">Construction</w:t>
      </w:r>
    </w:p>
    <w:p>
      <w:pPr>
        <w:spacing w:after="120"/>
      </w:pPr>
      <w:r>
        <w:t xml:space="preserve">The mark is constructed from a single continuous path forming an open rectangular shape. The proportions are based on the original viewBox of 3877 x 1938 units (approximately 2:1 ratio). Key structural elements include a full-width top bar (height: 244 units), a left vertical bar (width: 244 units), a bottom horizontal base, and a right-side notch creating the G aperture (opening at the middle-right).</w:t>
      </w:r>
    </w:p>
    <w:p>
      <w:pPr>
        <w:spacing w:after="100"/>
      </w:pPr>
    </w:p>
    <w:p>
      <w:pPr>
        <w:pStyle w:val="Heading2"/>
        <w:spacing w:before="300" w:after="150"/>
      </w:pPr>
      <w:r>
        <w:t xml:space="preserve">2.2 Wordmark</w:t>
      </w:r>
    </w:p>
    <w:p>
      <w:pPr>
        <w:spacing w:after="120"/>
      </w:pPr>
      <w:r>
        <w:t xml:space="preserve">The GROUND wordmark uses Archivo Bold (weight 700) with a letter-spacing of 0.03em. It is always rendered in a single line adjacent to or below the G Mark.</w:t>
      </w:r>
    </w:p>
    <w:p>
      <w:pPr>
        <w:spacing w:after="100"/>
      </w:pPr>
    </w:p>
    <w:p>
      <w:pPr>
        <w:pStyle w:val="Heading2"/>
        <w:spacing w:before="300" w:after="150"/>
      </w:pPr>
      <w:r>
        <w:t xml:space="preserve">2.3 Full Lockup</w:t>
      </w:r>
    </w:p>
    <w:p>
      <w:pPr>
        <w:spacing w:after="120"/>
      </w:pPr>
      <w:r>
        <w:t xml:space="preserve">The full GROUND lockup combines the G Mark with the wordmark. On dark backgrounds, both elements render in white. On light backgrounds, the G Mark uses the titanium gradient (#3F4250 to #636A78).</w:t>
      </w:r>
    </w:p>
    <w:p>
      <w:pPr>
        <w:spacing w:before="200" w:after="200"/>
        <w:jc w:val="center"/>
      </w:pPr>
      <w:r>
        <w:drawing>
          <wp:inline distT="0" distB="0" distL="0" distR="0">
            <wp:extent cx="3810000" cy="1266825"/>
            <wp:effectExtent t="0" r="0" b="0" l="0"/>
            <wp:docPr id="1" name="GROUND Full Lockup" descr="GROUND Full Lockup" title="GROUND Full L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266825"/>
                    </a:xfrm>
                    <a:prstGeom prst="rect">
                      <a:avLst/>
                    </a:prstGeom>
                  </pic:spPr>
                </pic:pic>
              </a:graphicData>
            </a:graphic>
          </wp:inline>
        </w:drawing>
      </w:r>
    </w:p>
    <w:p>
      <w:pPr>
        <w:pStyle w:val="Heading2"/>
        <w:spacing w:before="300" w:after="150"/>
      </w:pPr>
      <w:r>
        <w:t xml:space="preserve">2.4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Symbol</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 Mark (geometric path)</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Wordmark Font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Archivo Bold 700</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Letter Spacing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0.03em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Mark Proportions</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2:1 (3877 x 1938 units)</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Color (Dark BG)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#FFFFFF (white)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Color (Light BG)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Gradient: #3F4250 to #636A78 (titanium)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Mark-to-Text Gap</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Proportional, approximately 15% of mark height</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SVG Source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ground-logo-dark.svg</w:t>
            </w:r>
          </w:p>
        </w:tc>
      </w:tr>
    </w:tbl>
    <w:p>
      <w:r>
        <w:br w:type="page"/>
      </w:r>
    </w:p>
    <w:p>
      <w:pPr>
        <w:pStyle w:val="Heading1"/>
        <w:spacing w:before="400" w:after="200"/>
      </w:pPr>
      <w:r>
        <w:t xml:space="preserve">3. GWES Product Logo</w:t>
      </w:r>
    </w:p>
    <w:p>
      <w:pPr>
        <w:spacing w:after="100"/>
      </w:pPr>
    </w:p>
    <w:p>
      <w:pPr>
        <w:pStyle w:val="Heading2"/>
        <w:spacing w:before="300" w:after="150"/>
      </w:pPr>
      <w:r>
        <w:t xml:space="preserve">3.1 Particle Grid Mark</w:t>
      </w:r>
    </w:p>
    <w:p>
      <w:pPr>
        <w:spacing w:after="120"/>
      </w:pPr>
      <w:r>
        <w:t xml:space="preserve">The Particle Grid is a diamond-shaped matrix of luminous dots that serves as the primary symbol for GWES. It represents distributed intelligence, networked coordination, and the convergence of data at the system core.</w:t>
      </w:r>
    </w:p>
    <w:p>
      <w:pPr>
        <w:spacing w:before="200" w:after="200"/>
        <w:jc w:val="center"/>
      </w:pPr>
      <w:r>
        <w:drawing>
          <wp:inline distT="0" distB="0" distL="0" distR="0">
            <wp:extent cx="1905000" cy="1905000"/>
            <wp:effectExtent t="0" r="0" b="0" l="0"/>
            <wp:docPr id="1" name="GWES Particle Grid" descr="GWES Particle Grid" title="GWES Particl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905000"/>
                    </a:xfrm>
                    <a:prstGeom prst="rect">
                      <a:avLst/>
                    </a:prstGeom>
                  </pic:spPr>
                </pic:pic>
              </a:graphicData>
            </a:graphic>
          </wp:inline>
        </w:drawing>
      </w:r>
    </w:p>
    <w:p>
      <w:pPr>
        <w:pStyle w:val="Heading3"/>
        <w:spacing w:before="200" w:after="100"/>
      </w:pPr>
      <w:r>
        <w:t xml:space="preserve">Construction</w:t>
      </w:r>
    </w:p>
    <w:p>
      <w:pPr>
        <w:spacing w:after="120"/>
      </w:pPr>
      <w:r>
        <w:t xml:space="preserve">The grid is composed of 7 rows of dots arranged in a diamond formation within a 200 x 200 unit viewBox, centered at coordinates (100, 100). Row widths expand from 3 dots at the edges to 7 dots at the center rows, with consistent 20-unit spacing between dots.</w:t>
      </w:r>
    </w:p>
    <w:p>
      <w:pPr>
        <w:spacing w:after="50"/>
      </w:pPr>
    </w:p>
    <w:p>
      <w:pPr>
        <w:spacing w:after="120"/>
      </w:pPr>
      <w:r>
        <w:t xml:space="preserve">Each dot has carefully calibrated properties that create the brightness gradient:</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1800"/>
        <w:gridCol w:w="1760"/>
      </w:tblGrid>
      <w:tr>
        <w:tc>
          <w:tcPr>
            <w:tcW w:type="dxa" w:w="2000"/>
            <w:tcBorders>
              <w:top w:val="single" w:color="CCCCCC" w:sz="1"/>
              <w:left w:val="single" w:color="CCCCCC" w:sz="1"/>
              <w:bottom w:val="single" w:color="CCCCCC" w:sz="1"/>
              <w:right w:val="single" w:color="CCCCCC" w:sz="1"/>
            </w:tcBorders>
            <w:shd w:fill="E8EDF2" w:val="clear"/>
            <w:tcMar>
              <w:top w:type="dxa" w:w="40"/>
              <w:left w:type="dxa" w:w="80"/>
              <w:bottom w:type="dxa" w:w="40"/>
              <w:right w:type="dxa" w:w="80"/>
            </w:tcMar>
          </w:tcPr>
          <w:p>
            <w:r>
              <w:rPr>
                <w:b/>
                <w:bCs/>
                <w:sz w:val="18"/>
                <w:szCs w:val="18"/>
              </w:rPr>
              <w:t xml:space="preserve">Zone</w:t>
            </w:r>
          </w:p>
        </w:tc>
        <w:tc>
          <w:tcPr>
            <w:tcW w:type="dxa" w:w="1800"/>
            <w:tcBorders>
              <w:top w:val="single" w:color="CCCCCC" w:sz="1"/>
              <w:left w:val="single" w:color="CCCCCC" w:sz="1"/>
              <w:bottom w:val="single" w:color="CCCCCC" w:sz="1"/>
              <w:right w:val="single" w:color="CCCCCC" w:sz="1"/>
            </w:tcBorders>
            <w:shd w:fill="E8EDF2" w:val="clear"/>
            <w:tcMar>
              <w:top w:type="dxa" w:w="40"/>
              <w:left w:type="dxa" w:w="80"/>
              <w:bottom w:type="dxa" w:w="40"/>
              <w:right w:type="dxa" w:w="80"/>
            </w:tcMar>
          </w:tcPr>
          <w:p>
            <w:r>
              <w:rPr>
                <w:b/>
                <w:bCs/>
                <w:sz w:val="18"/>
                <w:szCs w:val="18"/>
              </w:rPr>
              <w:t xml:space="preserve">Radius</w:t>
            </w:r>
          </w:p>
        </w:tc>
        <w:tc>
          <w:tcPr>
            <w:tcW w:type="dxa" w:w="2000"/>
            <w:tcBorders>
              <w:top w:val="single" w:color="CCCCCC" w:sz="1"/>
              <w:left w:val="single" w:color="CCCCCC" w:sz="1"/>
              <w:bottom w:val="single" w:color="CCCCCC" w:sz="1"/>
              <w:right w:val="single" w:color="CCCCCC" w:sz="1"/>
            </w:tcBorders>
            <w:shd w:fill="E8EDF2" w:val="clear"/>
            <w:tcMar>
              <w:top w:type="dxa" w:w="40"/>
              <w:left w:type="dxa" w:w="80"/>
              <w:bottom w:type="dxa" w:w="40"/>
              <w:right w:type="dxa" w:w="80"/>
            </w:tcMar>
          </w:tcPr>
          <w:p>
            <w:r>
              <w:rPr>
                <w:b/>
                <w:bCs/>
                <w:sz w:val="18"/>
                <w:szCs w:val="18"/>
              </w:rPr>
              <w:t xml:space="preserve">Color</w:t>
            </w:r>
          </w:p>
        </w:tc>
        <w:tc>
          <w:tcPr>
            <w:tcW w:type="dxa" w:w="1800"/>
            <w:tcBorders>
              <w:top w:val="single" w:color="CCCCCC" w:sz="1"/>
              <w:left w:val="single" w:color="CCCCCC" w:sz="1"/>
              <w:bottom w:val="single" w:color="CCCCCC" w:sz="1"/>
              <w:right w:val="single" w:color="CCCCCC" w:sz="1"/>
            </w:tcBorders>
            <w:shd w:fill="E8EDF2" w:val="clear"/>
            <w:tcMar>
              <w:top w:type="dxa" w:w="40"/>
              <w:left w:type="dxa" w:w="80"/>
              <w:bottom w:type="dxa" w:w="40"/>
              <w:right w:type="dxa" w:w="80"/>
            </w:tcMar>
          </w:tcPr>
          <w:p>
            <w:r>
              <w:rPr>
                <w:b/>
                <w:bCs/>
                <w:sz w:val="18"/>
                <w:szCs w:val="18"/>
              </w:rPr>
              <w:t xml:space="preserve">Opacity</w:t>
            </w:r>
          </w:p>
        </w:tc>
        <w:tc>
          <w:tcPr>
            <w:tcW w:type="dxa" w:w="1760"/>
            <w:tcBorders>
              <w:top w:val="single" w:color="CCCCCC" w:sz="1"/>
              <w:left w:val="single" w:color="CCCCCC" w:sz="1"/>
              <w:bottom w:val="single" w:color="CCCCCC" w:sz="1"/>
              <w:right w:val="single" w:color="CCCCCC" w:sz="1"/>
            </w:tcBorders>
            <w:shd w:fill="E8EDF2" w:val="clear"/>
            <w:tcMar>
              <w:top w:type="dxa" w:w="40"/>
              <w:left w:type="dxa" w:w="80"/>
              <w:bottom w:type="dxa" w:w="40"/>
              <w:right w:type="dxa" w:w="80"/>
            </w:tcMar>
          </w:tcPr>
          <w:p>
            <w:r>
              <w:rPr>
                <w:b/>
                <w:bCs/>
                <w:sz w:val="18"/>
                <w:szCs w:val="18"/>
              </w:rPr>
              <w:t xml:space="preserve">Example</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Edge</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3.9</w:t>
            </w:r>
          </w:p>
        </w:tc>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#80d0f0</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0.28</w:t>
            </w:r>
          </w:p>
        </w:tc>
        <w:tc>
          <w:tcPr>
            <w:tcW w:type="dxa" w:w="17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Row 1 corners</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Near-edge</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4.1–4.8</w:t>
            </w:r>
          </w:p>
        </w:tc>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#8ad4f1–#a8ddf4</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0.36–0.66</w:t>
            </w:r>
          </w:p>
        </w:tc>
        <w:tc>
          <w:tcPr>
            <w:tcW w:type="dxa" w:w="17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Row 2–3</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Mid-zone</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5.0–5.5</w:t>
            </w:r>
          </w:p>
        </w:tc>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#b4e2f5–#ceeaf8</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0.74–0.86</w:t>
            </w:r>
          </w:p>
        </w:tc>
        <w:tc>
          <w:tcPr>
            <w:tcW w:type="dxa" w:w="17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Row 3–4</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Inner glow</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5.9 + 11 halo</w:t>
            </w:r>
          </w:p>
        </w:tc>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#dff0fb</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0.92 + 0.04</w:t>
            </w:r>
          </w:p>
        </w:tc>
        <w:tc>
          <w:tcPr>
            <w:tcW w:type="dxa" w:w="17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Adjacent to center</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Center</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6.8 + 13 halo</w:t>
            </w:r>
          </w:p>
        </w:tc>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#ffffff</w:t>
            </w:r>
          </w:p>
        </w:tc>
        <w:tc>
          <w:tcPr>
            <w:tcW w:type="dxa" w:w="18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1.0 + 0.08</w:t>
            </w:r>
          </w:p>
        </w:tc>
        <w:tc>
          <w:tcPr>
            <w:tcW w:type="dxa" w:w="17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sz w:val="18"/>
                <w:szCs w:val="18"/>
              </w:rPr>
              <w:t xml:space="preserve">The core (100,100)</w:t>
            </w:r>
          </w:p>
        </w:tc>
      </w:tr>
    </w:tbl>
    <w:p>
      <w:pPr>
        <w:spacing w:after="100"/>
      </w:pPr>
    </w:p>
    <w:p>
      <w:pPr>
        <w:spacing w:after="120"/>
      </w:pPr>
      <w:r>
        <w:t xml:space="preserve">A subtle radial gradient glow (#7dd3f0, 12% opacity) underlies the grid to create ambient luminosity. The center dot and its adjacent neighbors use dual-circle rendering: a larger translucent halo behind a smaller solid dot, creating a bloom effect.</w:t>
      </w:r>
    </w:p>
    <w:p>
      <w:pPr>
        <w:pStyle w:val="Heading2"/>
        <w:spacing w:before="300" w:after="150"/>
      </w:pPr>
      <w:r>
        <w:t xml:space="preserve">3.2 Logotype</w:t>
      </w:r>
    </w:p>
    <w:p>
      <w:pPr>
        <w:spacing w:after="120"/>
      </w:pPr>
      <w:r>
        <w:t xml:space="preserve">The GWES logotype consists of two text elements stacked vertically below a thin cyan divider line: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Primary Text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Font Family</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Archivo</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Font Weight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400 (Regular)</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Letter Spacing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0.28em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Color</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#FFFFFF (white)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Divider</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1px line, #6AC6EC at 45% opacity, width 40px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The OS for Autonomous Warehouse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 Font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Inter Regular 400</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 Size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0.6rem (relative to base)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 Letter Spacing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0.12em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 Color</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rgba(255, 255, 255, 0.7)</w:t>
            </w:r>
          </w:p>
        </w:tc>
      </w:tr>
    </w:tbl>
    <w:p>
      <w:r>
        <w:br w:type="page"/>
      </w:r>
    </w:p>
    <w:p>
      <w:pPr>
        <w:pStyle w:val="Heading2"/>
        <w:spacing w:before="300" w:after="150"/>
      </w:pPr>
      <w:r>
        <w:t xml:space="preserve">3.3 Full Lockup (Vertical)</w:t>
      </w:r>
    </w:p>
    <w:p>
      <w:pPr>
        <w:spacing w:after="120"/>
      </w:pPr>
      <w:r>
        <w:t xml:space="preserve">The GWES full lockup arranges all elements vertically in this order: Particle Grid mark, divider line, GWES text, tagline. This is the primary usage for hero sections and standalone presentations.</w:t>
      </w:r>
    </w:p>
    <w:p>
      <w:pPr>
        <w:spacing w:before="200" w:after="200"/>
        <w:jc w:val="center"/>
      </w:pPr>
      <w:r>
        <w:drawing>
          <wp:inline distT="0" distB="0" distL="0" distR="0">
            <wp:extent cx="2857500" cy="1905000"/>
            <wp:effectExtent t="0" r="0" b="0" l="0"/>
            <wp:docPr id="1" name="GWES Full Vertical Lockup" descr="GWES Full Vertical Lockup" title="GWES Full Vertical L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905000"/>
                    </a:xfrm>
                    <a:prstGeom prst="rect">
                      <a:avLst/>
                    </a:prstGeom>
                  </pic:spPr>
                </pic:pic>
              </a:graphicData>
            </a:graphic>
          </wp:inline>
        </w:drawing>
      </w:r>
    </w:p>
    <w:p>
      <w:pPr>
        <w:pStyle w:val="Heading2"/>
        <w:spacing w:before="300" w:after="150"/>
      </w:pPr>
      <w:r>
        <w:t xml:space="preserve">3.4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Mark</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Particle Grid (diamond dot matrix)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Mark Size (desktop)</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140 x 140 px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Mark Size (mobile)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100 x 100 px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Mark-to-Divider Gap</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10px padding-top + 6px gap</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Divider Width</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40px (32px on mobile)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Divider Color</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#6AC6EC at 45% opacity</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Divider-to-Text Gap</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2px margin-bottom + 6px gap</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Font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Archivo Regular 400, 1.5rem (1.2rem mobile)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Letter Spacing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0.28em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Symmetry Compensation</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padding-right: 0.28em on GWES text</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 Font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Inter Regular 400, 0.6rem (0.5rem mobile)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Tagline Letter Spacing</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0.12em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Symmetry Compensation</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padding-right: 0.12em on tagline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Background</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#0A0C14 (Deep Space)</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SVG Source (mark)</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gwes-particle-grid.svg</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SVG Source (lockup)</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gwes-lockup-vertical.svg</w:t>
            </w:r>
          </w:p>
        </w:tc>
      </w:tr>
    </w:tbl>
    <w:p>
      <w:r>
        <w:br w:type="page"/>
      </w:r>
    </w:p>
    <w:p>
      <w:pPr>
        <w:pStyle w:val="Heading1"/>
        <w:spacing w:before="400" w:after="200"/>
      </w:pPr>
      <w:r>
        <w:t xml:space="preserve">4. Combined Lockup</w:t>
      </w:r>
    </w:p>
    <w:p>
      <w:pPr>
        <w:spacing w:after="120"/>
      </w:pPr>
      <w:r>
        <w:t xml:space="preserve">The combined lockup places the GROUND corporate logo and the GWES product logo side by side, separated by a vertical divider. This is used in contexts where both brands need to appear together, such as footers and co-branded materials.</w:t>
      </w:r>
    </w:p>
    <w:p>
      <w:pPr>
        <w:spacing w:before="200" w:after="200"/>
        <w:jc w:val="center"/>
      </w:pPr>
      <w:r>
        <w:drawing>
          <wp:inline distT="0" distB="0" distL="0" distR="0">
            <wp:extent cx="4286250" cy="457200"/>
            <wp:effectExtent t="0" r="0" b="0" l="0"/>
            <wp:docPr id="1" name="Combined GROUND + GWES Lockup" descr="Combined GROUND + GWES Lockup" title="Combined GROUND + GWES L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457200"/>
                    </a:xfrm>
                    <a:prstGeom prst="rect">
                      <a:avLst/>
                    </a:prstGeom>
                  </pic:spPr>
                </pic:pic>
              </a:graphicData>
            </a:graphic>
          </wp:inline>
        </w:drawing>
      </w:r>
    </w:p>
    <w:p>
      <w:pPr>
        <w:pStyle w:val="Heading2"/>
        <w:spacing w:before="300" w:after="150"/>
      </w:pPr>
      <w:r>
        <w:t xml:space="preserve">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Layout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Horizontal, GROUND left, GWES right</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Divider</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0.5px vertical line, #C8CDD8 at 20% opacity</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GROUND Mark Size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36 x 24 px (within lockup)</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GROUND Font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Liberation Sans Bold 700, 20px, ls: -0.3</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Grid Size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28 x 28 px (scaled 0.233x)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Font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Helvetica Neue Light 300, 19px, ls: 2.28px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Tagline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Inter Regular 400, 6.5px, opacity 0.6</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SVG Source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combined-lockup-dark.svg</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ViewBox</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420 x 44</w:t>
            </w:r>
          </w:p>
        </w:tc>
      </w:tr>
    </w:tbl>
    <w:p>
      <w:r>
        <w:br w:type="page"/>
      </w:r>
    </w:p>
    <w:p>
      <w:pPr>
        <w:pStyle w:val="Heading1"/>
        <w:spacing w:before="400" w:after="200"/>
      </w:pPr>
      <w:r>
        <w:t xml:space="preserve">5. Color Palette</w:t>
      </w:r>
    </w:p>
    <w:p>
      <w:pPr>
        <w:spacing w:after="100"/>
      </w:pPr>
    </w:p>
    <w:p>
      <w:pPr>
        <w:pStyle w:val="Heading2"/>
        <w:spacing w:before="300" w:after="150"/>
      </w:pPr>
      <w:r>
        <w:t xml:space="preserve">5.1 Primary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160"/>
        <w:gridCol w:w="3600"/>
      </w:tblGrid>
      <w:tr>
        <w:tc>
          <w:tcPr>
            <w:tcW w:type="dxa" w:w="120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Swatch</w:t>
            </w:r>
          </w:p>
        </w:tc>
        <w:tc>
          <w:tcPr>
            <w:tcW w:type="dxa" w:w="240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Name</w:t>
            </w:r>
          </w:p>
        </w:tc>
        <w:tc>
          <w:tcPr>
            <w:tcW w:type="dxa" w:w="216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Hex</w:t>
            </w:r>
          </w:p>
        </w:tc>
        <w:tc>
          <w:tcPr>
            <w:tcW w:type="dxa" w:w="360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Usage</w:t>
            </w:r>
          </w:p>
        </w:tc>
      </w:tr>
      <w:tr>
        <w:tc>
          <w:tcPr>
            <w:tcW w:type="dxa" w:w="1200"/>
            <w:tcBorders>
              <w:top w:val="single" w:color="CCCCCC" w:sz="1"/>
              <w:left w:val="single" w:color="CCCCCC" w:sz="1"/>
              <w:bottom w:val="single" w:color="CCCCCC" w:sz="1"/>
              <w:right w:val="single" w:color="CCCCCC" w:sz="1"/>
            </w:tcBorders>
            <w:shd w:fill="0A0C14" w:val="clear"/>
            <w:tcMar>
              <w:top w:type="dxa" w:w="60"/>
              <w:left w:type="dxa" w:w="80"/>
              <w:bottom w:type="dxa" w:w="60"/>
              <w:right w:type="dxa" w:w="80"/>
            </w:tcMar>
          </w:tcPr>
          <w:p>
            <w:r>
              <w:rPr>
                <w:color w:val="0A0C14"/>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Deep Space</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#0A0C14</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Primary dark background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color w:val="FFFFFF"/>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White</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#FFFFFF</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Text on dark, GROUND mark</w:t>
            </w:r>
          </w:p>
        </w:tc>
      </w:tr>
      <w:tr>
        <w:tc>
          <w:tcPr>
            <w:tcW w:type="dxa" w:w="1200"/>
            <w:tcBorders>
              <w:top w:val="single" w:color="CCCCCC" w:sz="1"/>
              <w:left w:val="single" w:color="CCCCCC" w:sz="1"/>
              <w:bottom w:val="single" w:color="CCCCCC" w:sz="1"/>
              <w:right w:val="single" w:color="CCCCCC" w:sz="1"/>
            </w:tcBorders>
            <w:shd w:fill="6AC6EC" w:val="clear"/>
            <w:tcMar>
              <w:top w:type="dxa" w:w="60"/>
              <w:left w:type="dxa" w:w="80"/>
              <w:bottom w:type="dxa" w:w="60"/>
              <w:right w:type="dxa" w:w="80"/>
            </w:tcMar>
          </w:tcPr>
          <w:p>
            <w:r>
              <w:rPr>
                <w:color w:val="6AC6EC"/>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GWES Cyan</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#6AC6EC</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 accents, dividers</w:t>
            </w:r>
          </w:p>
        </w:tc>
      </w:tr>
      <w:tr>
        <w:tc>
          <w:tcPr>
            <w:tcW w:type="dxa" w:w="1200"/>
            <w:tcBorders>
              <w:top w:val="single" w:color="CCCCCC" w:sz="1"/>
              <w:left w:val="single" w:color="CCCCCC" w:sz="1"/>
              <w:bottom w:val="single" w:color="CCCCCC" w:sz="1"/>
              <w:right w:val="single" w:color="CCCCCC" w:sz="1"/>
            </w:tcBorders>
            <w:shd w:fill="3F4250" w:val="clear"/>
            <w:tcMar>
              <w:top w:type="dxa" w:w="60"/>
              <w:left w:type="dxa" w:w="80"/>
              <w:bottom w:type="dxa" w:w="60"/>
              <w:right w:type="dxa" w:w="80"/>
            </w:tcMar>
          </w:tcPr>
          <w:p>
            <w:r>
              <w:rPr>
                <w:color w:val="3F4250"/>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Titanium Top</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#3F4250</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 Mark gradient start</w:t>
            </w:r>
          </w:p>
        </w:tc>
      </w:tr>
      <w:tr>
        <w:tc>
          <w:tcPr>
            <w:tcW w:type="dxa" w:w="1200"/>
            <w:tcBorders>
              <w:top w:val="single" w:color="CCCCCC" w:sz="1"/>
              <w:left w:val="single" w:color="CCCCCC" w:sz="1"/>
              <w:bottom w:val="single" w:color="CCCCCC" w:sz="1"/>
              <w:right w:val="single" w:color="CCCCCC" w:sz="1"/>
            </w:tcBorders>
            <w:shd w:fill="636A78" w:val="clear"/>
            <w:tcMar>
              <w:top w:type="dxa" w:w="60"/>
              <w:left w:type="dxa" w:w="80"/>
              <w:bottom w:type="dxa" w:w="60"/>
              <w:right w:type="dxa" w:w="80"/>
            </w:tcMar>
          </w:tcPr>
          <w:p>
            <w:r>
              <w:rPr>
                <w:color w:val="636A78"/>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Titanium Bottom</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#636A78</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 Mark gradient end</w:t>
            </w:r>
          </w:p>
        </w:tc>
      </w:tr>
      <w:tr>
        <w:tc>
          <w:tcPr>
            <w:tcW w:type="dxa" w:w="1200"/>
            <w:tcBorders>
              <w:top w:val="single" w:color="CCCCCC" w:sz="1"/>
              <w:left w:val="single" w:color="CCCCCC" w:sz="1"/>
              <w:bottom w:val="single" w:color="CCCCCC" w:sz="1"/>
              <w:right w:val="single" w:color="CCCCCC" w:sz="1"/>
            </w:tcBorders>
            <w:shd w:fill="C8CDD8" w:val="clear"/>
            <w:tcMar>
              <w:top w:type="dxa" w:w="60"/>
              <w:left w:type="dxa" w:w="80"/>
              <w:bottom w:type="dxa" w:w="60"/>
              <w:right w:type="dxa" w:w="80"/>
            </w:tcMar>
          </w:tcPr>
          <w:p>
            <w:r>
              <w:rPr>
                <w:color w:val="C8CDD8"/>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Mist</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#C8CDD8</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Subtle dividers, secondary text</w:t>
            </w:r>
          </w:p>
        </w:tc>
      </w:tr>
    </w:tbl>
    <w:p>
      <w:pPr>
        <w:spacing w:after="200"/>
      </w:pPr>
    </w:p>
    <w:p>
      <w:pPr>
        <w:pStyle w:val="Heading2"/>
        <w:spacing w:before="300" w:after="150"/>
      </w:pPr>
      <w:r>
        <w:t xml:space="preserve">5.2 GWES Particle Grid Gradient</w:t>
      </w:r>
    </w:p>
    <w:p>
      <w:pPr>
        <w:spacing w:after="120"/>
      </w:pPr>
      <w:r>
        <w:t xml:space="preserve">The particle grid uses a carefully tuned brightness gradient. All colors are derived from a cyan base, transitioning from dim translucent (#80d0f0 at 28% opacity) at the edges to brilliant white (#FFFFFF at 100% opacity) at the center. This creates a sense of energy converging at the core of the system.</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160"/>
        <w:gridCol w:w="3600"/>
      </w:tblGrid>
      <w:tr>
        <w:tc>
          <w:tcPr>
            <w:tcW w:type="dxa" w:w="120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Swatch</w:t>
            </w:r>
          </w:p>
        </w:tc>
        <w:tc>
          <w:tcPr>
            <w:tcW w:type="dxa" w:w="240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Name</w:t>
            </w:r>
          </w:p>
        </w:tc>
        <w:tc>
          <w:tcPr>
            <w:tcW w:type="dxa" w:w="216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Hex</w:t>
            </w:r>
          </w:p>
        </w:tc>
        <w:tc>
          <w:tcPr>
            <w:tcW w:type="dxa" w:w="3600"/>
            <w:tcBorders>
              <w:top w:val="single" w:color="CCCCCC" w:sz="1"/>
              <w:left w:val="single" w:color="CCCCCC" w:sz="1"/>
              <w:bottom w:val="single" w:color="CCCCCC" w:sz="1"/>
              <w:right w:val="single" w:color="CCCCCC" w:sz="1"/>
            </w:tcBorders>
            <w:shd w:fill="E8EDF2" w:val="clear"/>
            <w:tcMar>
              <w:top w:type="dxa" w:w="60"/>
              <w:left w:type="dxa" w:w="80"/>
              <w:bottom w:type="dxa" w:w="60"/>
              <w:right w:type="dxa" w:w="80"/>
            </w:tcMar>
          </w:tcPr>
          <w:p>
            <w:r>
              <w:rPr>
                <w:b/>
                <w:bCs/>
                <w:sz w:val="20"/>
                <w:szCs w:val="20"/>
              </w:rPr>
              <w:t xml:space="preserve">Zone</w:t>
            </w:r>
          </w:p>
        </w:tc>
      </w:tr>
      <w:tr>
        <w:tc>
          <w:tcPr>
            <w:tcW w:type="dxa" w:w="1200"/>
            <w:tcBorders>
              <w:top w:val="single" w:color="CCCCCC" w:sz="1"/>
              <w:left w:val="single" w:color="CCCCCC" w:sz="1"/>
              <w:bottom w:val="single" w:color="CCCCCC" w:sz="1"/>
              <w:right w:val="single" w:color="CCCCCC" w:sz="1"/>
            </w:tcBorders>
            <w:shd w:fill="80D0F0" w:val="clear"/>
            <w:tcMar>
              <w:top w:type="dxa" w:w="60"/>
              <w:left w:type="dxa" w:w="80"/>
              <w:bottom w:type="dxa" w:w="60"/>
              <w:right w:type="dxa" w:w="80"/>
            </w:tcMar>
          </w:tcPr>
          <w:p>
            <w:r>
              <w:rPr>
                <w:color w:val="80D0F0"/>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Edge Cyan</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#80D0F0</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Outermost dots (0.28 opacity)</w:t>
            </w:r>
          </w:p>
        </w:tc>
      </w:tr>
      <w:tr>
        <w:tc>
          <w:tcPr>
            <w:tcW w:type="dxa" w:w="1200"/>
            <w:tcBorders>
              <w:top w:val="single" w:color="CCCCCC" w:sz="1"/>
              <w:left w:val="single" w:color="CCCCCC" w:sz="1"/>
              <w:bottom w:val="single" w:color="CCCCCC" w:sz="1"/>
              <w:right w:val="single" w:color="CCCCCC" w:sz="1"/>
            </w:tcBorders>
            <w:shd w:fill="8AD4F1" w:val="clear"/>
            <w:tcMar>
              <w:top w:type="dxa" w:w="60"/>
              <w:left w:type="dxa" w:w="80"/>
              <w:bottom w:type="dxa" w:w="60"/>
              <w:right w:type="dxa" w:w="80"/>
            </w:tcMar>
          </w:tcPr>
          <w:p>
            <w:r>
              <w:rPr>
                <w:color w:val="8AD4F1"/>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Near Cyan</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#8AD4F1</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Near-edge dots (0.36 opacity)</w:t>
            </w:r>
          </w:p>
        </w:tc>
      </w:tr>
      <w:tr>
        <w:tc>
          <w:tcPr>
            <w:tcW w:type="dxa" w:w="1200"/>
            <w:tcBorders>
              <w:top w:val="single" w:color="CCCCCC" w:sz="1"/>
              <w:left w:val="single" w:color="CCCCCC" w:sz="1"/>
              <w:bottom w:val="single" w:color="CCCCCC" w:sz="1"/>
              <w:right w:val="single" w:color="CCCCCC" w:sz="1"/>
            </w:tcBorders>
            <w:shd w:fill="A8DDF4" w:val="clear"/>
            <w:tcMar>
              <w:top w:type="dxa" w:w="60"/>
              <w:left w:type="dxa" w:w="80"/>
              <w:bottom w:type="dxa" w:w="60"/>
              <w:right w:type="dxa" w:w="80"/>
            </w:tcMar>
          </w:tcPr>
          <w:p>
            <w:r>
              <w:rPr>
                <w:color w:val="A8DDF4"/>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Mid Cyan</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#A8DDF4</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Mid-zone dots (0.66 opacity)</w:t>
            </w:r>
          </w:p>
        </w:tc>
      </w:tr>
      <w:tr>
        <w:tc>
          <w:tcPr>
            <w:tcW w:type="dxa" w:w="1200"/>
            <w:tcBorders>
              <w:top w:val="single" w:color="CCCCCC" w:sz="1"/>
              <w:left w:val="single" w:color="CCCCCC" w:sz="1"/>
              <w:bottom w:val="single" w:color="CCCCCC" w:sz="1"/>
              <w:right w:val="single" w:color="CCCCCC" w:sz="1"/>
            </w:tcBorders>
            <w:shd w:fill="B4E2F5" w:val="clear"/>
            <w:tcMar>
              <w:top w:type="dxa" w:w="60"/>
              <w:left w:type="dxa" w:w="80"/>
              <w:bottom w:type="dxa" w:w="60"/>
              <w:right w:type="dxa" w:w="80"/>
            </w:tcMar>
          </w:tcPr>
          <w:p>
            <w:r>
              <w:rPr>
                <w:color w:val="B4E2F5"/>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Bright Cyan</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#B4E2F5</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Inner-mid dots (0.74 opacity)</w:t>
            </w:r>
          </w:p>
        </w:tc>
      </w:tr>
      <w:tr>
        <w:tc>
          <w:tcPr>
            <w:tcW w:type="dxa" w:w="1200"/>
            <w:tcBorders>
              <w:top w:val="single" w:color="CCCCCC" w:sz="1"/>
              <w:left w:val="single" w:color="CCCCCC" w:sz="1"/>
              <w:bottom w:val="single" w:color="CCCCCC" w:sz="1"/>
              <w:right w:val="single" w:color="CCCCCC" w:sz="1"/>
            </w:tcBorders>
            <w:shd w:fill="CEEAF8" w:val="clear"/>
            <w:tcMar>
              <w:top w:type="dxa" w:w="60"/>
              <w:left w:type="dxa" w:w="80"/>
              <w:bottom w:type="dxa" w:w="60"/>
              <w:right w:type="dxa" w:w="80"/>
            </w:tcMar>
          </w:tcPr>
          <w:p>
            <w:r>
              <w:rPr>
                <w:color w:val="CEEAF8"/>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Soft White</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#CEEAF8</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Near-center (0.86 opacity)</w:t>
            </w:r>
          </w:p>
        </w:tc>
      </w:tr>
      <w:tr>
        <w:tc>
          <w:tcPr>
            <w:tcW w:type="dxa" w:w="1200"/>
            <w:tcBorders>
              <w:top w:val="single" w:color="CCCCCC" w:sz="1"/>
              <w:left w:val="single" w:color="CCCCCC" w:sz="1"/>
              <w:bottom w:val="single" w:color="CCCCCC" w:sz="1"/>
              <w:right w:val="single" w:color="CCCCCC" w:sz="1"/>
            </w:tcBorders>
            <w:shd w:fill="DFF0FB" w:val="clear"/>
            <w:tcMar>
              <w:top w:type="dxa" w:w="60"/>
              <w:left w:type="dxa" w:w="80"/>
              <w:bottom w:type="dxa" w:w="60"/>
              <w:right w:type="dxa" w:w="80"/>
            </w:tcMar>
          </w:tcPr>
          <w:p>
            <w:r>
              <w:rPr>
                <w:color w:val="DFF0FB"/>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Glow White</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#DFF0FB</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Inner ring (0.92 opacity)</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color w:val="FFFFFF"/>
              </w:rPr>
              <w:t xml:space="preserve"> </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b/>
                <w:bCs/>
                <w:sz w:val="20"/>
                <w:szCs w:val="20"/>
              </w:rPr>
              <w:t xml:space="preserve">Core White</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rFonts w:ascii="Courier New" w:cs="Courier New" w:eastAsia="Courier New" w:hAnsi="Courier New"/>
                <w:sz w:val="20"/>
                <w:szCs w:val="20"/>
              </w:rPr>
              <w:t xml:space="preserve">#FFFFFF</w:t>
            </w:r>
          </w:p>
        </w:tc>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Center dot (1.0 opacity)</w:t>
            </w:r>
          </w:p>
        </w:tc>
      </w:tr>
    </w:tbl>
    <w:p>
      <w:r>
        <w:br w:type="page"/>
      </w:r>
    </w:p>
    <w:p>
      <w:pPr>
        <w:pStyle w:val="Heading1"/>
        <w:spacing w:before="400" w:after="200"/>
      </w:pPr>
      <w:r>
        <w:t xml:space="preserve">6. Typography</w:t>
      </w:r>
    </w:p>
    <w:p>
      <w:pPr>
        <w:spacing w:after="100"/>
      </w:pPr>
    </w:p>
    <w:p>
      <w:pPr>
        <w:pStyle w:val="Heading2"/>
        <w:spacing w:before="300" w:after="150"/>
      </w:pPr>
      <w:r>
        <w:t xml:space="preserve">6.1 Archivo</w:t>
      </w:r>
    </w:p>
    <w:p>
      <w:pPr>
        <w:spacing w:after="120"/>
      </w:pPr>
      <w:r>
        <w:t xml:space="preserve">Archivo is the primary brand typeface, used for both the GROUND wordmark and the GWES logotype. It is a grotesque sans-serif family designed for high-performance digital environments. Its geometric clarity and industrial character align with our identity as a logistics technology company.</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Source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Google Fonts (fonts.google.com/specimen/Archivo)</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GROUND Usage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Bold 700, letter-spacing 0.03em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Usage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Regular 400, letter-spacing 0.28em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Load Weights</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400, 700</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Fallback Stack</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Helvetica Neue, Arial, sans-serif</w:t>
            </w:r>
          </w:p>
        </w:tc>
      </w:tr>
    </w:tbl>
    <w:p>
      <w:pPr>
        <w:spacing w:after="200"/>
      </w:pPr>
    </w:p>
    <w:p>
      <w:pPr>
        <w:pStyle w:val="Heading2"/>
        <w:spacing w:before="300" w:after="150"/>
      </w:pPr>
      <w:r>
        <w:t xml:space="preserve">6.2 Inter</w:t>
      </w:r>
    </w:p>
    <w:p>
      <w:pPr>
        <w:spacing w:after="120"/>
      </w:pPr>
      <w:r>
        <w:t xml:space="preserve">Inter is used for the GWES tagline and supporting body text. Its exceptional legibility at small sizes makes it ideal for secondary information and UI elements.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Source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Google Fonts (fonts.google.com/specimen/Inter)</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GWES Tagline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Regular 400, letter-spacing 0.12em</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Fallback Stack</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Arial, sans-serif</w:t>
            </w:r>
          </w:p>
        </w:tc>
      </w:tr>
    </w:tbl>
    <w:p>
      <w:r>
        <w:br w:type="page"/>
      </w:r>
    </w:p>
    <w:p>
      <w:pPr>
        <w:pStyle w:val="Heading1"/>
        <w:spacing w:before="400" w:after="200"/>
      </w:pPr>
      <w:r>
        <w:t xml:space="preserve">7. Clear Space &amp; Minimum Size</w:t>
      </w:r>
    </w:p>
    <w:p>
      <w:pPr>
        <w:spacing w:after="100"/>
      </w:pPr>
    </w:p>
    <w:p>
      <w:pPr>
        <w:pStyle w:val="Heading2"/>
        <w:spacing w:before="300" w:after="150"/>
      </w:pPr>
      <w:r>
        <w:t xml:space="preserve">7.1 GROUND Logo</w:t>
      </w:r>
    </w:p>
    <w:p>
      <w:pPr>
        <w:spacing w:after="120"/>
      </w:pPr>
      <w:r>
        <w:t xml:space="preserve">The clear space around the GROUND logo is defined as the height of the top bar of the G Mark (approximately 12.5% of the total mark height). This space must be maintained on all sides of the complete lockup to preserve visual integrity.</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Clear Space Unit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Height of G Mark top bar (x)</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Minimum Clear Space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1x on all sides</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Minimum Mark Width</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24px (digital), 10mm (print)</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Minimum Lockup Width</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120px (digital), 40mm (print)</w:t>
            </w:r>
          </w:p>
        </w:tc>
      </w:tr>
    </w:tbl>
    <w:p>
      <w:pPr>
        <w:spacing w:after="200"/>
      </w:pPr>
    </w:p>
    <w:p>
      <w:pPr>
        <w:pStyle w:val="Heading2"/>
        <w:spacing w:before="300" w:after="150"/>
      </w:pPr>
      <w:r>
        <w:t xml:space="preserve">7.2 GWES Logo</w:t>
      </w:r>
    </w:p>
    <w:p>
      <w:pPr>
        <w:spacing w:after="120"/>
      </w:pPr>
      <w:r>
        <w:t xml:space="preserve">The clear space around the GWES logo is defined as the diameter of the center dot of the Particle Grid (6.8 units at standard scale). This space must be maintained on all sides. For the vertical lockup, the clear space is measured from the outermost elements: the top and side dots of the grid, and the edges of the tagline text.</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Clear Space Unit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Center dot diameter (y)</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Minimum Clear Space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1.5y on all sides</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Minimum Grid Size</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28px (digital), 10mm (print)</w:t>
            </w:r>
          </w:p>
        </w:tc>
      </w:tr>
      <w:tr>
        <w:tc>
          <w:tcPr>
            <w:tcW w:type="dxa" w:w="3200"/>
            <w:tcBorders>
              <w:top w:val="single" w:color="CCCCCC" w:sz="1"/>
              <w:left w:val="single" w:color="CCCCCC" w:sz="1"/>
              <w:bottom w:val="single" w:color="CCCCCC" w:sz="1"/>
              <w:right w:val="single" w:color="CCCCCC" w:sz="1"/>
            </w:tcBorders>
            <w:shd w:fill="F2F4F7" w:val="clear"/>
            <w:tcMar>
              <w:top w:type="dxa" w:w="60"/>
              <w:left w:type="dxa" w:w="120"/>
              <w:bottom w:type="dxa" w:w="60"/>
              <w:right w:type="dxa" w:w="80"/>
            </w:tcMar>
          </w:tcPr>
          <w:p>
            <w:r>
              <w:rPr>
                <w:b/>
                <w:bCs/>
                <w:sz w:val="20"/>
                <w:szCs w:val="20"/>
              </w:rPr>
              <w:t xml:space="preserve">Minimum Lockup Height</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160px (digital), 50mm (print)</w:t>
            </w:r>
          </w:p>
        </w:tc>
      </w:tr>
    </w:tbl>
    <w:p>
      <w:r>
        <w:br w:type="page"/>
      </w:r>
    </w:p>
    <w:p>
      <w:pPr>
        <w:pStyle w:val="Heading1"/>
        <w:spacing w:before="400" w:after="200"/>
      </w:pPr>
      <w:r>
        <w:t xml:space="preserve">8. Usage Guidelines</w:t>
      </w:r>
    </w:p>
    <w:p>
      <w:pPr>
        <w:spacing w:after="100"/>
      </w:pPr>
    </w:p>
    <w:p>
      <w:pPr>
        <w:pStyle w:val="Heading2"/>
        <w:spacing w:before="300" w:after="150"/>
      </w:pPr>
      <w:r>
        <w:t xml:space="preserve">8.1 Correct Usage</w:t>
      </w:r>
    </w:p>
    <w:p>
      <w:pPr>
        <w:spacing w:after="120"/>
      </w:pPr>
      <w:r>
        <w:t xml:space="preserve">Always use the logo files provided in this specification. The GWES logo should appear on dark backgrounds (#0A0C14 or similar dark tones). The GROUND logo may appear on either dark backgrounds (white rendering) or light backgrounds (titanium gradient rendering).</w:t>
      </w:r>
    </w:p>
    <w:p>
      <w:pPr>
        <w:spacing w:after="120"/>
      </w:pPr>
      <w:r>
        <w:t xml:space="preserve">When placing logos on photographic or textured backgrounds, ensure sufficient contrast by using a dark overlay or container. All elements of each logo must remain together and in their specified proportions.</w:t>
      </w:r>
    </w:p>
    <w:p>
      <w:pPr>
        <w:spacing w:after="100"/>
      </w:pPr>
    </w:p>
    <w:p>
      <w:pPr>
        <w:pStyle w:val="Heading2"/>
        <w:spacing w:before="300" w:after="150"/>
      </w:pPr>
      <w:r>
        <w:t xml:space="preserve">8.2 Prohibited Usage</w:t>
      </w:r>
    </w:p>
    <w:p>
      <w:pPr>
        <w:spacing w:after="120"/>
      </w:pPr>
      <w:r>
        <w:t xml:space="preserve">Do not alter the colors of any logo element. Do not rotate, skew, or distort the logos. Do not add drop shadows, outlines, or other effects. Do not change the typeface of any logotype. Do not rearrange the elements of any lockup. Do not place the GWES logo on light backgrounds without a dark container. Do not use the Particle Grid mark as a repeating pattern or texture.</w:t>
      </w:r>
    </w:p>
    <w:p>
      <w:pPr>
        <w:spacing w:after="100"/>
      </w:pPr>
    </w:p>
    <w:p>
      <w:pPr>
        <w:pStyle w:val="Heading2"/>
        <w:spacing w:before="300" w:after="150"/>
      </w:pPr>
      <w:r>
        <w:t xml:space="preserve">8.3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E8EDF2" w:val="clear"/>
            <w:tcMar>
              <w:top w:type="dxa" w:w="60"/>
              <w:left w:type="dxa" w:w="120"/>
              <w:bottom w:type="dxa" w:w="60"/>
              <w:right w:type="dxa" w:w="80"/>
            </w:tcMar>
          </w:tcPr>
          <w:p>
            <w:r>
              <w:rPr>
                <w:b/>
                <w:bCs/>
                <w:sz w:val="20"/>
                <w:szCs w:val="20"/>
              </w:rPr>
              <w:t xml:space="preserve">File</w:t>
            </w:r>
          </w:p>
        </w:tc>
        <w:tc>
          <w:tcPr>
            <w:tcW w:type="dxa" w:w="3080"/>
            <w:tcBorders>
              <w:top w:val="single" w:color="CCCCCC" w:sz="1"/>
              <w:left w:val="single" w:color="CCCCCC" w:sz="1"/>
              <w:bottom w:val="single" w:color="CCCCCC" w:sz="1"/>
              <w:right w:val="single" w:color="CCCCCC" w:sz="1"/>
            </w:tcBorders>
            <w:shd w:fill="E8EDF2" w:val="clear"/>
            <w:tcMar>
              <w:top w:type="dxa" w:w="60"/>
              <w:left w:type="dxa" w:w="120"/>
              <w:bottom w:type="dxa" w:w="60"/>
              <w:right w:type="dxa" w:w="80"/>
            </w:tcMar>
          </w:tcPr>
          <w:p>
            <w:r>
              <w:rPr>
                <w:b/>
                <w:bCs/>
                <w:sz w:val="20"/>
                <w:szCs w:val="20"/>
              </w:rPr>
              <w:t xml:space="preserve">Format</w:t>
            </w:r>
          </w:p>
        </w:tc>
        <w:tc>
          <w:tcPr>
            <w:tcW w:type="dxa" w:w="3080"/>
            <w:tcBorders>
              <w:top w:val="single" w:color="CCCCCC" w:sz="1"/>
              <w:left w:val="single" w:color="CCCCCC" w:sz="1"/>
              <w:bottom w:val="single" w:color="CCCCCC" w:sz="1"/>
              <w:right w:val="single" w:color="CCCCCC" w:sz="1"/>
            </w:tcBorders>
            <w:shd w:fill="E8EDF2" w:val="clear"/>
            <w:tcMar>
              <w:top w:type="dxa" w:w="60"/>
              <w:left w:type="dxa" w:w="120"/>
              <w:bottom w:type="dxa" w:w="60"/>
              <w:right w:type="dxa" w:w="80"/>
            </w:tcMar>
          </w:tcPr>
          <w:p>
            <w:r>
              <w:rPr>
                <w:b/>
                <w:bCs/>
                <w:sz w:val="20"/>
                <w:szCs w:val="20"/>
              </w:rPr>
              <w:t xml:space="preserve">Usage</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gwes-particle-grid.svg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Particle Grid mark only</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gwes-lockup-vertical.svg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GWES full vertical lockup</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ground-logo-dark.svg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 Mark (titanium gradient)</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combined-lockup-dark.svg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SVG</w:t>
            </w:r>
          </w:p>
        </w:tc>
        <w:tc>
          <w:tcPr>
            <w:tcW w:type="dxa" w:w="3080"/>
            <w:tcBorders>
              <w:top w:val="single" w:color="CCCCCC" w:sz="1"/>
              <w:left w:val="single" w:color="CCCCCC" w:sz="1"/>
              <w:bottom w:val="single" w:color="CCCCCC" w:sz="1"/>
              <w:right w:val="single" w:color="CCCCCC" w:sz="1"/>
            </w:tcBorders>
            <w:tcMar>
              <w:top w:type="dxa" w:w="60"/>
              <w:left w:type="dxa" w:w="120"/>
              <w:bottom w:type="dxa" w:w="60"/>
              <w:right w:type="dxa" w:w="80"/>
            </w:tcMar>
          </w:tcPr>
          <w:p>
            <w:r>
              <w:rPr>
                <w:sz w:val="20"/>
                <w:szCs w:val="20"/>
              </w:rPr>
              <w:t xml:space="preserve">GROUND + GWES horizontal</w:t>
            </w:r>
          </w:p>
        </w:tc>
      </w:tr>
    </w:tbl>
    <w:p>
      <w:pPr>
        <w:spacing w:after="400"/>
      </w:pPr>
    </w:p>
    <w:p>
      <w:pPr>
        <w:pBdr>
          <w:top w:val="single" w:color="C8CDD8" w:sz="1" w:space="12"/>
        </w:pBdr>
        <w:jc w:val="center"/>
      </w:pPr>
    </w:p>
    <w:p>
      <w:pPr>
        <w:spacing w:after="100"/>
      </w:pPr>
    </w:p>
    <w:p>
      <w:pPr>
        <w:jc w:val="center"/>
      </w:pPr>
      <w:r>
        <w:rPr>
          <w:color w:val="999999"/>
          <w:sz w:val="18"/>
          <w:szCs w:val="18"/>
        </w:rPr>
        <w:t xml:space="preserve">GROUND Inc. All Rights Reserved.</w:t>
      </w:r>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6"/>
        <w:szCs w:val="16"/>
      </w:rPr>
      <w:t xml:space="preserve">GROUND Inc. Brand Guidelines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6"/>
        <w:szCs w:val="16"/>
      </w:rPr>
      <w:t xml:space="preserve">GROUND Inc. Brand Guidelines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A0C14"/>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A3A5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F42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a522e114fb5285ec14fd0510dba73d4ea69f5e64.png"/><Relationship Id="rId11" Type="http://schemas.openxmlformats.org/officeDocument/2006/relationships/image" Target="media/e2d01885223e5c3978b2ff00ffd696b910537804.png"/><Relationship Id="rId12" Type="http://schemas.openxmlformats.org/officeDocument/2006/relationships/image" Target="media/1d5584cf6b0362cd9d391346c9e434eb2420ca47.png"/><Relationship Id="rId13" Type="http://schemas.openxmlformats.org/officeDocument/2006/relationships/image" Target="media/352ce26b8461a39dfc63873e90382a5ebd62ab07.png"/><Relationship Id="rId14" Type="http://schemas.openxmlformats.org/officeDocument/2006/relationships/image" Target="media/8010f330ad541408399dac6e7c79fc4472583ced.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2026-03-14T04:15:26.383Z</dcterms:created>
  <dcterms:modified xsi:type="dcterms:W3CDTF">2026-03-14T04:15:26.386Z</dcterms:modified>
</cp:coreProperties>
</file>

<file path=docProps/custom.xml><?xml version="1.0" encoding="utf-8"?>
<Properties xmlns="http://schemas.openxmlformats.org/officeDocument/2006/custom-properties" xmlns:vt="http://schemas.openxmlformats.org/officeDocument/2006/docPropsVTypes"/>
</file>