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before="80" w:after="80"/>
        <w:jc w:val="center"/>
      </w:pPr>
      <w:r>
        <w:drawing>
          <wp:inline distT="0" distB="0" distL="0" distR="0">
            <wp:extent cx="4000500" cy="628650"/>
            <wp:effectExtent t="0" r="0" b="0" l="0"/>
            <wp:docPr id="1" name="logo" descr="Logo im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628650"/>
                    </a:xfrm>
                    <a:prstGeom prst="rect">
                      <a:avLst/>
                    </a:prstGeom>
                  </pic:spPr>
                </pic:pic>
              </a:graphicData>
            </a:graphic>
          </wp:inline>
        </w:drawing>
      </w:r>
    </w:p>
    <w:p>
      <w:pPr>
        <w:spacing w:after="300"/>
      </w:pPr>
    </w:p>
    <w:p>
      <w:pPr>
        <w:spacing w:after="60"/>
        <w:jc w:val="center"/>
      </w:pPr>
      <w:r>
        <w:rPr>
          <w:rFonts w:ascii="Arial" w:cs="Arial" w:eastAsia="Arial" w:hAnsi="Arial"/>
          <w:b/>
          <w:bCs/>
          <w:color w:val="1F2937"/>
          <w:sz w:val="44"/>
          <w:szCs w:val="44"/>
        </w:rPr>
        <w:t xml:space="preserve">Brand Identity Guidelines</w:t>
      </w:r>
    </w:p>
    <w:p>
      <w:pPr>
        <w:spacing w:after="160"/>
        <w:jc w:val="center"/>
      </w:pPr>
      <w:r>
        <w:rPr>
          <w:rFonts w:ascii="Arial" w:cs="Arial" w:eastAsia="Arial" w:hAnsi="Arial"/>
          <w:color w:val="6B7280"/>
          <w:sz w:val="22"/>
          <w:szCs w:val="22"/>
        </w:rPr>
        <w:t xml:space="preserve">Logo Specification Document</w:t>
      </w:r>
    </w:p>
    <w:p>
      <w:pPr>
        <w:pBdr>
          <w:top w:val="single" w:color="D1D5DB" w:sz="1" w:space="6"/>
        </w:pBdr>
        <w:spacing w:before="160" w:after="80"/>
        <w:jc w:val="center"/>
      </w:pPr>
    </w:p>
    <w:p>
      <w:pPr>
        <w:spacing w:after="40"/>
        <w:jc w:val="center"/>
      </w:pPr>
      <w:r>
        <w:rPr>
          <w:rFonts w:ascii="Arial" w:cs="Arial" w:eastAsia="Arial" w:hAnsi="Arial"/>
          <w:color w:val="6B7280"/>
          <w:sz w:val="18"/>
          <w:szCs w:val="18"/>
        </w:rPr>
        <w:t xml:space="preserve">Version 1.0  |  March 2026</w:t>
      </w:r>
    </w:p>
    <w:p>
      <w:pPr>
        <w:spacing w:after="20"/>
        <w:jc w:val="center"/>
      </w:pPr>
      <w:r>
        <w:rPr>
          <w:rFonts w:ascii="Arial" w:cs="Arial" w:eastAsia="Arial" w:hAnsi="Arial"/>
          <w:color w:val="374151"/>
          <w:sz w:val="18"/>
          <w:szCs w:val="18"/>
        </w:rPr>
        <w:t xml:space="preserve">GROUND Inc.</w:t>
      </w:r>
    </w:p>
    <w:p>
      <w:pPr>
        <w:jc w:val="center"/>
      </w:pPr>
      <w:r>
        <w:rPr>
          <w:rFonts w:ascii="Arial" w:cs="Arial" w:eastAsia="Arial" w:hAnsi="Arial"/>
          <w:i/>
          <w:iCs/>
          <w:color w:val="6B7280"/>
          <w:sz w:val="16"/>
          <w:szCs w:val="16"/>
        </w:rPr>
        <w:t xml:space="preserve">Confidential</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F2937"/>
          <w:sz w:val="32"/>
          <w:szCs w:val="32"/>
        </w:rPr>
        <w:t xml:space="preserve">1. Brand Philosophy</w:t>
      </w:r>
    </w:p>
    <w:p>
      <w:pPr>
        <w:pStyle w:val="Heading2"/>
        <w:spacing w:before="200" w:after="80"/>
      </w:pPr>
      <w:r>
        <w:rPr>
          <w:rFonts w:ascii="Arial" w:cs="Arial" w:eastAsia="Arial" w:hAnsi="Arial"/>
          <w:b/>
          <w:bCs/>
          <w:color w:val="1F2937"/>
          <w:sz w:val="24"/>
          <w:szCs w:val="24"/>
        </w:rPr>
        <w:t xml:space="preserve">GROUND Inc.</w:t>
      </w:r>
    </w:p>
    <w:p>
      <w:pPr>
        <w:spacing w:after="80" w:line="264"/>
      </w:pPr>
      <w:r>
        <w:rPr>
          <w:rFonts w:ascii="Arial" w:cs="Arial" w:eastAsia="Arial" w:hAnsi="Arial"/>
          <w:color w:val="374151"/>
          <w:sz w:val="19"/>
          <w:szCs w:val="19"/>
        </w:rPr>
        <w:t xml:space="preserve">GROUND Inc. is built on the belief that logistics infrastructure is the foundation upon which modern commerce stands. The name represents the bedrock, the essential platform that everything else is built upon.</w:t>
      </w:r>
    </w:p>
    <w:p>
      <w:pPr>
        <w:spacing w:after="80" w:line="264"/>
      </w:pPr>
      <w:r>
        <w:rPr>
          <w:rFonts w:ascii="Arial" w:cs="Arial" w:eastAsia="Arial" w:hAnsi="Arial"/>
          <w:color w:val="374151"/>
          <w:sz w:val="19"/>
          <w:szCs w:val="19"/>
        </w:rPr>
        <w:t xml:space="preserve">The G Mark embodies this philosophy through its architectural geometry. Derived from a bold, structural letterform, it evokes the form of a warehouse entrance or loading dock. The open aperture represents the flow of goods; the solid perimeter speaks to stability and structural integrity. The titanium gradient on light backgrounds suggests industrial precision, while pure white on dark backgrounds conveys technological sophistication.</w:t>
      </w:r>
    </w:p>
    <w:p>
      <w:pPr>
        <w:pStyle w:val="Heading2"/>
        <w:spacing w:before="200" w:after="80"/>
      </w:pPr>
      <w:r>
        <w:rPr>
          <w:rFonts w:ascii="Arial" w:cs="Arial" w:eastAsia="Arial" w:hAnsi="Arial"/>
          <w:b/>
          <w:bCs/>
          <w:color w:val="1F2937"/>
          <w:sz w:val="24"/>
          <w:szCs w:val="24"/>
        </w:rPr>
        <w:t xml:space="preserve">GWES</w:t>
      </w:r>
    </w:p>
    <w:p>
      <w:pPr>
        <w:spacing w:after="80" w:line="264"/>
      </w:pPr>
      <w:r>
        <w:rPr>
          <w:rFonts w:ascii="Arial" w:cs="Arial" w:eastAsia="Arial" w:hAnsi="Arial"/>
          <w:color w:val="374151"/>
          <w:sz w:val="19"/>
          <w:szCs w:val="19"/>
        </w:rPr>
        <w:t xml:space="preserve">GWES (GROUND Warehouse Execution System) is the intelligent operating system for autonomous warehouse operations. Its visual identity communicates distributed intelligence, networked awareness, and emergent coordination.</w:t>
      </w:r>
    </w:p>
    <w:p>
      <w:pPr>
        <w:spacing w:after="80" w:line="264"/>
      </w:pPr>
      <w:r>
        <w:rPr>
          <w:rFonts w:ascii="Arial" w:cs="Arial" w:eastAsia="Arial" w:hAnsi="Arial"/>
          <w:color w:val="374151"/>
          <w:sz w:val="19"/>
          <w:szCs w:val="19"/>
        </w:rPr>
        <w:t xml:space="preserve">The Particle Grid mark captures this essence: a diamond-shaped matrix of luminous dots radiating from a central node, each representing an autonomous agent in the warehouse ecosystem. The brightness gradient from edge to center tells the story of data flowing inward from distributed sensors, converging where real-time decisions are made. The cyan palette communicates precision, technological capability, and active monitoring.</w:t>
      </w:r>
    </w:p>
    <w:p>
      <w:pPr>
        <w:pStyle w:val="Heading1"/>
        <w:spacing w:before="360" w:after="120"/>
      </w:pPr>
      <w:r>
        <w:rPr>
          <w:rFonts w:ascii="Arial" w:cs="Arial" w:eastAsia="Arial" w:hAnsi="Arial"/>
          <w:b/>
          <w:bCs/>
          <w:color w:val="1F2937"/>
          <w:sz w:val="32"/>
          <w:szCs w:val="32"/>
        </w:rPr>
        <w:t xml:space="preserve">2. GROUND Corporate Logo</w:t>
      </w:r>
    </w:p>
    <w:p>
      <w:pPr>
        <w:pStyle w:val="Heading2"/>
        <w:spacing w:before="200" w:after="80"/>
      </w:pPr>
      <w:r>
        <w:rPr>
          <w:rFonts w:ascii="Arial" w:cs="Arial" w:eastAsia="Arial" w:hAnsi="Arial"/>
          <w:b/>
          <w:bCs/>
          <w:color w:val="1F2937"/>
          <w:sz w:val="24"/>
          <w:szCs w:val="24"/>
        </w:rPr>
        <w:t xml:space="preserve">2.1 G Mark</w:t>
      </w:r>
    </w:p>
    <w:p>
      <w:pPr>
        <w:spacing w:after="80" w:line="264"/>
      </w:pPr>
      <w:r>
        <w:rPr>
          <w:rFonts w:ascii="Arial" w:cs="Arial" w:eastAsia="Arial" w:hAnsi="Arial"/>
          <w:color w:val="374151"/>
          <w:sz w:val="19"/>
          <w:szCs w:val="19"/>
        </w:rPr>
        <w:t xml:space="preserve">The G Mark is the primary symbol of GROUND Inc. It is a geometric abstraction of the letter G, designed to evoke architectural forms associated with logistics infrastructure.</w:t>
      </w:r>
    </w:p>
    <w:p>
      <w:pPr>
        <w:spacing w:before="80" w:after="80"/>
        <w:jc w:val="center"/>
      </w:pPr>
      <w:r>
        <w:drawing>
          <wp:inline distT="0" distB="0" distL="0" distR="0">
            <wp:extent cx="2476500" cy="1238250"/>
            <wp:effectExtent t="0" r="0" b="0" l="0"/>
            <wp:docPr id="1" name="logo" descr="Logo im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238250"/>
                    </a:xfrm>
                    <a:prstGeom prst="rect">
                      <a:avLst/>
                    </a:prstGeom>
                  </pic:spPr>
                </pic:pic>
              </a:graphicData>
            </a:graphic>
          </wp:inline>
        </w:drawing>
      </w:r>
    </w:p>
    <w:p>
      <w:pPr>
        <w:pStyle w:val="Heading3"/>
        <w:spacing w:before="140" w:after="60"/>
      </w:pPr>
      <w:r>
        <w:rPr>
          <w:rFonts w:ascii="Arial" w:cs="Arial" w:eastAsia="Arial" w:hAnsi="Arial"/>
          <w:b/>
          <w:bCs/>
          <w:color w:val="1F2937"/>
          <w:sz w:val="20"/>
          <w:szCs w:val="20"/>
        </w:rPr>
        <w:t xml:space="preserve">Construction</w:t>
      </w:r>
    </w:p>
    <w:p>
      <w:pPr>
        <w:spacing w:after="80" w:line="264"/>
      </w:pPr>
      <w:r>
        <w:rPr>
          <w:rFonts w:ascii="Arial" w:cs="Arial" w:eastAsia="Arial" w:hAnsi="Arial"/>
          <w:color w:val="374151"/>
          <w:sz w:val="19"/>
          <w:szCs w:val="19"/>
        </w:rPr>
        <w:t xml:space="preserve">The mark is constructed from a single continuous SVG path forming an open rectangular shape. The original viewBox is 3877 × 1938 units (approximately 2:1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SVG Path</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M0 0 H3877 V244 H244 V1694 H3632 V966 H3877 V1938 H0 Z</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Top Bar Height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244 units (12.6% of total height)</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Left Bar Width</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244 units (6.3% of total width)</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Right Notch</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Opening between y=244 and y=966 (37.2% height)</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Aperture Position</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Right side, x=3632 to x=3877</w:t>
            </w:r>
          </w:p>
        </w:tc>
      </w:tr>
    </w:tbl>
    <w:p>
      <w:pPr>
        <w:pStyle w:val="Heading2"/>
        <w:spacing w:before="200" w:after="80"/>
      </w:pPr>
      <w:r>
        <w:rPr>
          <w:rFonts w:ascii="Arial" w:cs="Arial" w:eastAsia="Arial" w:hAnsi="Arial"/>
          <w:b/>
          <w:bCs/>
          <w:color w:val="1F2937"/>
          <w:sz w:val="24"/>
          <w:szCs w:val="24"/>
        </w:rPr>
        <w:t xml:space="preserve">2.2 Wordmark</w:t>
      </w:r>
    </w:p>
    <w:p>
      <w:pPr>
        <w:spacing w:after="80" w:line="264"/>
      </w:pPr>
      <w:r>
        <w:rPr>
          <w:rFonts w:ascii="Arial" w:cs="Arial" w:eastAsia="Arial" w:hAnsi="Arial"/>
          <w:color w:val="374151"/>
          <w:sz w:val="19"/>
          <w:szCs w:val="19"/>
        </w:rPr>
        <w:t xml:space="preserve">The GROUND wordmark is set in Archivo Bold 700 with letter-spacing 0.03em.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Font Family</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Archivo (Google Fonts)</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Font Weight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700 (Bold)</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Font Size (header)</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22px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Letter Spacing</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0.03em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 (dark bg)</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#FFFFFF (white)</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 (light bg)</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Inherits from G Mark gradient</w:t>
            </w:r>
          </w:p>
        </w:tc>
      </w:tr>
    </w:tbl>
    <w:p>
      <w:pPr>
        <w:pStyle w:val="Heading2"/>
        <w:spacing w:before="200" w:after="80"/>
      </w:pPr>
      <w:r>
        <w:rPr>
          <w:rFonts w:ascii="Arial" w:cs="Arial" w:eastAsia="Arial" w:hAnsi="Arial"/>
          <w:b/>
          <w:bCs/>
          <w:color w:val="1F2937"/>
          <w:sz w:val="24"/>
          <w:szCs w:val="24"/>
        </w:rPr>
        <w:t xml:space="preserve">2.3 Full Lockup</w:t>
      </w:r>
    </w:p>
    <w:p>
      <w:pPr>
        <w:spacing w:after="80" w:line="264"/>
      </w:pPr>
      <w:r>
        <w:rPr>
          <w:rFonts w:ascii="Arial" w:cs="Arial" w:eastAsia="Arial" w:hAnsi="Arial"/>
          <w:color w:val="374151"/>
          <w:sz w:val="19"/>
          <w:szCs w:val="19"/>
        </w:rPr>
        <w:t xml:space="preserve">The full GROUND lockup combines the G Mark with the wordmark horizontally. On dark backgrounds (#0A0C14), both elements render in pure white. On light backgrounds, the G Mark uses the titanium gradient.</w:t>
      </w:r>
    </w:p>
    <w:p>
      <w:pPr>
        <w:spacing w:before="80" w:after="80"/>
        <w:jc w:val="center"/>
      </w:pPr>
      <w:r>
        <w:drawing>
          <wp:inline distT="0" distB="0" distL="0" distR="0">
            <wp:extent cx="3238500" cy="647700"/>
            <wp:effectExtent t="0" r="0" b="0" l="0"/>
            <wp:docPr id="1" name="logo" descr="Logo im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647700"/>
                    </a:xfrm>
                    <a:prstGeom prst="rect">
                      <a:avLst/>
                    </a:prstGeom>
                  </pic:spPr>
                </pic:pic>
              </a:graphicData>
            </a:graphic>
          </wp:inline>
        </w:drawing>
      </w:r>
    </w:p>
    <w:p>
      <w:pPr>
        <w:pStyle w:val="Heading2"/>
        <w:spacing w:before="200" w:after="80"/>
      </w:pPr>
      <w:r>
        <w:rPr>
          <w:rFonts w:ascii="Arial" w:cs="Arial" w:eastAsia="Arial" w:hAnsi="Arial"/>
          <w:b/>
          <w:bCs/>
          <w:color w:val="1F2937"/>
          <w:sz w:val="24"/>
          <w:szCs w:val="24"/>
        </w:rPr>
        <w:t xml:space="preserve">2.4 Technical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Symbol</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 Mark (geometric SVG path)</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ViewBox</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0 0 3877 1938</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Aspect Ratio</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2:1 (width:height)</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Wordmark Font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Archivo Bold 700</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Wordmark Letter Spacing</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0.03em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 — Dark Background</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#FFFFFF (white)</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 — Light Background</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linearGradient: #3F4250 → #636A78 (titanium)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Gradient Stops</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0%–60% #3F4250, 75% #474C5A, 85% #515866, 92% #5B6270, 100% #636A78</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Header Mark Size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height: 26px, width: auto (maintains ratio)</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Mark-to-Text Alignment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Vertical center, inline horizontal layout</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Google Fonts Load</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Archivo:wght@400;700</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SVG File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ground-logo-dark.svg</w:t>
            </w:r>
          </w:p>
        </w:tc>
      </w:tr>
    </w:tbl>
    <w:p>
      <w:pPr>
        <w:pStyle w:val="Heading1"/>
        <w:spacing w:before="360" w:after="120"/>
      </w:pPr>
      <w:r>
        <w:rPr>
          <w:rFonts w:ascii="Arial" w:cs="Arial" w:eastAsia="Arial" w:hAnsi="Arial"/>
          <w:b/>
          <w:bCs/>
          <w:color w:val="1F2937"/>
          <w:sz w:val="32"/>
          <w:szCs w:val="32"/>
        </w:rPr>
        <w:t xml:space="preserve">3. GWES Product Logo</w:t>
      </w:r>
    </w:p>
    <w:p>
      <w:pPr>
        <w:pStyle w:val="Heading2"/>
        <w:spacing w:before="200" w:after="80"/>
      </w:pPr>
      <w:r>
        <w:rPr>
          <w:rFonts w:ascii="Arial" w:cs="Arial" w:eastAsia="Arial" w:hAnsi="Arial"/>
          <w:b/>
          <w:bCs/>
          <w:color w:val="1F2937"/>
          <w:sz w:val="24"/>
          <w:szCs w:val="24"/>
        </w:rPr>
        <w:t xml:space="preserve">3.1 Particle Grid Mark</w:t>
      </w:r>
    </w:p>
    <w:p>
      <w:pPr>
        <w:spacing w:after="80" w:line="264"/>
      </w:pPr>
      <w:r>
        <w:rPr>
          <w:rFonts w:ascii="Arial" w:cs="Arial" w:eastAsia="Arial" w:hAnsi="Arial"/>
          <w:color w:val="374151"/>
          <w:sz w:val="19"/>
          <w:szCs w:val="19"/>
        </w:rPr>
        <w:t xml:space="preserve">The Particle Grid is the visual centerpiece of the GWES identity. It consists of a diamond-shaped array of circular dots arranged in a 7-row grid, with brightness and radius increasing from edges to center.</w:t>
      </w:r>
    </w:p>
    <w:p>
      <w:pPr>
        <w:spacing w:before="80" w:after="80"/>
        <w:jc w:val="center"/>
      </w:pPr>
      <w:r>
        <w:drawing>
          <wp:inline distT="0" distB="0" distL="0" distR="0">
            <wp:extent cx="1714500" cy="1714500"/>
            <wp:effectExtent t="0" r="0" b="0" l="0"/>
            <wp:docPr id="1" name="logo" descr="Logo im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714500"/>
                    </a:xfrm>
                    <a:prstGeom prst="rect">
                      <a:avLst/>
                    </a:prstGeom>
                  </pic:spPr>
                </pic:pic>
              </a:graphicData>
            </a:graphic>
          </wp:inline>
        </w:drawing>
      </w:r>
    </w:p>
    <w:p>
      <w:pPr>
        <w:pStyle w:val="Heading3"/>
        <w:spacing w:before="140" w:after="60"/>
      </w:pPr>
      <w:r>
        <w:rPr>
          <w:rFonts w:ascii="Arial" w:cs="Arial" w:eastAsia="Arial" w:hAnsi="Arial"/>
          <w:b/>
          <w:bCs/>
          <w:color w:val="1F2937"/>
          <w:sz w:val="20"/>
          <w:szCs w:val="20"/>
        </w:rPr>
        <w:t xml:space="preserve">SVG Structure</w:t>
      </w:r>
    </w:p>
    <w:p>
      <w:pPr>
        <w:spacing w:after="80" w:line="264"/>
      </w:pPr>
      <w:r>
        <w:rPr>
          <w:rFonts w:ascii="Arial" w:cs="Arial" w:eastAsia="Arial" w:hAnsi="Arial"/>
          <w:color w:val="374151"/>
          <w:sz w:val="19"/>
          <w:szCs w:val="19"/>
        </w:rPr>
        <w:t xml:space="preserve">The grid is defined in a 200 × 200 viewBox. Each dot is a &lt;circle&gt; element with radius varying from 3.9 (outermost) to 6.8 (center). Dots use rgba fills where opacity ranges from 0.28 to 1.0. A subtle radial gradient glow circle sits behind the dots at 12% opacity.</w:t>
      </w:r>
    </w:p>
    <w:p>
      <w:pPr>
        <w:pStyle w:val="Heading3"/>
        <w:spacing w:before="140" w:after="60"/>
      </w:pPr>
      <w:r>
        <w:rPr>
          <w:rFonts w:ascii="Arial" w:cs="Arial" w:eastAsia="Arial" w:hAnsi="Arial"/>
          <w:b/>
          <w:bCs/>
          <w:color w:val="1F2937"/>
          <w:sz w:val="20"/>
          <w:szCs w:val="20"/>
        </w:rPr>
        <w:t xml:space="preserve">Dot Brightness Gradient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400"/>
        <w:gridCol w:w="1200"/>
        <w:gridCol w:w="1826"/>
      </w:tblGrid>
      <w:tr>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Zone</w:t>
            </w:r>
          </w:p>
        </w:tc>
        <w:tc>
          <w:tcPr>
            <w:tcW w:type="dxa" w:w="16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Fill</w:t>
            </w:r>
          </w:p>
        </w:tc>
        <w:tc>
          <w:tcPr>
            <w:tcW w:type="dxa" w:w="14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Opacity</w:t>
            </w:r>
          </w:p>
        </w:tc>
        <w:tc>
          <w:tcPr>
            <w:tcW w:type="dxa" w:w="14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Radius</w:t>
            </w:r>
          </w:p>
        </w:tc>
        <w:tc>
          <w:tcPr>
            <w:tcW w:type="dxa" w:w="12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Count</w:t>
            </w:r>
          </w:p>
        </w:tc>
        <w:tc>
          <w:tcPr>
            <w:tcW w:type="dxa" w:w="1826"/>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Position</w:t>
            </w:r>
          </w:p>
        </w:tc>
      </w:tr>
      <w:tr>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Edge Cyan</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#80D0F0</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0.28</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3.9</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w:t>
            </w:r>
          </w:p>
        </w:tc>
        <w:tc>
          <w:tcPr>
            <w:tcW w:type="dxa" w:w="18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Outermost corners</w:t>
            </w:r>
          </w:p>
        </w:tc>
      </w:tr>
      <w:tr>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Near Cyan</w:t>
            </w:r>
          </w:p>
        </w:tc>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#8AD4F1</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0.36</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4.1</w:t>
            </w:r>
          </w:p>
        </w:tc>
        <w:tc>
          <w:tcPr>
            <w:tcW w:type="dxa" w:w="12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4</w:t>
            </w:r>
          </w:p>
        </w:tc>
        <w:tc>
          <w:tcPr>
            <w:tcW w:type="dxa" w:w="18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Near-edge</w:t>
            </w:r>
          </w:p>
        </w:tc>
      </w:tr>
      <w:tr>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Trans Cyan</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#8ED6F2</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0.44</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4.2</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4</w:t>
            </w:r>
          </w:p>
        </w:tc>
        <w:tc>
          <w:tcPr>
            <w:tcW w:type="dxa" w:w="18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Row 2/6 edges</w:t>
            </w:r>
          </w:p>
        </w:tc>
      </w:tr>
      <w:tr>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Mid Cyan</w:t>
            </w:r>
          </w:p>
        </w:tc>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#A8DDF4</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0.66</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4.8</w:t>
            </w:r>
          </w:p>
        </w:tc>
        <w:tc>
          <w:tcPr>
            <w:tcW w:type="dxa" w:w="12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8</w:t>
            </w:r>
          </w:p>
        </w:tc>
        <w:tc>
          <w:tcPr>
            <w:tcW w:type="dxa" w:w="18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Mid-zone</w:t>
            </w:r>
          </w:p>
        </w:tc>
      </w:tr>
      <w:tr>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Bright Cyan</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#B4E2F5</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0.74</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5.0</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4</w:t>
            </w:r>
          </w:p>
        </w:tc>
        <w:tc>
          <w:tcPr>
            <w:tcW w:type="dxa" w:w="18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Inner-mid</w:t>
            </w:r>
          </w:p>
        </w:tc>
      </w:tr>
      <w:tr>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Soft White</w:t>
            </w:r>
          </w:p>
        </w:tc>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#CEEAF8</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0.86</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5.5</w:t>
            </w:r>
          </w:p>
        </w:tc>
        <w:tc>
          <w:tcPr>
            <w:tcW w:type="dxa" w:w="12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4</w:t>
            </w:r>
          </w:p>
        </w:tc>
        <w:tc>
          <w:tcPr>
            <w:tcW w:type="dxa" w:w="18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Near-center</w:t>
            </w:r>
          </w:p>
        </w:tc>
      </w:tr>
      <w:tr>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Glow White</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#DFF0FB</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0.92</w:t>
            </w:r>
          </w:p>
        </w:tc>
        <w:tc>
          <w:tcPr>
            <w:tcW w:type="dxa" w:w="14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5.9</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6</w:t>
            </w:r>
          </w:p>
        </w:tc>
        <w:tc>
          <w:tcPr>
            <w:tcW w:type="dxa" w:w="18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Inner ring</w:t>
            </w:r>
          </w:p>
        </w:tc>
      </w:tr>
      <w:tr>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Core White</w:t>
            </w:r>
          </w:p>
        </w:tc>
        <w:tc>
          <w:tcPr>
            <w:tcW w:type="dxa" w:w="16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#FFFFFF</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1.0</w:t>
            </w:r>
          </w:p>
        </w:tc>
        <w:tc>
          <w:tcPr>
            <w:tcW w:type="dxa" w:w="14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6.8</w:t>
            </w:r>
          </w:p>
        </w:tc>
        <w:tc>
          <w:tcPr>
            <w:tcW w:type="dxa" w:w="1200"/>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w:t>
            </w:r>
          </w:p>
        </w:tc>
        <w:tc>
          <w:tcPr>
            <w:tcW w:type="dxa" w:w="18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Center dot</w:t>
            </w:r>
          </w:p>
        </w:tc>
      </w:tr>
    </w:tbl>
    <w:p>
      <w:pPr>
        <w:pStyle w:val="Heading2"/>
        <w:spacing w:before="200" w:after="80"/>
      </w:pPr>
      <w:r>
        <w:rPr>
          <w:rFonts w:ascii="Arial" w:cs="Arial" w:eastAsia="Arial" w:hAnsi="Arial"/>
          <w:b/>
          <w:bCs/>
          <w:color w:val="1F2937"/>
          <w:sz w:val="24"/>
          <w:szCs w:val="24"/>
        </w:rPr>
        <w:t xml:space="preserve">3.2 Logotype</w:t>
      </w:r>
    </w:p>
    <w:p>
      <w:pPr>
        <w:spacing w:after="80" w:line="264"/>
      </w:pPr>
      <w:r>
        <w:rPr>
          <w:rFonts w:ascii="Arial" w:cs="Arial" w:eastAsia="Arial" w:hAnsi="Arial"/>
          <w:color w:val="374151"/>
          <w:sz w:val="19"/>
          <w:szCs w:val="19"/>
        </w:rPr>
        <w:t xml:space="preserve">The GWES logotype is arranged vertically below the Particle Grid mark. A thin cyan divider line separates the mark from the text elements.</w:t>
      </w:r>
    </w:p>
    <w:p>
      <w:pPr>
        <w:pStyle w:val="Heading3"/>
        <w:spacing w:before="140" w:after="60"/>
      </w:pPr>
      <w:r>
        <w:rPr>
          <w:rFonts w:ascii="Arial" w:cs="Arial" w:eastAsia="Arial" w:hAnsi="Arial"/>
          <w:b/>
          <w:bCs/>
          <w:color w:val="1F2937"/>
          <w:sz w:val="20"/>
          <w:szCs w:val="20"/>
        </w:rPr>
        <w:t xml:space="preserve">Primary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Text</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GWES</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Font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Archivo 400 (Regular)</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Size (desktop / mobile)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1.5rem / 1.2rem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Letter Spacing</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0.28em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Symmetry Compensation</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padding-right: 0.28em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#FFFFFF</w:t>
            </w:r>
          </w:p>
        </w:tc>
      </w:tr>
    </w:tbl>
    <w:p>
      <w:pPr>
        <w:pStyle w:val="Heading3"/>
        <w:spacing w:before="140" w:after="60"/>
      </w:pPr>
      <w:r>
        <w:rPr>
          <w:rFonts w:ascii="Arial" w:cs="Arial" w:eastAsia="Arial" w:hAnsi="Arial"/>
          <w:b/>
          <w:bCs/>
          <w:color w:val="1F2937"/>
          <w:sz w:val="20"/>
          <w:szCs w:val="20"/>
        </w:rPr>
        <w:t xml:space="preserve">Divider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Width (desktop / mobile)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40px / 32px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Height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rgba(106, 198, 236, 0.45) — #6AC6EC at 45%</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Implementation</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::before pseudo-element on .gw-logo__text</w:t>
            </w:r>
          </w:p>
        </w:tc>
      </w:tr>
    </w:tbl>
    <w:p>
      <w:pPr>
        <w:pStyle w:val="Heading3"/>
        <w:spacing w:before="140" w:after="60"/>
      </w:pPr>
      <w:r>
        <w:rPr>
          <w:rFonts w:ascii="Arial" w:cs="Arial" w:eastAsia="Arial" w:hAnsi="Arial"/>
          <w:b/>
          <w:bCs/>
          <w:color w:val="1F2937"/>
          <w:sz w:val="20"/>
          <w:szCs w:val="20"/>
        </w:rPr>
        <w:t xml:space="preserve">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Text</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The OS for Autonomous Warehouse</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Font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Inter 400 (Regular)</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Size (desktop / mobile)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0.6rem / 0.5rem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Letter Spacing</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0.12em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Symmetry Compensation</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padding-right: 0.12em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Color</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rgba(255, 255, 255, 0.7)</w:t>
            </w:r>
          </w:p>
        </w:tc>
      </w:tr>
    </w:tbl>
    <w:p>
      <w:pPr>
        <w:pStyle w:val="Heading2"/>
        <w:spacing w:before="200" w:after="80"/>
      </w:pPr>
      <w:r>
        <w:rPr>
          <w:rFonts w:ascii="Arial" w:cs="Arial" w:eastAsia="Arial" w:hAnsi="Arial"/>
          <w:b/>
          <w:bCs/>
          <w:color w:val="1F2937"/>
          <w:sz w:val="24"/>
          <w:szCs w:val="24"/>
        </w:rPr>
        <w:t xml:space="preserve">3.3 Full Vertical Lockup</w:t>
      </w:r>
    </w:p>
    <w:p>
      <w:pPr>
        <w:spacing w:after="80" w:line="264"/>
      </w:pPr>
      <w:r>
        <w:rPr>
          <w:rFonts w:ascii="Arial" w:cs="Arial" w:eastAsia="Arial" w:hAnsi="Arial"/>
          <w:color w:val="374151"/>
          <w:sz w:val="19"/>
          <w:szCs w:val="19"/>
        </w:rPr>
        <w:t xml:space="preserve">The GWES full lockup arranges all elements vertically: Particle Grid mark → divider line → GWES text → tagline. Primary usage for hero sections and standalone presentations.</w:t>
      </w:r>
    </w:p>
    <w:p>
      <w:pPr>
        <w:spacing w:before="80" w:after="80"/>
        <w:jc w:val="center"/>
      </w:pPr>
      <w:r>
        <w:drawing>
          <wp:inline distT="0" distB="0" distL="0" distR="0">
            <wp:extent cx="2286000" cy="1524000"/>
            <wp:effectExtent t="0" r="0" b="0" l="0"/>
            <wp:docPr id="1" name="logo" descr="Logo im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1524000"/>
                    </a:xfrm>
                    <a:prstGeom prst="rect">
                      <a:avLst/>
                    </a:prstGeom>
                  </pic:spPr>
                </pic:pic>
              </a:graphicData>
            </a:graphic>
          </wp:inline>
        </w:drawing>
      </w:r>
    </w:p>
    <w:p>
      <w:pPr>
        <w:pStyle w:val="Heading2"/>
        <w:spacing w:before="200" w:after="80"/>
      </w:pPr>
      <w:r>
        <w:rPr>
          <w:rFonts w:ascii="Arial" w:cs="Arial" w:eastAsia="Arial" w:hAnsi="Arial"/>
          <w:b/>
          <w:bCs/>
          <w:color w:val="1F2937"/>
          <w:sz w:val="24"/>
          <w:szCs w:val="24"/>
        </w:rPr>
        <w:t xml:space="preserve">3.4 Technical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Container Layout</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display: flex; flex-direction: column; align-items: center</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Mark Size (desktop / mobile)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140×140 px / 100×100 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Mark-to-Divider Gap</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padding-top: 10px + gap: 6px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Divider</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56px × 1px in SVG (40px in CSS), rgba(106,198,236,0.4)</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Divider-to-Text Gap</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margin-bottom: 2px + gap: 6px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Text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Archivo 400, 1.5rem, ls: 0.28em, padding-right: 0.28em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Tagline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Inter 400, 0.6rem, ls: 0.12em, padding-right: 0.12em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Background</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#0A0C14 (CSS var: --gw-bg)</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SVG Source (mark)</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gwes-particle-grid.svg (200×200 viewBox)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SVG Source (lockup)</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gwes-lockup-vertical.svg (600×400 viewBox)</w:t>
            </w:r>
          </w:p>
        </w:tc>
      </w:tr>
    </w:tbl>
    <w:p>
      <w:pPr>
        <w:pStyle w:val="Heading1"/>
        <w:spacing w:before="360" w:after="120"/>
      </w:pPr>
      <w:r>
        <w:rPr>
          <w:rFonts w:ascii="Arial" w:cs="Arial" w:eastAsia="Arial" w:hAnsi="Arial"/>
          <w:b/>
          <w:bCs/>
          <w:color w:val="1F2937"/>
          <w:sz w:val="32"/>
          <w:szCs w:val="32"/>
        </w:rPr>
        <w:t xml:space="preserve">4. Combined Lockup</w:t>
      </w:r>
    </w:p>
    <w:p>
      <w:pPr>
        <w:spacing w:after="80" w:line="264"/>
      </w:pPr>
      <w:r>
        <w:rPr>
          <w:rFonts w:ascii="Arial" w:cs="Arial" w:eastAsia="Arial" w:hAnsi="Arial"/>
          <w:color w:val="374151"/>
          <w:sz w:val="19"/>
          <w:szCs w:val="19"/>
        </w:rPr>
        <w:t xml:space="preserve">The combined lockup places the GROUND corporate logo and the GWES product logo side by side, separated by a vertical divider. Used in footers and co-branded materials.</w:t>
      </w:r>
    </w:p>
    <w:p>
      <w:pPr>
        <w:spacing w:before="80" w:after="80"/>
        <w:jc w:val="center"/>
      </w:pPr>
      <w:r>
        <w:drawing>
          <wp:inline distT="0" distB="0" distL="0" distR="0">
            <wp:extent cx="4000500" cy="628650"/>
            <wp:effectExtent t="0" r="0" b="0" l="0"/>
            <wp:docPr id="1" name="logo" descr="Logo im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6286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SVG ViewBox</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420 × 44</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Layout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Horizontal: GROUND (left) | divider | GWES (right)</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Vertical Divider</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0.5px, rgba(200, 205, 216, 0.2) (#C8CDD8 at 20%)</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GROUND G Mark</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36 × 24 px, white gradient fill</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GROUND Text</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Liberation Sans Bold 700, 20px, ls: -0.3</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Grid</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28 × 28 px (scale(0.233) from 120×120 source)</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Text</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Helvetica Neue Light 300, 19px, ls: 2.28px, fill: #C8CDD8</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Tagline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Inter 400, 6.5px, ls: 0.2px, opacity: 0.6</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SVG Source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combined-lockup-dark.svg</w:t>
            </w:r>
          </w:p>
        </w:tc>
      </w:tr>
    </w:tbl>
    <w:p>
      <w:pPr>
        <w:pStyle w:val="Heading1"/>
        <w:spacing w:before="360" w:after="120"/>
      </w:pPr>
      <w:r>
        <w:rPr>
          <w:rFonts w:ascii="Arial" w:cs="Arial" w:eastAsia="Arial" w:hAnsi="Arial"/>
          <w:b/>
          <w:bCs/>
          <w:color w:val="1F2937"/>
          <w:sz w:val="32"/>
          <w:szCs w:val="32"/>
        </w:rPr>
        <w:t xml:space="preserve">5. Color Palette</w:t>
      </w:r>
    </w:p>
    <w:p>
      <w:pPr>
        <w:pStyle w:val="Heading2"/>
        <w:spacing w:before="200" w:after="80"/>
      </w:pPr>
      <w:r>
        <w:rPr>
          <w:rFonts w:ascii="Arial" w:cs="Arial" w:eastAsia="Arial" w:hAnsi="Arial"/>
          <w:b/>
          <w:bCs/>
          <w:color w:val="1F2937"/>
          <w:sz w:val="24"/>
          <w:szCs w:val="24"/>
        </w:rPr>
        <w:t xml:space="preserve">5.1 Primary Brand Colors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1600"/>
        <w:gridCol w:w="1200"/>
        <w:gridCol w:w="5806"/>
      </w:tblGrid>
      <w:tr>
        <w:tc>
          <w:tcPr>
            <w:tcW w:type="dxa" w:w="420"/>
            <w:tcBorders>
              <w:top w:val="single" w:color="D1D5DB" w:sz="1"/>
              <w:left w:val="single" w:color="D1D5DB" w:sz="1"/>
              <w:bottom w:val="single" w:color="D1D5DB" w:sz="1"/>
              <w:right w:val="single" w:color="D1D5DB" w:sz="1"/>
            </w:tcBorders>
            <w:shd w:fill="0A0C14"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Deep Space</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#0A0C14</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Primary dark background (--gw-bg)</w:t>
            </w:r>
          </w:p>
        </w:tc>
      </w:tr>
      <w:tr>
        <w:tc>
          <w:tcPr>
            <w:tcW w:type="dxa" w:w="42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White</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#FFFFFF</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Text on dark bg, GROUND mark</w:t>
            </w:r>
          </w:p>
        </w:tc>
      </w:tr>
      <w:tr>
        <w:tc>
          <w:tcPr>
            <w:tcW w:type="dxa" w:w="420"/>
            <w:tcBorders>
              <w:top w:val="single" w:color="D1D5DB" w:sz="1"/>
              <w:left w:val="single" w:color="D1D5DB" w:sz="1"/>
              <w:bottom w:val="single" w:color="D1D5DB" w:sz="1"/>
              <w:right w:val="single" w:color="D1D5DB" w:sz="1"/>
            </w:tcBorders>
            <w:shd w:fill="5BC0EB"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GWES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#5BC0EB</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Accent color (--gw-accent)</w:t>
            </w:r>
          </w:p>
        </w:tc>
      </w:tr>
      <w:tr>
        <w:tc>
          <w:tcPr>
            <w:tcW w:type="dxa" w:w="420"/>
            <w:tcBorders>
              <w:top w:val="single" w:color="D1D5DB" w:sz="1"/>
              <w:left w:val="single" w:color="D1D5DB" w:sz="1"/>
              <w:bottom w:val="single" w:color="D1D5DB" w:sz="1"/>
              <w:right w:val="single" w:color="D1D5DB" w:sz="1"/>
            </w:tcBorders>
            <w:shd w:fill="6AC6EC"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Divider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#6AC6EC</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GWES divider line, hover states</w:t>
            </w:r>
          </w:p>
        </w:tc>
      </w:tr>
      <w:tr>
        <w:tc>
          <w:tcPr>
            <w:tcW w:type="dxa" w:w="420"/>
            <w:tcBorders>
              <w:top w:val="single" w:color="D1D5DB" w:sz="1"/>
              <w:left w:val="single" w:color="D1D5DB" w:sz="1"/>
              <w:bottom w:val="single" w:color="D1D5DB" w:sz="1"/>
              <w:right w:val="single" w:color="D1D5DB" w:sz="1"/>
            </w:tcBorders>
            <w:shd w:fill="3F4250"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Titanium Dark</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#3F4250</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 Mark gradient start (--gw-border)</w:t>
            </w:r>
          </w:p>
        </w:tc>
      </w:tr>
      <w:tr>
        <w:tc>
          <w:tcPr>
            <w:tcW w:type="dxa" w:w="420"/>
            <w:tcBorders>
              <w:top w:val="single" w:color="D1D5DB" w:sz="1"/>
              <w:left w:val="single" w:color="D1D5DB" w:sz="1"/>
              <w:bottom w:val="single" w:color="D1D5DB" w:sz="1"/>
              <w:right w:val="single" w:color="D1D5DB" w:sz="1"/>
            </w:tcBorders>
            <w:shd w:fill="636A78"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Titanium Mid</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#636A78</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 Mark gradient end</w:t>
            </w:r>
          </w:p>
        </w:tc>
      </w:tr>
      <w:tr>
        <w:tc>
          <w:tcPr>
            <w:tcW w:type="dxa" w:w="420"/>
            <w:tcBorders>
              <w:top w:val="single" w:color="D1D5DB" w:sz="1"/>
              <w:left w:val="single" w:color="D1D5DB" w:sz="1"/>
              <w:bottom w:val="single" w:color="D1D5DB" w:sz="1"/>
              <w:right w:val="single" w:color="D1D5DB" w:sz="1"/>
            </w:tcBorders>
            <w:shd w:fill="161822"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Surface Dark</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#161822</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Card background (--gw-surface)</w:t>
            </w:r>
          </w:p>
        </w:tc>
      </w:tr>
      <w:tr>
        <w:tc>
          <w:tcPr>
            <w:tcW w:type="dxa" w:w="420"/>
            <w:tcBorders>
              <w:top w:val="single" w:color="D1D5DB" w:sz="1"/>
              <w:left w:val="single" w:color="D1D5DB" w:sz="1"/>
              <w:bottom w:val="single" w:color="D1D5DB" w:sz="1"/>
              <w:right w:val="single" w:color="D1D5DB" w:sz="1"/>
            </w:tcBorders>
            <w:shd w:fill="C8CDD8"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Mist</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#C8CDD8</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Subtle dividers, GWES lockup text</w:t>
            </w:r>
          </w:p>
        </w:tc>
      </w:tr>
    </w:tbl>
    <w:p>
      <w:pPr>
        <w:pStyle w:val="Heading2"/>
        <w:spacing w:before="200" w:after="80"/>
      </w:pPr>
      <w:r>
        <w:rPr>
          <w:rFonts w:ascii="Arial" w:cs="Arial" w:eastAsia="Arial" w:hAnsi="Arial"/>
          <w:b/>
          <w:bCs/>
          <w:color w:val="1F2937"/>
          <w:sz w:val="24"/>
          <w:szCs w:val="24"/>
        </w:rPr>
        <w:t xml:space="preserve">5.2 GWES Particle Grid Colors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1600"/>
        <w:gridCol w:w="1200"/>
        <w:gridCol w:w="5806"/>
      </w:tblGrid>
      <w:tr>
        <w:tc>
          <w:tcPr>
            <w:tcW w:type="dxa" w:w="420"/>
            <w:tcBorders>
              <w:top w:val="single" w:color="D1D5DB" w:sz="1"/>
              <w:left w:val="single" w:color="D1D5DB" w:sz="1"/>
              <w:bottom w:val="single" w:color="D1D5DB" w:sz="1"/>
              <w:right w:val="single" w:color="D1D5DB" w:sz="1"/>
            </w:tcBorders>
            <w:shd w:fill="80D0F0"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Edge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#80D0F0</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Outermost dots (opacity 0.28, r=3.9)</w:t>
            </w:r>
          </w:p>
        </w:tc>
      </w:tr>
      <w:tr>
        <w:tc>
          <w:tcPr>
            <w:tcW w:type="dxa" w:w="420"/>
            <w:tcBorders>
              <w:top w:val="single" w:color="D1D5DB" w:sz="1"/>
              <w:left w:val="single" w:color="D1D5DB" w:sz="1"/>
              <w:bottom w:val="single" w:color="D1D5DB" w:sz="1"/>
              <w:right w:val="single" w:color="D1D5DB" w:sz="1"/>
            </w:tcBorders>
            <w:shd w:fill="8AD4F1"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Near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#8AD4F1</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Near-edge dots (opacity 0.36, r=4.1)</w:t>
            </w:r>
          </w:p>
        </w:tc>
      </w:tr>
      <w:tr>
        <w:tc>
          <w:tcPr>
            <w:tcW w:type="dxa" w:w="420"/>
            <w:tcBorders>
              <w:top w:val="single" w:color="D1D5DB" w:sz="1"/>
              <w:left w:val="single" w:color="D1D5DB" w:sz="1"/>
              <w:bottom w:val="single" w:color="D1D5DB" w:sz="1"/>
              <w:right w:val="single" w:color="D1D5DB" w:sz="1"/>
            </w:tcBorders>
            <w:shd w:fill="8ED6F2"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Trans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#8ED6F2</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Transition dots (opacity 0.44, r=4.2)</w:t>
            </w:r>
          </w:p>
        </w:tc>
      </w:tr>
      <w:tr>
        <w:tc>
          <w:tcPr>
            <w:tcW w:type="dxa" w:w="420"/>
            <w:tcBorders>
              <w:top w:val="single" w:color="D1D5DB" w:sz="1"/>
              <w:left w:val="single" w:color="D1D5DB" w:sz="1"/>
              <w:bottom w:val="single" w:color="D1D5DB" w:sz="1"/>
              <w:right w:val="single" w:color="D1D5DB" w:sz="1"/>
            </w:tcBorders>
            <w:shd w:fill="A8DDF4"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Mid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#A8DDF4</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Mid-zone dots (opacity 0.66, r=4.8)</w:t>
            </w:r>
          </w:p>
        </w:tc>
      </w:tr>
      <w:tr>
        <w:tc>
          <w:tcPr>
            <w:tcW w:type="dxa" w:w="420"/>
            <w:tcBorders>
              <w:top w:val="single" w:color="D1D5DB" w:sz="1"/>
              <w:left w:val="single" w:color="D1D5DB" w:sz="1"/>
              <w:bottom w:val="single" w:color="D1D5DB" w:sz="1"/>
              <w:right w:val="single" w:color="D1D5DB" w:sz="1"/>
            </w:tcBorders>
            <w:shd w:fill="B4E2F5"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Bright Cyan</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#B4E2F5</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Inner-mid dots (opacity 0.74, r=5.0)</w:t>
            </w:r>
          </w:p>
        </w:tc>
      </w:tr>
      <w:tr>
        <w:tc>
          <w:tcPr>
            <w:tcW w:type="dxa" w:w="420"/>
            <w:tcBorders>
              <w:top w:val="single" w:color="D1D5DB" w:sz="1"/>
              <w:left w:val="single" w:color="D1D5DB" w:sz="1"/>
              <w:bottom w:val="single" w:color="D1D5DB" w:sz="1"/>
              <w:right w:val="single" w:color="D1D5DB" w:sz="1"/>
            </w:tcBorders>
            <w:shd w:fill="CEEAF8"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Soft White</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#CEEAF8</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Near-center dots (opacity 0.86, r=5.5)</w:t>
            </w:r>
          </w:p>
        </w:tc>
      </w:tr>
      <w:tr>
        <w:tc>
          <w:tcPr>
            <w:tcW w:type="dxa" w:w="420"/>
            <w:tcBorders>
              <w:top w:val="single" w:color="D1D5DB" w:sz="1"/>
              <w:left w:val="single" w:color="D1D5DB" w:sz="1"/>
              <w:bottom w:val="single" w:color="D1D5DB" w:sz="1"/>
              <w:right w:val="single" w:color="D1D5DB" w:sz="1"/>
            </w:tcBorders>
            <w:shd w:fill="DFF0FB"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Glow White</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#DFF0FB</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Inner ring dots (opacity 0.92, r=5.9)</w:t>
            </w:r>
          </w:p>
        </w:tc>
      </w:tr>
      <w:tr>
        <w:tc>
          <w:tcPr>
            <w:tcW w:type="dxa" w:w="420"/>
            <w:tcBorders>
              <w:top w:val="single" w:color="D1D5DB" w:sz="1"/>
              <w:left w:val="single" w:color="D1D5DB" w:sz="1"/>
              <w:bottom w:val="single" w:color="D1D5DB" w:sz="1"/>
              <w:right w:val="single" w:color="D1D5DB" w:sz="1"/>
            </w:tcBorders>
            <w:shd w:fill="FFFFFF" w:val="clear"/>
            <w:tcMar>
              <w:top w:type="dxa" w:w="40"/>
              <w:left w:type="dxa" w:w="80"/>
              <w:bottom w:type="dxa" w:w="40"/>
              <w:right w:type="dxa" w:w="80"/>
            </w:tcMar>
          </w:tcPr>
          <w:p>
            <w:pPr>
              <w:spacing w:before="0" w:after="0"/>
            </w:pPr>
            <w:r>
              <w:rPr>
                <w:rFonts w:ascii="Arial" w:cs="Arial" w:eastAsia="Arial" w:hAnsi="Arial"/>
                <w:sz w:val="18"/>
                <w:szCs w:val="18"/>
              </w:rPr>
              <w:t xml:space="preserve"> </w:t>
            </w:r>
          </w:p>
        </w:tc>
        <w:tc>
          <w:tcPr>
            <w:tcW w:type="dxa" w:w="16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Core White</w:t>
            </w:r>
          </w:p>
        </w:tc>
        <w:tc>
          <w:tcPr>
            <w:tcW w:type="dxa" w:w="1200"/>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#FFFFFF</w:t>
            </w:r>
          </w:p>
        </w:tc>
        <w:tc>
          <w:tcPr>
            <w:tcW w:type="dxa" w:w="580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Center dot (opacity 1.0, r=6.8)</w:t>
            </w:r>
          </w:p>
        </w:tc>
      </w:tr>
    </w:tbl>
    <w:p>
      <w:pPr>
        <w:pStyle w:val="Heading2"/>
        <w:spacing w:before="200" w:after="80"/>
      </w:pPr>
      <w:r>
        <w:rPr>
          <w:rFonts w:ascii="Arial" w:cs="Arial" w:eastAsia="Arial" w:hAnsi="Arial"/>
          <w:b/>
          <w:bCs/>
          <w:color w:val="1F2937"/>
          <w:sz w:val="24"/>
          <w:szCs w:val="24"/>
        </w:rPr>
        <w:t xml:space="preserve">5.3 Text Colors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Primary Text (--gw-text-1)</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#FFFFFF</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Secondary Text (--gw-text-2)</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rgba(255, 255, 255, 0.92)</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Tertiary Text (--gw-text-3)</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rgba(255, 255, 255, 0.55)</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Tagline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rgba(255, 255, 255, 0.7)</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Infrastructure Label</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#8A8C9A (--gw-infra)</w:t>
            </w:r>
          </w:p>
        </w:tc>
      </w:tr>
    </w:tbl>
    <w:p>
      <w:pPr>
        <w:pStyle w:val="Heading1"/>
        <w:spacing w:before="360" w:after="120"/>
      </w:pPr>
      <w:r>
        <w:rPr>
          <w:rFonts w:ascii="Arial" w:cs="Arial" w:eastAsia="Arial" w:hAnsi="Arial"/>
          <w:b/>
          <w:bCs/>
          <w:color w:val="1F2937"/>
          <w:sz w:val="32"/>
          <w:szCs w:val="32"/>
        </w:rPr>
        <w:t xml:space="preserve">6. Typography</w:t>
      </w:r>
    </w:p>
    <w:p>
      <w:pPr>
        <w:pStyle w:val="Heading2"/>
        <w:spacing w:before="200" w:after="80"/>
      </w:pPr>
      <w:r>
        <w:rPr>
          <w:rFonts w:ascii="Arial" w:cs="Arial" w:eastAsia="Arial" w:hAnsi="Arial"/>
          <w:b/>
          <w:bCs/>
          <w:color w:val="1F2937"/>
          <w:sz w:val="24"/>
          <w:szCs w:val="24"/>
        </w:rPr>
        <w:t xml:space="preserve">6.1 Archivo</w:t>
      </w:r>
    </w:p>
    <w:p>
      <w:pPr>
        <w:spacing w:after="80" w:line="264"/>
      </w:pPr>
      <w:r>
        <w:rPr>
          <w:rFonts w:ascii="Arial" w:cs="Arial" w:eastAsia="Arial" w:hAnsi="Arial"/>
          <w:color w:val="374151"/>
          <w:sz w:val="19"/>
          <w:szCs w:val="19"/>
        </w:rPr>
        <w:t xml:space="preserve">Archivo is the primary brand typeface. A grotesque sans-serif family designed for high-performance digital environments with geometric clarity and industrial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Source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Google Fonts (fonts.google.com/specimen/Archivo)</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Loaded Weights</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400 (Regular), 700 (Bold)</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GROUND Wordmark</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Bold 700, letter-spacing: 0.03em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Logotype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Regular 400, letter-spacing: 0.28em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Fallback Stack</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'Archivo', sans-serif</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Google Fonts URL</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Archivo:wght@400;700</w:t>
            </w:r>
          </w:p>
        </w:tc>
      </w:tr>
    </w:tbl>
    <w:p>
      <w:pPr>
        <w:pStyle w:val="Heading2"/>
        <w:spacing w:before="200" w:after="80"/>
      </w:pPr>
      <w:r>
        <w:rPr>
          <w:rFonts w:ascii="Arial" w:cs="Arial" w:eastAsia="Arial" w:hAnsi="Arial"/>
          <w:b/>
          <w:bCs/>
          <w:color w:val="1F2937"/>
          <w:sz w:val="24"/>
          <w:szCs w:val="24"/>
        </w:rPr>
        <w:t xml:space="preserve">6.2 Inter</w:t>
      </w:r>
    </w:p>
    <w:p>
      <w:pPr>
        <w:spacing w:after="80" w:line="264"/>
      </w:pPr>
      <w:r>
        <w:rPr>
          <w:rFonts w:ascii="Arial" w:cs="Arial" w:eastAsia="Arial" w:hAnsi="Arial"/>
          <w:color w:val="374151"/>
          <w:sz w:val="19"/>
          <w:szCs w:val="19"/>
        </w:rPr>
        <w:t xml:space="preserve">Inter is used for the GWES tagline, body text, and UI elements. Exceptional legibility at small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Source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Google Fonts (fonts.google.com/specimen/Inter)</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Loaded Weights</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300, 400, 500, 600, 700</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Tagline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Regular 400, letter-spacing: 0.12em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Hero Title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Semi-Bold 600, letter-spacing: -0.02em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Fallback Stack</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'Inter', sans-serif</w:t>
            </w:r>
          </w:p>
        </w:tc>
      </w:tr>
    </w:tbl>
    <w:p>
      <w:pPr>
        <w:pStyle w:val="Heading2"/>
        <w:spacing w:before="200" w:after="80"/>
      </w:pPr>
      <w:r>
        <w:rPr>
          <w:rFonts w:ascii="Arial" w:cs="Arial" w:eastAsia="Arial" w:hAnsi="Arial"/>
          <w:b/>
          <w:bCs/>
          <w:color w:val="1F2937"/>
          <w:sz w:val="24"/>
          <w:szCs w:val="24"/>
        </w:rPr>
        <w:t xml:space="preserve">6.3 Noto Sans JP</w:t>
      </w:r>
    </w:p>
    <w:p>
      <w:pPr>
        <w:spacing w:after="80" w:line="264"/>
      </w:pPr>
      <w:r>
        <w:rPr>
          <w:rFonts w:ascii="Arial" w:cs="Arial" w:eastAsia="Arial" w:hAnsi="Arial"/>
          <w:color w:val="374151"/>
          <w:sz w:val="19"/>
          <w:szCs w:val="19"/>
        </w:rPr>
        <w:t xml:space="preserve">Noto Sans JP is used for all Japanese text content on the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Source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Google Fonts</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Loaded Weights</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300, 400, 500, 600, 700</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Usage</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All Japanese body text and headings</w:t>
            </w:r>
          </w:p>
        </w:tc>
      </w:tr>
    </w:tbl>
    <w:p>
      <w:pPr>
        <w:pStyle w:val="Heading2"/>
        <w:spacing w:before="200" w:after="80"/>
      </w:pPr>
      <w:r>
        <w:rPr>
          <w:rFonts w:ascii="Arial" w:cs="Arial" w:eastAsia="Arial" w:hAnsi="Arial"/>
          <w:b/>
          <w:bCs/>
          <w:color w:val="1F2937"/>
          <w:sz w:val="24"/>
          <w:szCs w:val="24"/>
        </w:rPr>
        <w:t xml:space="preserve">6.4 Symmetry Rule</w:t>
      </w:r>
    </w:p>
    <w:p>
      <w:pPr>
        <w:spacing w:after="80" w:line="264"/>
      </w:pPr>
      <w:r>
        <w:rPr>
          <w:rFonts w:ascii="Arial" w:cs="Arial" w:eastAsia="Arial" w:hAnsi="Arial"/>
          <w:color w:val="374151"/>
          <w:sz w:val="19"/>
          <w:szCs w:val="19"/>
        </w:rPr>
        <w:t xml:space="preserve">When using letter-spacing on centered text, apply padding-right equal to the letter-spacing value to compensate for trailing space and ensure true optical centering: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 Text</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letter-spacing: 0.28em → padding-right: 0.28em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Tagline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letter-spacing: 0.12em → padding-right: 0.12em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GROUND Wordmark</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letter-spacing: 0.03em → padding-right: 0.03em</w:t>
            </w:r>
          </w:p>
        </w:tc>
      </w:tr>
    </w:tbl>
    <w:p>
      <w:pPr>
        <w:pStyle w:val="Heading1"/>
        <w:spacing w:before="360" w:after="120"/>
      </w:pPr>
      <w:r>
        <w:rPr>
          <w:rFonts w:ascii="Arial" w:cs="Arial" w:eastAsia="Arial" w:hAnsi="Arial"/>
          <w:b/>
          <w:bCs/>
          <w:color w:val="1F2937"/>
          <w:sz w:val="32"/>
          <w:szCs w:val="32"/>
        </w:rPr>
        <w:t xml:space="preserve">7. Clear Space &amp; Minimum Size</w:t>
      </w:r>
    </w:p>
    <w:p>
      <w:pPr>
        <w:pStyle w:val="Heading2"/>
        <w:spacing w:before="200" w:after="80"/>
      </w:pPr>
      <w:r>
        <w:rPr>
          <w:rFonts w:ascii="Arial" w:cs="Arial" w:eastAsia="Arial" w:hAnsi="Arial"/>
          <w:b/>
          <w:bCs/>
          <w:color w:val="1F2937"/>
          <w:sz w:val="24"/>
          <w:szCs w:val="24"/>
        </w:rPr>
        <w:t xml:space="preserve">7.1 GROUND Logo</w:t>
      </w:r>
    </w:p>
    <w:p>
      <w:pPr>
        <w:spacing w:after="80" w:line="264"/>
      </w:pPr>
      <w:r>
        <w:rPr>
          <w:rFonts w:ascii="Arial" w:cs="Arial" w:eastAsia="Arial" w:hAnsi="Arial"/>
          <w:color w:val="374151"/>
          <w:sz w:val="19"/>
          <w:szCs w:val="19"/>
        </w:rPr>
        <w:t xml:space="preserve">Clear space is defined as the G Mark top bar height (≈ 12.6% of total mark height), called 'x'. Maintain at least 1x on all sides.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Clear Space Unit (x)</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 Mark top bar height (244/1938 = 12.6%)</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Minimum Clear Space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1x on all four sides</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Mark Height (digital)</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24px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Mark Height (print)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10mm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Lockup Width (digital)</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120px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Lockup Width (print)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40mm</w:t>
            </w:r>
          </w:p>
        </w:tc>
      </w:tr>
    </w:tbl>
    <w:p>
      <w:pPr>
        <w:pStyle w:val="Heading2"/>
        <w:spacing w:before="200" w:after="80"/>
      </w:pPr>
      <w:r>
        <w:rPr>
          <w:rFonts w:ascii="Arial" w:cs="Arial" w:eastAsia="Arial" w:hAnsi="Arial"/>
          <w:b/>
          <w:bCs/>
          <w:color w:val="1F2937"/>
          <w:sz w:val="24"/>
          <w:szCs w:val="24"/>
        </w:rPr>
        <w:t xml:space="preserve">7.2 GWES Logo</w:t>
      </w:r>
    </w:p>
    <w:p>
      <w:pPr>
        <w:spacing w:after="80" w:line="264"/>
      </w:pPr>
      <w:r>
        <w:rPr>
          <w:rFonts w:ascii="Arial" w:cs="Arial" w:eastAsia="Arial" w:hAnsi="Arial"/>
          <w:color w:val="374151"/>
          <w:sz w:val="19"/>
          <w:szCs w:val="19"/>
        </w:rPr>
        <w:t xml:space="preserve">Clear space is the center dot diameter (6.8 SVG units), called 'y'. For the vertical lockup, measure from outermost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Clear Space Unit (y)</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Center dot diameter (6.8 SVG units)</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Minimum Clear Space</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1.5y on all four sides</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Grid Size (digital)</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28px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Grid Size (print)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10mm</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Lockup Height (digital)</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160px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Min Lockup Height (print)</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50mm</w:t>
            </w:r>
          </w:p>
        </w:tc>
      </w:tr>
    </w:tbl>
    <w:p>
      <w:pPr>
        <w:pStyle w:val="Heading1"/>
        <w:spacing w:before="360" w:after="120"/>
      </w:pPr>
      <w:r>
        <w:rPr>
          <w:rFonts w:ascii="Arial" w:cs="Arial" w:eastAsia="Arial" w:hAnsi="Arial"/>
          <w:b/>
          <w:bCs/>
          <w:color w:val="1F2937"/>
          <w:sz w:val="32"/>
          <w:szCs w:val="32"/>
        </w:rPr>
        <w:t xml:space="preserve">8. Usage Guidelines</w:t>
      </w:r>
    </w:p>
    <w:p>
      <w:pPr>
        <w:pStyle w:val="Heading2"/>
        <w:spacing w:before="200" w:after="80"/>
      </w:pPr>
      <w:r>
        <w:rPr>
          <w:rFonts w:ascii="Arial" w:cs="Arial" w:eastAsia="Arial" w:hAnsi="Arial"/>
          <w:b/>
          <w:bCs/>
          <w:color w:val="1F2937"/>
          <w:sz w:val="24"/>
          <w:szCs w:val="24"/>
        </w:rPr>
        <w:t xml:space="preserve">8.1 Correct Usage</w:t>
      </w:r>
    </w:p>
    <w:p>
      <w:pPr>
        <w:spacing w:after="80" w:line="264"/>
      </w:pPr>
      <w:r>
        <w:rPr>
          <w:rFonts w:ascii="Arial" w:cs="Arial" w:eastAsia="Arial" w:hAnsi="Arial"/>
          <w:color w:val="374151"/>
          <w:sz w:val="19"/>
          <w:szCs w:val="19"/>
        </w:rPr>
        <w:t xml:space="preserve">Always use the logo files provided in this specification. The GWES logo must appear on dark backgrounds (#0A0C14 or equivalent). The GROUND logo may appear on dark (white) or light (titanium gradient) backgrounds. On photographic backgrounds, ensure sufficient contrast with a dark overlay or container.</w:t>
      </w:r>
    </w:p>
    <w:p>
      <w:pPr>
        <w:pStyle w:val="Heading2"/>
        <w:spacing w:before="200" w:after="80"/>
      </w:pPr>
      <w:r>
        <w:rPr>
          <w:rFonts w:ascii="Arial" w:cs="Arial" w:eastAsia="Arial" w:hAnsi="Arial"/>
          <w:b/>
          <w:bCs/>
          <w:color w:val="1F2937"/>
          <w:sz w:val="24"/>
          <w:szCs w:val="24"/>
        </w:rPr>
        <w:t xml:space="preserve">8.2 Prohibited Usage</w:t>
      </w:r>
    </w:p>
    <w:p>
      <w:pPr>
        <w:spacing w:after="80" w:line="264"/>
      </w:pPr>
      <w:r>
        <w:rPr>
          <w:rFonts w:ascii="Arial" w:cs="Arial" w:eastAsia="Arial" w:hAnsi="Arial"/>
          <w:color w:val="374151"/>
          <w:sz w:val="19"/>
          <w:szCs w:val="19"/>
        </w:rPr>
        <w:t xml:space="preserve">The following modifications are strictly prohibited:</w:t>
      </w:r>
    </w:p>
    <w:p>
      <w:pPr>
        <w:pStyle w:val="ListParagraph"/>
        <w:numPr>
          <w:ilvl w:val="0"/>
          <w:numId w:val="2"/>
        </w:numPr>
        <w:spacing w:after="40"/>
      </w:pPr>
      <w:r>
        <w:rPr>
          <w:rFonts w:ascii="Arial" w:cs="Arial" w:eastAsia="Arial" w:hAnsi="Arial"/>
          <w:color w:val="374151"/>
          <w:sz w:val="19"/>
          <w:szCs w:val="19"/>
        </w:rPr>
        <w:t xml:space="preserve">Alter the colors of any logo element</w:t>
      </w:r>
    </w:p>
    <w:p>
      <w:pPr>
        <w:pStyle w:val="ListParagraph"/>
        <w:numPr>
          <w:ilvl w:val="0"/>
          <w:numId w:val="2"/>
        </w:numPr>
        <w:spacing w:after="40"/>
      </w:pPr>
      <w:r>
        <w:rPr>
          <w:rFonts w:ascii="Arial" w:cs="Arial" w:eastAsia="Arial" w:hAnsi="Arial"/>
          <w:color w:val="374151"/>
          <w:sz w:val="19"/>
          <w:szCs w:val="19"/>
        </w:rPr>
        <w:t xml:space="preserve">Rotate, skew, or distort the logos</w:t>
      </w:r>
    </w:p>
    <w:p>
      <w:pPr>
        <w:pStyle w:val="ListParagraph"/>
        <w:numPr>
          <w:ilvl w:val="0"/>
          <w:numId w:val="2"/>
        </w:numPr>
        <w:spacing w:after="40"/>
      </w:pPr>
      <w:r>
        <w:rPr>
          <w:rFonts w:ascii="Arial" w:cs="Arial" w:eastAsia="Arial" w:hAnsi="Arial"/>
          <w:color w:val="374151"/>
          <w:sz w:val="19"/>
          <w:szCs w:val="19"/>
        </w:rPr>
        <w:t xml:space="preserve">Add drop shadows, outlines, bevels, or other effects</w:t>
      </w:r>
    </w:p>
    <w:p>
      <w:pPr>
        <w:pStyle w:val="ListParagraph"/>
        <w:numPr>
          <w:ilvl w:val="0"/>
          <w:numId w:val="2"/>
        </w:numPr>
        <w:spacing w:after="40"/>
      </w:pPr>
      <w:r>
        <w:rPr>
          <w:rFonts w:ascii="Arial" w:cs="Arial" w:eastAsia="Arial" w:hAnsi="Arial"/>
          <w:color w:val="374151"/>
          <w:sz w:val="19"/>
          <w:szCs w:val="19"/>
        </w:rPr>
        <w:t xml:space="preserve">Change the typeface of any logotype</w:t>
      </w:r>
    </w:p>
    <w:p>
      <w:pPr>
        <w:pStyle w:val="ListParagraph"/>
        <w:numPr>
          <w:ilvl w:val="0"/>
          <w:numId w:val="2"/>
        </w:numPr>
        <w:spacing w:after="40"/>
      </w:pPr>
      <w:r>
        <w:rPr>
          <w:rFonts w:ascii="Arial" w:cs="Arial" w:eastAsia="Arial" w:hAnsi="Arial"/>
          <w:color w:val="374151"/>
          <w:sz w:val="19"/>
          <w:szCs w:val="19"/>
        </w:rPr>
        <w:t xml:space="preserve">Rearrange the elements of any lockup</w:t>
      </w:r>
    </w:p>
    <w:p>
      <w:pPr>
        <w:pStyle w:val="ListParagraph"/>
        <w:numPr>
          <w:ilvl w:val="0"/>
          <w:numId w:val="2"/>
        </w:numPr>
        <w:spacing w:after="40"/>
      </w:pPr>
      <w:r>
        <w:rPr>
          <w:rFonts w:ascii="Arial" w:cs="Arial" w:eastAsia="Arial" w:hAnsi="Arial"/>
          <w:color w:val="374151"/>
          <w:sz w:val="19"/>
          <w:szCs w:val="19"/>
        </w:rPr>
        <w:t xml:space="preserve">Place the GWES logo on light backgrounds without a dark container</w:t>
      </w:r>
    </w:p>
    <w:p>
      <w:pPr>
        <w:pStyle w:val="ListParagraph"/>
        <w:numPr>
          <w:ilvl w:val="0"/>
          <w:numId w:val="2"/>
        </w:numPr>
        <w:spacing w:after="40"/>
      </w:pPr>
      <w:r>
        <w:rPr>
          <w:rFonts w:ascii="Arial" w:cs="Arial" w:eastAsia="Arial" w:hAnsi="Arial"/>
          <w:color w:val="374151"/>
          <w:sz w:val="19"/>
          <w:szCs w:val="19"/>
        </w:rPr>
        <w:t xml:space="preserve">Use the Particle Grid mark as a repeating pattern</w:t>
      </w:r>
    </w:p>
    <w:p>
      <w:pPr>
        <w:pStyle w:val="ListParagraph"/>
        <w:numPr>
          <w:ilvl w:val="0"/>
          <w:numId w:val="2"/>
        </w:numPr>
        <w:spacing w:after="40"/>
      </w:pPr>
      <w:r>
        <w:rPr>
          <w:rFonts w:ascii="Arial" w:cs="Arial" w:eastAsia="Arial" w:hAnsi="Arial"/>
          <w:color w:val="374151"/>
          <w:sz w:val="19"/>
          <w:szCs w:val="19"/>
        </w:rPr>
        <w:t xml:space="preserve">Modify the brightness gradient of the Particle Grid dots</w:t>
      </w:r>
    </w:p>
    <w:p>
      <w:pPr>
        <w:pStyle w:val="ListParagraph"/>
        <w:numPr>
          <w:ilvl w:val="0"/>
          <w:numId w:val="2"/>
        </w:numPr>
        <w:spacing w:after="40"/>
      </w:pPr>
      <w:r>
        <w:rPr>
          <w:rFonts w:ascii="Arial" w:cs="Arial" w:eastAsia="Arial" w:hAnsi="Arial"/>
          <w:color w:val="374151"/>
          <w:sz w:val="19"/>
          <w:szCs w:val="19"/>
        </w:rPr>
        <w:t xml:space="preserve">Separate the divider line from the GWES text elements</w:t>
      </w:r>
    </w:p>
    <w:p>
      <w:pPr>
        <w:pStyle w:val="Heading2"/>
        <w:spacing w:before="200" w:after="80"/>
      </w:pPr>
      <w:r>
        <w:rPr>
          <w:rFonts w:ascii="Arial" w:cs="Arial" w:eastAsia="Arial" w:hAnsi="Arial"/>
          <w:b/>
          <w:bCs/>
          <w:color w:val="1F2937"/>
          <w:sz w:val="24"/>
          <w:szCs w:val="24"/>
        </w:rPr>
        <w:t xml:space="preserve">8.3 Source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gwes-particle-grid.svg</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Particle Grid mark only (200×200 viewBox)</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gwes-lockup-vertical.svg</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GWES full vertical lockup (600×400)</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ground-logo-dark.svg</w:t>
            </w:r>
          </w:p>
        </w:tc>
        <w:tc>
          <w:tcPr>
            <w:tcW w:type="dxa" w:w="6226"/>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before="0" w:after="0"/>
            </w:pPr>
            <w:r>
              <w:rPr>
                <w:rFonts w:ascii="Arial" w:cs="Arial" w:eastAsia="Arial" w:hAnsi="Arial"/>
                <w:color w:val="374151"/>
                <w:sz w:val="18"/>
                <w:szCs w:val="18"/>
              </w:rPr>
              <w:t xml:space="preserve">G Mark with titanium gradient (3877×1938)</w:t>
            </w:r>
          </w:p>
        </w:tc>
      </w:tr>
      <w:tr>
        <w:tc>
          <w:tcPr>
            <w:tcW w:type="dxa" w:w="2800"/>
            <w:tcBorders>
              <w:top w:val="single" w:color="D1D5DB" w:sz="1"/>
              <w:left w:val="single" w:color="D1D5DB" w:sz="1"/>
              <w:bottom w:val="single" w:color="D1D5DB" w:sz="1"/>
              <w:right w:val="single" w:color="D1D5DB" w:sz="1"/>
            </w:tcBorders>
            <w:shd w:fill="F3F4F6" w:val="clear"/>
            <w:tcMar>
              <w:top w:type="dxa" w:w="40"/>
              <w:left w:type="dxa" w:w="80"/>
              <w:bottom w:type="dxa" w:w="40"/>
              <w:right w:type="dxa" w:w="80"/>
            </w:tcMar>
          </w:tcPr>
          <w:p>
            <w:pPr>
              <w:spacing w:before="0" w:after="0"/>
            </w:pPr>
            <w:r>
              <w:rPr>
                <w:rFonts w:ascii="Arial" w:cs="Arial" w:eastAsia="Arial" w:hAnsi="Arial"/>
                <w:b/>
                <w:bCs/>
                <w:sz w:val="18"/>
                <w:szCs w:val="18"/>
              </w:rPr>
              <w:t xml:space="preserve">combined-lockup-dark.svg</w:t>
            </w:r>
          </w:p>
        </w:tc>
        <w:tc>
          <w:tcPr>
            <w:tcW w:type="dxa" w:w="6226"/>
            <w:tcBorders>
              <w:top w:val="single" w:color="D1D5DB" w:sz="1"/>
              <w:left w:val="single" w:color="D1D5DB" w:sz="1"/>
              <w:bottom w:val="single" w:color="D1D5DB" w:sz="1"/>
              <w:right w:val="single" w:color="D1D5DB" w:sz="1"/>
            </w:tcBorders>
            <w:shd w:fill="F9FAFB" w:val="clear"/>
            <w:tcMar>
              <w:top w:type="dxa" w:w="40"/>
              <w:left w:type="dxa" w:w="80"/>
              <w:bottom w:type="dxa" w:w="40"/>
              <w:right w:type="dxa" w:w="80"/>
            </w:tcMar>
          </w:tcPr>
          <w:p>
            <w:pPr>
              <w:spacing w:before="0" w:after="0"/>
            </w:pPr>
            <w:r>
              <w:rPr>
                <w:rFonts w:ascii="Arial" w:cs="Arial" w:eastAsia="Arial" w:hAnsi="Arial"/>
                <w:color w:val="374151"/>
                <w:sz w:val="18"/>
                <w:szCs w:val="18"/>
              </w:rPr>
              <w:t xml:space="preserve">GROUND + GWES horizontal lockup (420×44)</w:t>
            </w:r>
          </w:p>
        </w:tc>
      </w:tr>
    </w:tbl>
    <w:p>
      <w:pPr>
        <w:spacing w:after="200"/>
      </w:pPr>
    </w:p>
    <w:p>
      <w:pPr>
        <w:pBdr>
          <w:top w:val="single" w:color="D1D5DB" w:sz="1" w:space="6"/>
        </w:pBdr>
        <w:spacing w:before="200" w:after="100"/>
        <w:jc w:val="center"/>
      </w:pPr>
    </w:p>
    <w:p>
      <w:pPr>
        <w:jc w:val="center"/>
      </w:pPr>
      <w:r>
        <w:rPr>
          <w:rFonts w:ascii="Arial" w:cs="Arial" w:eastAsia="Arial" w:hAnsi="Arial"/>
          <w:color w:val="6B7280"/>
          <w:sz w:val="16"/>
          <w:szCs w:val="16"/>
        </w:rPr>
        <w:t xml:space="preserve">© 2026 GROUND Inc. All Rights Reserved.</w:t>
      </w:r>
    </w:p>
    <w:sectPr>
      <w:headerReference w:type="default" r:id="rId6"/>
      <w:footerReference w:type="default" r:id="rId7"/>
      <w:pgSz w:w="11906" w:h="16838" w:orient="portrait"/>
      <w:pgMar w:top="11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5"/>
        <w:szCs w:val="15"/>
      </w:rPr>
      <w:t xml:space="preserve">Page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5"/>
        <w:szCs w:val="15"/>
      </w:rPr>
      <w:t xml:space="preserve">GROUND Inc. — Brand Identity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F2937"/>
      <w:sz w:val="32"/>
      <w:szCs w:val="32"/>
    </w:rPr>
  </w:style>
  <w:style w:type="paragraph" w:styleId="Heading2">
    <w:name w:val="Heading 2"/>
    <w:basedOn w:val="Normal"/>
    <w:next w:val="Normal"/>
    <w:qFormat/>
    <w:rPr>
      <w:color w:val="1F2937"/>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1F2937"/>
    </w:rPr>
  </w:style>
  <w:style w:type="paragraph" w:styleId="Heading5">
    <w:name w:val="Heading 5"/>
    <w:basedOn w:val="Normal"/>
    <w:next w:val="Normal"/>
    <w:qFormat/>
    <w:rPr>
      <w:color w:val="1F2937"/>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2937"/>
      <w:sz w:val="24"/>
      <w:szCs w:val="24"/>
    </w:rPr>
  </w:style>
  <w:style w:type="paragraph" w:styleId="Heading3">
    <w:name w:val="Heading 3"/>
    <w:basedOn w:val="Normal"/>
    <w:next w:val="Normal"/>
    <w:qFormat/>
    <w:pPr>
      <w:spacing w:before="140" w:after="60"/>
      <w:outlineLvl w:val="2"/>
    </w:pPr>
    <w:rPr>
      <w:rFonts w:ascii="Arial" w:cs="Arial" w:eastAsia="Arial" w:hAnsi="Arial"/>
      <w:b/>
      <w:bCs/>
      <w:color w:val="1F293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43a3b36160676f85a08703d42c0ee8da0e49621.png"/><Relationship Id="rId9" Type="http://schemas.openxmlformats.org/officeDocument/2006/relationships/image" Target="media/465e09477284eba99db3161d3954cda800ffc38d.png"/><Relationship Id="rId10" Type="http://schemas.openxmlformats.org/officeDocument/2006/relationships/image" Target="media/eb8f70c333d24c965e37e8412cd1bb90dd5f28c0.png"/><Relationship Id="rId11" Type="http://schemas.openxmlformats.org/officeDocument/2006/relationships/image" Target="media/1ac3096ad30b0383f229e15c27c0ea983485207b.png"/><Relationship Id="rId12" Type="http://schemas.openxmlformats.org/officeDocument/2006/relationships/image" Target="media/9aa616176d151cb46a7cdfbcb632023a8e462811.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2026-03-14T04:52:48.407Z</dcterms:created>
  <dcterms:modified xsi:type="dcterms:W3CDTF">2026-03-14T04:52:48.407Z</dcterms:modified>
</cp:coreProperties>
</file>

<file path=docProps/custom.xml><?xml version="1.0" encoding="utf-8"?>
<Properties xmlns="http://schemas.openxmlformats.org/officeDocument/2006/custom-properties" xmlns:vt="http://schemas.openxmlformats.org/officeDocument/2006/docPropsVTypes"/>
</file>