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a2a5e"/>
          <w:sz w:val="64"/>
          <w:szCs w:val="64"/>
        </w:rPr>
        <w:t xml:space="preserve">GroundLens</w:t>
      </w:r>
    </w:p>
    <w:p>
      <w:pPr>
        <w:spacing w:after="120"/>
      </w:pPr>
      <w:r>
        <w:rPr>
          <w:rFonts w:ascii="Calibri" w:cs="Calibri" w:eastAsia="Calibri" w:hAnsi="Calibri"/>
          <w:color w:val="1a4fd6"/>
          <w:sz w:val="32"/>
          <w:szCs w:val="32"/>
        </w:rPr>
        <w:t xml:space="preserve">AI verification infrastructure</w:t>
      </w:r>
    </w:p>
    <w:p>
      <w:pPr>
        <w:spacing w:after="600"/>
      </w:pPr>
      <w:r>
        <w:rPr>
          <w:rFonts w:ascii="Calibri" w:cs="Calibri" w:eastAsia="Calibri" w:hAnsi="Calibri"/>
          <w:color w:val="555555"/>
          <w:sz w:val="24"/>
          <w:szCs w:val="24"/>
        </w:rPr>
        <w:t xml:space="preserve">Plan de producto, versión 2.0</w:t>
      </w:r>
    </w:p>
    <w:p>
      <w:pPr>
        <w:spacing w:after="140" w:line="300"/>
      </w:pPr>
      <w:r>
        <w:rPr>
          <w:rFonts w:ascii="Calibri" w:cs="Calibri" w:eastAsia="Calibri" w:hAnsi="Calibri"/>
          <w:sz w:val="22"/>
          <w:szCs w:val="22"/>
        </w:rPr>
        <w:t xml:space="preserve">Sustituye al plan 1.0 del 8 de septiembre. Cambia la marca, el posicionamiento, el cliente inicial, el primer producto comercial, el modelo de ingresos y el orden de los noventa días. Mantiene el motor, los contratos y la evidencia firmada, que no cambian.</w:t>
      </w:r>
    </w:p>
    <w:p>
      <w:pPr>
        <w:spacing w:after="140" w:line="300"/>
      </w:pPr>
      <w:r>
        <w:rPr>
          <w:rFonts w:ascii="Calibri" w:cs="Calibri" w:eastAsia="Calibri" w:hAnsi="Calibri"/>
          <w:sz w:val="22"/>
          <w:szCs w:val="22"/>
        </w:rPr>
        <w:t xml:space="preserve">GLV pasa a ser el nombre del engine y del protocolo (GroundLens Verification). El producto y la marca son GroundLens.</w:t>
      </w:r>
    </w:p>
    <w:p>
      <w:pPr>
        <w:spacing w:after="0" w:before="1800"/>
      </w:pPr>
      <w:r>
        <w:rPr>
          <w:rFonts w:ascii="Calibri" w:cs="Calibri" w:eastAsia="Calibri" w:hAnsi="Calibri"/>
          <w:color w:val="777777"/>
          <w:sz w:val="20"/>
          <w:szCs w:val="20"/>
        </w:rPr>
        <w:t xml:space="preserve">Javier Marín · groundlens.dev · 8 de septiembre de 2026</w:t>
      </w:r>
    </w:p>
    <w:p>
      <w:r>
        <w:br w:type="page"/>
      </w:r>
    </w:p>
    <w:p>
      <w:pPr>
        <w:pStyle w:val="Heading1"/>
        <w:spacing w:after="200" w:before="480"/>
      </w:pPr>
      <w:r>
        <w:rPr>
          <w:rFonts w:ascii="Calibri" w:cs="Calibri" w:eastAsia="Calibri" w:hAnsi="Calibri"/>
        </w:rPr>
        <w:t xml:space="preserve">1. Tesis</w:t>
      </w:r>
    </w:p>
    <w:p>
      <w:pPr>
        <w:spacing w:after="140" w:line="300"/>
      </w:pPr>
      <w:r>
        <w:rPr>
          <w:rFonts w:ascii="Calibri" w:cs="Calibri" w:eastAsia="Calibri" w:hAnsi="Calibri"/>
          <w:sz w:val="22"/>
          <w:szCs w:val="22"/>
        </w:rPr>
        <w:t xml:space="preserve">GroundLens is an AI verification infrastructure.</w:t>
      </w:r>
    </w:p>
    <w:p>
      <w:pPr>
        <w:spacing w:after="140" w:line="300"/>
      </w:pPr>
      <w:r>
        <w:rPr>
          <w:rFonts w:ascii="Calibri" w:cs="Calibri" w:eastAsia="Calibri" w:hAnsi="Calibri"/>
          <w:sz w:val="22"/>
          <w:szCs w:val="22"/>
        </w:rPr>
        <w:t xml:space="preserve">AI systems increasingly generate factual claims, recommendations and decisions that enterprises need to trust. Existing solutions can evaluate models, observe applications, detect hallucinations or apply individual guardrails, but they do not provide a common verification layer in which multiple verification methods can be composed, governed by explicit policies and converted into durable evidence. GroundLens provides that layer.</w:t>
      </w:r>
    </w:p>
    <w:p>
      <w:pPr>
        <w:spacing w:after="140" w:line="300"/>
      </w:pPr>
      <w:r>
        <w:rPr>
          <w:rFonts w:ascii="Calibri" w:cs="Calibri" w:eastAsia="Calibri" w:hAnsi="Calibri"/>
          <w:sz w:val="22"/>
          <w:szCs w:val="22"/>
        </w:rPr>
        <w:t xml:space="preserve">A GroundLens verifier produces evidence, not truth. Multiple verifiers can be combined: deterministic checks, lexical grounding, semantic similarity, NLI, SGI, DGI, rules, user-defined verifiers and optionally LLM-as-a-judge. A policy engine interprets the evidence and produces PASS, REVIEW or FAIL. The complete chain is preserved as a versioned, optionally signed evidence record that can be independently verified and mapped to governance or regulatory controls.</w:t>
      </w:r>
    </w:p>
    <w:p>
      <w:pPr>
        <w:spacing w:after="140" w:line="300"/>
      </w:pPr>
      <w:r>
        <w:rPr>
          <w:rFonts w:ascii="Calibri" w:cs="Calibri" w:eastAsia="Calibri" w:hAnsi="Calibri"/>
          <w:sz w:val="22"/>
          <w:szCs w:val="22"/>
        </w:rPr>
        <w:t xml:space="preserve">GroundLens does not require an enterprise to disclose its internal AI architecture. It can operate locally against outputs and evidence, making independent verification possible even in sensitive environments.</w:t>
      </w:r>
    </w:p>
    <w:p>
      <w:pPr>
        <w:spacing w:after="140" w:line="300"/>
      </w:pPr>
      <w:r>
        <w:rPr>
          <w:rFonts w:ascii="Calibri" w:cs="Calibri" w:eastAsia="Calibri" w:hAnsi="Calibri"/>
          <w:sz w:val="22"/>
          <w:szCs w:val="22"/>
        </w:rPr>
        <w:t xml:space="preserve">The open-source engine is the adoption and trust layer. The commercial product is verification at production scale: calibration, evidence packages, policies, governance, private deployment, specialised verifiers and regulatory mappings.</w:t>
      </w:r>
    </w:p>
    <w:p>
      <w:pPr>
        <w:spacing w:after="140" w:line="300"/>
      </w:pPr>
      <w:r>
        <w:rPr>
          <w:rFonts w:ascii="Calibri" w:cs="Calibri" w:eastAsia="Calibri" w:hAnsi="Calibri"/>
          <w:sz w:val="22"/>
          <w:szCs w:val="22"/>
        </w:rPr>
        <w:t xml:space="preserve">GroundLens does not aim to be the best hallucination detector. It aims to become the infrastructure through which AI verification is performed, governed and evidenced.</w:t>
      </w:r>
    </w:p>
    <w:p>
      <w:pPr>
        <w:pBdr>
          <w:left w:val="single" w:color="1a4fd6" w:sz="12" w:space="8"/>
        </w:pBdr>
        <w:spacing w:after="160" w:line="280"/>
        <w:ind w:left="360"/>
      </w:pPr>
      <w:r>
        <w:rPr>
          <w:rFonts w:ascii="Calibri" w:cs="Calibri" w:eastAsia="Calibri" w:hAnsi="Calibri"/>
          <w:i/>
          <w:iCs/>
          <w:color w:val="444444"/>
          <w:sz w:val="20"/>
          <w:szCs w:val="20"/>
        </w:rPr>
        <w:t xml:space="preserve">Sobre el determinismo. Deja de ser el titular y pasa a ser una propiedad declarada por verifier y demostrada en público: deterministic where possible, reproducible where required, explicit provenance when not. Es exactamente lo que el código ya hace con las tres clases </w:t>
      </w:r>
      <w:r>
        <w:rPr>
          <w:rFonts w:ascii="Consolas" w:cs="Consolas" w:eastAsia="Consolas" w:hAnsi="Consolas"/>
          <w:i/>
          <w:iCs/>
          <w:color w:val="444444"/>
          <w:sz w:val="20"/>
          <w:szCs w:val="20"/>
        </w:rPr>
        <w:t xml:space="preserve">exact</w:t>
      </w:r>
      <w:r>
        <w:rPr>
          <w:rFonts w:ascii="Calibri" w:cs="Calibri" w:eastAsia="Calibri" w:hAnsi="Calibri"/>
          <w:i/>
          <w:iCs/>
          <w:color w:val="444444"/>
          <w:sz w:val="20"/>
          <w:szCs w:val="20"/>
        </w:rPr>
        <w:t xml:space="preserve">, </w:t>
      </w:r>
      <w:r>
        <w:rPr>
          <w:rFonts w:ascii="Consolas" w:cs="Consolas" w:eastAsia="Consolas" w:hAnsi="Consolas"/>
          <w:i/>
          <w:iCs/>
          <w:color w:val="444444"/>
          <w:sz w:val="20"/>
          <w:szCs w:val="20"/>
        </w:rPr>
        <w:t xml:space="preserve">reproducible</w:t>
      </w:r>
      <w:r>
        <w:rPr>
          <w:rFonts w:ascii="Calibri" w:cs="Calibri" w:eastAsia="Calibri" w:hAnsi="Calibri"/>
          <w:i/>
          <w:iCs/>
          <w:color w:val="444444"/>
          <w:sz w:val="20"/>
          <w:szCs w:val="20"/>
        </w:rPr>
        <w:t xml:space="preserve"> y </w:t>
      </w:r>
      <w:r>
        <w:rPr>
          <w:rFonts w:ascii="Consolas" w:cs="Consolas" w:eastAsia="Consolas" w:hAnsi="Consolas"/>
          <w:i/>
          <w:iCs/>
          <w:color w:val="444444"/>
          <w:sz w:val="20"/>
          <w:szCs w:val="20"/>
        </w:rPr>
        <w:t xml:space="preserve">non_deterministic</w:t>
      </w:r>
      <w:r>
        <w:rPr>
          <w:rFonts w:ascii="Calibri" w:cs="Calibri" w:eastAsia="Calibri" w:hAnsi="Calibri"/>
          <w:i/>
          <w:iCs/>
          <w:color w:val="444444"/>
          <w:sz w:val="20"/>
          <w:szCs w:val="20"/>
        </w:rPr>
        <w:t xml:space="preserve">, y el hash público por release sigue siendo la prueba. No se rebaja la propiedad formal; se deja de venderla como si fuese el producto.</w:t>
      </w:r>
    </w:p>
    <w:p>
      <w:pPr>
        <w:pStyle w:val="Heading1"/>
        <w:spacing w:after="200" w:before="480"/>
      </w:pPr>
      <w:r>
        <w:rPr>
          <w:rFonts w:ascii="Calibri" w:cs="Calibri" w:eastAsia="Calibri" w:hAnsi="Calibri"/>
        </w:rPr>
        <w:t xml:space="preserve">2. Nombres y piezas</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GroundLens                          la marca y el producto</w:t>
            </w:r>
          </w:p>
          <w:p>
            <w:pPr>
              <w:spacing w:after="0" w:line="230"/>
            </w:pPr>
            <w:r>
              <w:rPr>
                <w:rFonts w:ascii="Consolas" w:cs="Consolas" w:eastAsia="Consolas" w:hAnsi="Consolas"/>
                <w:sz w:val="15"/>
                <w:szCs w:val="15"/>
              </w:rPr>
              <w:t xml:space="preserve">├── GLV Engine                      núcleo Rust: verifiers, evidence graph, policy engine, records</w:t>
            </w:r>
          </w:p>
          <w:p>
            <w:pPr>
              <w:spacing w:after="0" w:line="230"/>
            </w:pPr>
            <w:r>
              <w:rPr>
                <w:rFonts w:ascii="Consolas" w:cs="Consolas" w:eastAsia="Consolas" w:hAnsi="Consolas"/>
                <w:sz w:val="15"/>
                <w:szCs w:val="15"/>
              </w:rPr>
              <w:t xml:space="preserve">├── GroundLens SDK                  Python (pip install groundlens, 4.0) y bindings</w:t>
            </w:r>
          </w:p>
          <w:p>
            <w:pPr>
              <w:spacing w:after="0" w:line="230"/>
            </w:pPr>
            <w:r>
              <w:rPr>
                <w:rFonts w:ascii="Consolas" w:cs="Consolas" w:eastAsia="Consolas" w:hAnsi="Consolas"/>
                <w:sz w:val="15"/>
                <w:szCs w:val="15"/>
              </w:rPr>
              <w:t xml:space="preserve">├── GroundLens Verification         el servicio: assessments y reports sobre un sistema concreto</w:t>
            </w:r>
          </w:p>
          <w:p>
            <w:pPr>
              <w:spacing w:after="0" w:line="230"/>
            </w:pPr>
            <w:r>
              <w:rPr>
                <w:rFonts w:ascii="Consolas" w:cs="Consolas" w:eastAsia="Consolas" w:hAnsi="Consolas"/>
                <w:sz w:val="15"/>
                <w:szCs w:val="15"/>
              </w:rPr>
              <w:t xml:space="preserve">└── GroundLens Evidence             registros firmados, paquetes de evidencia, repositorio (después)</w:t>
            </w:r>
          </w:p>
        </w:tc>
      </w:tr>
    </w:tbl>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047"/>
        <w:gridCol w:w="3164"/>
        <w:gridCol w:w="4095"/>
      </w:tblGrid>
      <w:tr>
        <w:trPr>
          <w:tblHeader/>
        </w:trPr>
        <w:tc>
          <w:tcPr>
            <w:tcW w:type="dxa" w:w="2047"/>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Activo</w:t>
            </w:r>
          </w:p>
        </w:tc>
        <w:tc>
          <w:tcPr>
            <w:tcW w:type="dxa" w:w="3164"/>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Nombre</w:t>
            </w:r>
          </w:p>
        </w:tc>
        <w:tc>
          <w:tcPr>
            <w:tcW w:type="dxa" w:w="4095"/>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Notas</w:t>
            </w:r>
          </w:p>
        </w:tc>
      </w:tr>
      <w:tr>
        <w:tc>
          <w:tcPr>
            <w:tcW w:type="dxa" w:w="204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Repo del engine</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github.com/groundlens-dev/glv</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scaffold entregado, renombrado. Público, Apache-2.0</w:t>
            </w:r>
          </w:p>
        </w:tc>
      </w:tr>
      <w:tr>
        <w:tc>
          <w:tcPr>
            <w:tcW w:type="dxa" w:w="204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Binario y CLI</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w:t>
            </w:r>
          </w:p>
        </w:tc>
        <w:tc>
          <w:tcPr>
            <w:tcW w:type="dxa" w:w="4095"/>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 verify</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glv report</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glv record verify</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glv bundle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glv policy lint</w:t>
            </w:r>
          </w:p>
        </w:tc>
      </w:tr>
      <w:tr>
        <w:tc>
          <w:tcPr>
            <w:tcW w:type="dxa" w:w="204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Crate</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w:t>
            </w:r>
            <w:r>
              <w:rPr>
                <w:rFonts w:ascii="Calibri" w:cs="Calibri" w:eastAsia="Calibri" w:hAnsi="Calibri"/>
                <w:b w:val="false"/>
                <w:bCs w:val="false"/>
                <w:sz w:val="19"/>
                <w:szCs w:val="19"/>
              </w:rPr>
              <w:t xml:space="preserve"> en crates.io</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Reservar el día uno</w:t>
            </w:r>
          </w:p>
        </w:tc>
      </w:tr>
      <w:tr>
        <w:tc>
          <w:tcPr>
            <w:tcW w:type="dxa" w:w="204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Paquete Python</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w:t>
            </w:r>
            <w:r>
              <w:rPr>
                <w:rFonts w:ascii="Calibri" w:cs="Calibri" w:eastAsia="Calibri" w:hAnsi="Calibri"/>
                <w:b w:val="false"/>
                <w:bCs w:val="false"/>
                <w:sz w:val="19"/>
                <w:szCs w:val="19"/>
              </w:rPr>
              <w:t xml:space="preserve"> 4.0 en PyPI</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nombre ya es nuestro. 3.x queda como última versión Python pura, con </w:t>
            </w:r>
            <w:r>
              <w:rPr>
                <w:rFonts w:ascii="Consolas" w:cs="Consolas" w:eastAsia="Consolas" w:hAnsi="Consolas"/>
                <w:b w:val="false"/>
                <w:bCs w:val="false"/>
                <w:sz w:val="19"/>
                <w:szCs w:val="19"/>
              </w:rPr>
              <w:t xml:space="preserve">proofread()</w:t>
            </w:r>
            <w:r>
              <w:rPr>
                <w:rFonts w:ascii="Calibri" w:cs="Calibri" w:eastAsia="Calibri" w:hAnsi="Calibri"/>
                <w:b w:val="false"/>
                <w:bCs w:val="false"/>
                <w:sz w:val="19"/>
                <w:szCs w:val="19"/>
              </w:rPr>
              <w:t xml:space="preserve"> mantenido como fachada</w:t>
            </w:r>
          </w:p>
        </w:tc>
      </w:tr>
      <w:tr>
        <w:tc>
          <w:tcPr>
            <w:tcW w:type="dxa" w:w="204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Dominio y correo</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groundlens.dev</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mail@groundlens.dev</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 existen. Sin dominio nuevo</w:t>
            </w:r>
          </w:p>
        </w:tc>
      </w:tr>
      <w:tr>
        <w:tc>
          <w:tcPr>
            <w:tcW w:type="dxa" w:w="204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Documentación</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docs.groundlens.dev</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Generada desde el repo</w:t>
            </w:r>
          </w:p>
        </w:tc>
      </w:tr>
      <w:tr>
        <w:tc>
          <w:tcPr>
            <w:tcW w:type="dxa" w:w="204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Benchmark</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github.com/groundlens-dev/benchmark</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Público desde la semana 7</w:t>
            </w:r>
          </w:p>
        </w:tc>
      </w:tr>
    </w:tbl>
    <w:p>
      <w:pPr>
        <w:spacing w:after="60"/>
      </w:pPr>
      <w:r>
        <w:t xml:space="preserve"/>
      </w:r>
    </w:p>
    <w:p>
      <w:pPr>
        <w:pStyle w:val="Heading1"/>
        <w:spacing w:after="200" w:before="480"/>
      </w:pPr>
      <w:r>
        <w:rPr>
          <w:rFonts w:ascii="Calibri" w:cs="Calibri" w:eastAsia="Calibri" w:hAnsi="Calibri"/>
        </w:rPr>
        <w:t xml:space="preserve">3. Arquitectura, sin cambios en el motor</w:t>
      </w:r>
    </w:p>
    <w:p>
      <w:pPr>
        <w:spacing w:after="140" w:line="300"/>
      </w:pPr>
      <w:r>
        <w:rPr>
          <w:rFonts w:ascii="Calibri" w:cs="Calibri" w:eastAsia="Calibri" w:hAnsi="Calibri"/>
          <w:sz w:val="22"/>
          <w:szCs w:val="22"/>
        </w:rPr>
        <w:t xml:space="preserve">El motor no cambia porque ya cumple la tesis. Lo que cambia es el orden de las capas comerciales encima y qué se construye primero. Un verifier produce evidencia, la política decide, el registro conserva la cadena y la regulación es una capa de mapeo que se puede cambiar sin tocar nada de lo anterior.</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AI output + evidence</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Claim / Span layer</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Verifier registry     numeric · lexical · semantic · NLI · SGI · DGI · rules · LLM judge · user-defined</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Evidence graph</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Policy engine         required / optional / forbidden · determinism class admitted · thresholds + guard band</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PASS / REVIEW / FAIL</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Evidence record       versioned, hash-chained, optionally signed</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Controls → Regulation (mapping layer, policy packs)</w:t>
            </w:r>
          </w:p>
        </w:tc>
      </w:tr>
    </w:tbl>
    <w:p>
      <w:pPr>
        <w:pStyle w:val="ListParagraph"/>
        <w:numPr>
          <w:ilvl w:val="0"/>
          <w:numId w:val="2"/>
        </w:numPr>
        <w:spacing w:after="80" w:line="290"/>
      </w:pPr>
      <w:r>
        <w:rPr>
          <w:rFonts w:ascii="Calibri" w:cs="Calibri" w:eastAsia="Calibri" w:hAnsi="Calibri"/>
          <w:sz w:val="22"/>
          <w:szCs w:val="22"/>
        </w:rPr>
        <w:t xml:space="preserve">Ningún verifier decide. La frase del plan 1.0 sobre "devuelve una decisión" describía la salida del producto y se corrige: la decisión la produce la política sobre el grafo de evidencia, y así está implementado.</w:t>
      </w:r>
    </w:p>
    <w:p>
      <w:pPr>
        <w:pStyle w:val="ListParagraph"/>
        <w:numPr>
          <w:ilvl w:val="0"/>
          <w:numId w:val="2"/>
        </w:numPr>
        <w:spacing w:after="80" w:line="290"/>
      </w:pPr>
      <w:r>
        <w:rPr>
          <w:rFonts w:ascii="Calibri" w:cs="Calibri" w:eastAsia="Calibri" w:hAnsi="Calibri"/>
          <w:sz w:val="22"/>
          <w:szCs w:val="22"/>
        </w:rPr>
        <w:t xml:space="preserve">GroundLens no tiene una metodología implícita. </w:t>
      </w:r>
      <w:r>
        <w:rPr>
          <w:rFonts w:ascii="Consolas" w:cs="Consolas" w:eastAsia="Consolas" w:hAnsi="Consolas"/>
          <w:sz w:val="22"/>
          <w:szCs w:val="22"/>
        </w:rPr>
        <w:t xml:space="preserve">numeric</w:t>
      </w:r>
      <w:r>
        <w:rPr>
          <w:rFonts w:ascii="Calibri" w:cs="Calibri" w:eastAsia="Calibri" w:hAnsi="Calibri"/>
          <w:sz w:val="22"/>
          <w:szCs w:val="22"/>
        </w:rPr>
        <w:t xml:space="preserve"> es el único verifier </w:t>
      </w:r>
      <w:r>
        <w:rPr>
          <w:rFonts w:ascii="Consolas" w:cs="Consolas" w:eastAsia="Consolas" w:hAnsi="Consolas"/>
          <w:sz w:val="22"/>
          <w:szCs w:val="22"/>
        </w:rPr>
        <w:t xml:space="preserve">required</w:t>
      </w:r>
      <w:r>
        <w:rPr>
          <w:rFonts w:ascii="Calibri" w:cs="Calibri" w:eastAsia="Calibri" w:hAnsi="Calibri"/>
          <w:sz w:val="22"/>
          <w:szCs w:val="22"/>
        </w:rPr>
        <w:t xml:space="preserve"> en la plantilla por defecto. SGI, DGI, NLI, léxico y juez LLM son opcionales y la política los combina. Una organización puede exigir solo </w:t>
      </w:r>
      <w:r>
        <w:rPr>
          <w:rFonts w:ascii="Consolas" w:cs="Consolas" w:eastAsia="Consolas" w:hAnsi="Consolas"/>
          <w:sz w:val="22"/>
          <w:szCs w:val="22"/>
        </w:rPr>
        <w:t xml:space="preserve">numeric</w:t>
      </w:r>
      <w:r>
        <w:rPr>
          <w:rFonts w:ascii="Calibri" w:cs="Calibri" w:eastAsia="Calibri" w:hAnsi="Calibri"/>
          <w:sz w:val="22"/>
          <w:szCs w:val="22"/>
        </w:rPr>
        <w:t xml:space="preserve">, otra </w:t>
      </w:r>
      <w:r>
        <w:rPr>
          <w:rFonts w:ascii="Consolas" w:cs="Consolas" w:eastAsia="Consolas" w:hAnsi="Consolas"/>
          <w:sz w:val="22"/>
          <w:szCs w:val="22"/>
        </w:rPr>
        <w:t xml:space="preserve">numeric + nli</w:t>
      </w:r>
      <w:r>
        <w:rPr>
          <w:rFonts w:ascii="Calibri" w:cs="Calibri" w:eastAsia="Calibri" w:hAnsi="Calibri"/>
          <w:sz w:val="22"/>
          <w:szCs w:val="22"/>
        </w:rPr>
        <w:t xml:space="preserve">, otra </w:t>
      </w:r>
      <w:r>
        <w:rPr>
          <w:rFonts w:ascii="Consolas" w:cs="Consolas" w:eastAsia="Consolas" w:hAnsi="Consolas"/>
          <w:sz w:val="22"/>
          <w:szCs w:val="22"/>
        </w:rPr>
        <w:t xml:space="preserve">nli + semantic + rules</w:t>
      </w:r>
      <w:r>
        <w:rPr>
          <w:rFonts w:ascii="Calibri" w:cs="Calibri" w:eastAsia="Calibri" w:hAnsi="Calibri"/>
          <w:sz w:val="22"/>
          <w:szCs w:val="22"/>
        </w:rPr>
        <w:t xml:space="preserve">, otra </w:t>
      </w:r>
      <w:r>
        <w:rPr>
          <w:rFonts w:ascii="Consolas" w:cs="Consolas" w:eastAsia="Consolas" w:hAnsi="Consolas"/>
          <w:sz w:val="22"/>
          <w:szCs w:val="22"/>
        </w:rPr>
        <w:t xml:space="preserve">numeric + lexical</w:t>
      </w:r>
      <w:r>
        <w:rPr>
          <w:rFonts w:ascii="Calibri" w:cs="Calibri" w:eastAsia="Calibri" w:hAnsi="Calibri"/>
          <w:sz w:val="22"/>
          <w:szCs w:val="22"/>
        </w:rPr>
        <w:t xml:space="preserve"> con </w:t>
      </w:r>
      <w:r>
        <w:rPr>
          <w:rFonts w:ascii="Consolas" w:cs="Consolas" w:eastAsia="Consolas" w:hAnsi="Consolas"/>
          <w:sz w:val="22"/>
          <w:szCs w:val="22"/>
        </w:rPr>
        <w:t xml:space="preserve">llm_judge</w:t>
      </w:r>
      <w:r>
        <w:rPr>
          <w:rFonts w:ascii="Calibri" w:cs="Calibri" w:eastAsia="Calibri" w:hAnsi="Calibri"/>
          <w:sz w:val="22"/>
          <w:szCs w:val="22"/>
        </w:rPr>
        <w:t xml:space="preserve"> prohibido. Eso es una característica comercial, no solo técnica.</w:t>
      </w:r>
    </w:p>
    <w:p>
      <w:pPr>
        <w:pStyle w:val="ListParagraph"/>
        <w:numPr>
          <w:ilvl w:val="0"/>
          <w:numId w:val="2"/>
        </w:numPr>
        <w:spacing w:after="80" w:line="290"/>
      </w:pPr>
      <w:r>
        <w:rPr>
          <w:rFonts w:ascii="Calibri" w:cs="Calibri" w:eastAsia="Calibri" w:hAnsi="Calibri"/>
          <w:sz w:val="22"/>
          <w:szCs w:val="22"/>
        </w:rPr>
        <w:t xml:space="preserve">El core es Rust, local, offline y produce evidencia JSON. Ninguna decisión de nube, base de datos o proveedor condiciona el core. Railway, Supabase y el stack de CERT desaparecen de la definición del producto; si algún día existe GroundLens Cloud, será una implementación comercial encima del mismo engine.</w:t>
      </w:r>
    </w:p>
    <w:p>
      <w:pPr>
        <w:pStyle w:val="ListParagraph"/>
        <w:numPr>
          <w:ilvl w:val="0"/>
          <w:numId w:val="2"/>
        </w:numPr>
        <w:spacing w:after="80" w:line="290"/>
      </w:pPr>
      <w:r>
        <w:rPr>
          <w:rFonts w:ascii="Calibri" w:cs="Calibri" w:eastAsia="Calibri" w:hAnsi="Calibri"/>
          <w:sz w:val="22"/>
          <w:szCs w:val="22"/>
        </w:rPr>
        <w:t xml:space="preserve">La regulación es una capa. EU AI Act, DORA, EBA, ISO 42001 y NIST AI RMF son policy packs y mapeos futuros. El producto fundamental es verificación; después gobernanza; después evidencia de cumplimiento. No al revés.</w:t>
      </w:r>
    </w:p>
    <w:p>
      <w:pPr>
        <w:pStyle w:val="Heading1"/>
        <w:spacing w:after="200" w:before="480"/>
      </w:pPr>
      <w:r>
        <w:rPr>
          <w:rFonts w:ascii="Calibri" w:cs="Calibri" w:eastAsia="Calibri" w:hAnsi="Calibri"/>
        </w:rPr>
        <w:t xml:space="preserve">4. Primer producto comercial: Verification Report</w:t>
      </w:r>
    </w:p>
    <w:p>
      <w:pPr>
        <w:spacing w:after="140" w:line="300"/>
      </w:pPr>
      <w:r>
        <w:rPr>
          <w:rFonts w:ascii="Calibri" w:cs="Calibri" w:eastAsia="Calibri" w:hAnsi="Calibri"/>
          <w:sz w:val="22"/>
          <w:szCs w:val="22"/>
        </w:rPr>
        <w:t xml:space="preserve">No se construye una consola. Se construye lo que se puede vender con tres clientes: una evaluación independiente de un sistema concreto que termina en un paquete de evidencia reproducible. El cliente entrega salidas y evidencia (o se usa un dataset público o anonimizado). GroundLens no necesita su vector DB, sus prompts, su arquitectura ni sus políticas confidenciales.</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 glv verify --batch outputs.jsonl --policy vendor_baseline_v1.yaml --log run.jsonl</w:t>
            </w:r>
          </w:p>
          <w:p>
            <w:pPr>
              <w:spacing w:after="0" w:line="230"/>
            </w:pPr>
            <w:r>
              <w:rPr>
                <w:rFonts w:ascii="Consolas" w:cs="Consolas" w:eastAsia="Consolas" w:hAnsi="Consolas"/>
                <w:sz w:val="15"/>
                <w:szCs w:val="15"/>
              </w:rPr>
              <w:t xml:space="preserve">$ glv report  --log run.jsonl --benchmark public-v1 --out report/</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report/</w:t>
            </w:r>
          </w:p>
          <w:p>
            <w:pPr>
              <w:spacing w:after="0" w:line="230"/>
            </w:pPr>
            <w:r>
              <w:rPr>
                <w:rFonts w:ascii="Consolas" w:cs="Consolas" w:eastAsia="Consolas" w:hAnsi="Consolas"/>
                <w:sz w:val="15"/>
                <w:szCs w:val="15"/>
              </w:rPr>
              <w:t xml:space="preserve">├── report.pdf            resumen ejecutivo, resultados por verifier y por tipo de claim, operating point</w:t>
            </w:r>
          </w:p>
          <w:p>
            <w:pPr>
              <w:spacing w:after="0" w:line="230"/>
            </w:pPr>
            <w:r>
              <w:rPr>
                <w:rFonts w:ascii="Consolas" w:cs="Consolas" w:eastAsia="Consolas" w:hAnsi="Consolas"/>
                <w:sz w:val="15"/>
                <w:szCs w:val="15"/>
              </w:rPr>
              <w:t xml:space="preserve">├── report.json           todo lo del PDF, legible por máquina</w:t>
            </w:r>
          </w:p>
          <w:p>
            <w:pPr>
              <w:spacing w:after="0" w:line="230"/>
            </w:pPr>
            <w:r>
              <w:rPr>
                <w:rFonts w:ascii="Consolas" w:cs="Consolas" w:eastAsia="Consolas" w:hAnsi="Consolas"/>
                <w:sz w:val="15"/>
                <w:szCs w:val="15"/>
              </w:rPr>
              <w:t xml:space="preserve">├── records.jsonl         cada verificación, firmada y encadenada</w:t>
            </w:r>
          </w:p>
          <w:p>
            <w:pPr>
              <w:spacing w:after="0" w:line="230"/>
            </w:pPr>
            <w:r>
              <w:rPr>
                <w:rFonts w:ascii="Consolas" w:cs="Consolas" w:eastAsia="Consolas" w:hAnsi="Consolas"/>
                <w:sz w:val="15"/>
                <w:szCs w:val="15"/>
              </w:rPr>
              <w:t xml:space="preserve">├── policy.yaml           la política aplicada, con su hash</w:t>
            </w:r>
          </w:p>
          <w:p>
            <w:pPr>
              <w:spacing w:after="0" w:line="230"/>
            </w:pPr>
            <w:r>
              <w:rPr>
                <w:rFonts w:ascii="Consolas" w:cs="Consolas" w:eastAsia="Consolas" w:hAnsi="Consolas"/>
                <w:sz w:val="15"/>
                <w:szCs w:val="15"/>
              </w:rPr>
              <w:t xml:space="preserve">├── manifest.json         bundle, versiones de verifiers, hashes de modelos y calibraciones</w:t>
            </w:r>
          </w:p>
          <w:p>
            <w:pPr>
              <w:spacing w:after="0" w:line="230"/>
            </w:pPr>
            <w:r>
              <w:rPr>
                <w:rFonts w:ascii="Consolas" w:cs="Consolas" w:eastAsia="Consolas" w:hAnsi="Consolas"/>
                <w:sz w:val="15"/>
                <w:szCs w:val="15"/>
              </w:rPr>
              <w:t xml:space="preserve">└── README-auditor.md     cómo recomputar todo offline con glv record verify</w:t>
            </w:r>
          </w:p>
        </w:tc>
      </w:tr>
    </w:tbl>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420"/>
        <w:gridCol w:w="6886"/>
      </w:tblGrid>
      <w:tr>
        <w:trPr>
          <w:tblHeader/>
        </w:trPr>
        <w:tc>
          <w:tcPr>
            <w:tcW w:type="dxa" w:w="242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Sección del informe</w:t>
            </w:r>
          </w:p>
        </w:tc>
        <w:tc>
          <w:tcPr>
            <w:tcW w:type="dxa" w:w="688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Contenido</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Alcance</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Sistema evaluado, periodo, número de salidas y de claims, política y bundle con hashes</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Resultados globales</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Claims evaluadas, supported, contradicted, unsupported, review rate</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Por verifier</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Numeric, lexical, NLI, semantic, SGI, DGI, rules: cobertura, contradicciones, acuerdo entre verifiers</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Por tipo de claim</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Numérico, temporal, entidad, cita, statement. Aquí es donde aparece el problema real de cada sistema</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Operating point</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FPR a recall 0,95 como métrica principal, más precision, recall, F1, AUROC, AUPRC, falsos negativos, review rate, latencia y coste por mil claims</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 el benchmark público</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Dónde queda el sistema respecto a los métodos de referencia sobre el mismo conjunto</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Evidencia</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Hashes, versiones, firmas y las instrucciones para recomputar</w:t>
            </w:r>
          </w:p>
        </w:tc>
      </w:tr>
    </w:tbl>
    <w:p>
      <w:pPr>
        <w:spacing w:after="60"/>
      </w:pPr>
      <w:r>
        <w:t xml:space="preserve"/>
      </w:r>
    </w:p>
    <w:p>
      <w:pPr>
        <w:spacing w:after="140" w:line="300"/>
      </w:pPr>
      <w:r>
        <w:rPr>
          <w:rFonts w:ascii="Calibri" w:cs="Calibri" w:eastAsia="Calibri" w:hAnsi="Calibri"/>
          <w:sz w:val="22"/>
          <w:szCs w:val="22"/>
        </w:rPr>
        <w:t xml:space="preserve">La versión gratuita del informe es el *independent verification assessment*: una ejecución sobre una muestra acotada, con el informe completo, sin compromiso. La versión de pago es el *verification engagement*: dataset completo, calibración sobre sus datos, política a medida y paquete de evidencia firmado. Lo que aprendemos de los primeros diez assessments decide qué partes de una consola hacen falta, si es que hace falta alguna.</w:t>
      </w:r>
    </w:p>
    <w:p>
      <w:pPr>
        <w:pStyle w:val="Heading1"/>
        <w:spacing w:after="200" w:before="480"/>
      </w:pPr>
      <w:r>
        <w:rPr>
          <w:rFonts w:ascii="Calibri" w:cs="Calibri" w:eastAsia="Calibri" w:hAnsi="Calibri"/>
        </w:rPr>
        <w:t xml:space="preserve">5. Cliente inicial: AI vendors e integradores</w:t>
      </w:r>
    </w:p>
    <w:p>
      <w:pPr>
        <w:spacing w:after="140" w:line="300"/>
      </w:pPr>
      <w:r>
        <w:rPr>
          <w:rFonts w:ascii="Calibri" w:cs="Calibri" w:eastAsia="Calibri" w:hAnsi="Calibri"/>
          <w:sz w:val="22"/>
          <w:szCs w:val="22"/>
        </w:rPr>
        <w:t xml:space="preserve">El primer cliente no es el banco. Es quien le vende IA al banco, a la aseguradora, al hospital o a la administración, y necesita demostrar que su producto funciona para cerrar la venta. El banco puede callar; el vendor tiene que vender. Ese incentivo es el que convierte una evaluación independiente en algo que se paga.</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606"/>
        <w:gridCol w:w="2233"/>
        <w:gridCol w:w="2606"/>
        <w:gridCol w:w="1861"/>
      </w:tblGrid>
      <w:tr>
        <w:trPr>
          <w:tblHeader/>
        </w:trPr>
        <w:tc>
          <w:tcPr>
            <w:tcW w:type="dxa" w:w="260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Perfil</w:t>
            </w:r>
          </w:p>
        </w:tc>
        <w:tc>
          <w:tcPr>
            <w:tcW w:type="dxa" w:w="223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Qué le duele</w:t>
            </w:r>
          </w:p>
        </w:tc>
        <w:tc>
          <w:tcPr>
            <w:tcW w:type="dxa" w:w="260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Qué le ofrecemos</w:t>
            </w:r>
          </w:p>
        </w:tc>
        <w:tc>
          <w:tcPr>
            <w:tcW w:type="dxa" w:w="186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Qué no le pedimos</w:t>
            </w:r>
          </w:p>
        </w:tc>
      </w:tr>
      <w:tr>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Vendor de asistentes RAG o agentes verticales (legal, financiero, salud, utilities)</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Cada cliente enterprise le pide pruebas y cada prueba es a medida</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informe independiente y reproducible que puede adjuntar a cualquier propuesta</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 arquitectura, sus prompts, su vector DB</w:t>
            </w:r>
          </w:p>
        </w:tc>
      </w:tr>
      <w:tr>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Integrador o consultora que despliega IA en regulados</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Responde ante el cliente por la calidad de la salida sin herramienta propia</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Verificación como entregable de proyecto, con evidencia firmada</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Datos del cliente final: se trabaja con muestras anonimizadas o públicas</w:t>
            </w:r>
          </w:p>
        </w:tc>
      </w:tr>
      <w:tr>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Plataforma de agentes con marketplace</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Necesita un sello de calidad neutral para sus terceros</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Benchmark público y assessment por agente</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Nada: el benchmark es público</w:t>
            </w:r>
          </w:p>
        </w:tc>
      </w:tr>
    </w:tbl>
    <w:p>
      <w:pPr>
        <w:spacing w:after="60"/>
      </w:pPr>
      <w:r>
        <w:t xml:space="preserve"/>
      </w:r>
    </w:p>
    <w:p>
      <w:pPr>
        <w:spacing w:after="140" w:line="300"/>
      </w:pPr>
      <w:r>
        <w:rPr>
          <w:rFonts w:ascii="Calibri" w:cs="Calibri" w:eastAsia="Calibri" w:hAnsi="Calibri"/>
          <w:sz w:val="22"/>
          <w:szCs w:val="22"/>
        </w:rPr>
        <w:t xml:space="preserve">Cómo se aborda. No se pregunta cómo evalúan su RAG. Se ofrece: *tenemos una infraestructura independiente para verificar salidas de IA; ¿queréis que evaluemos un sistema concreto contra un benchmark y os entreguemos un paquete de evidencia?* Es una oferta, no una entrevista. Los bancos y aseguradoras llegan después, cuando un vendor lleve un informe de GroundLens a una licitación.</w:t>
      </w:r>
    </w:p>
    <w:p>
      <w:pPr>
        <w:pBdr>
          <w:left w:val="single" w:color="1a4fd6" w:sz="12" w:space="8"/>
        </w:pBdr>
        <w:spacing w:after="160" w:line="280"/>
        <w:ind w:left="360"/>
      </w:pPr>
      <w:r>
        <w:rPr>
          <w:rFonts w:ascii="Calibri" w:cs="Calibri" w:eastAsia="Calibri" w:hAnsi="Calibri"/>
          <w:i/>
          <w:iCs/>
          <w:color w:val="444444"/>
          <w:sz w:val="20"/>
          <w:szCs w:val="20"/>
        </w:rPr>
        <w:t xml:space="preserve">Un riesgo a la vista: un vendor quiere quedar bien, y un informe puede decir FAIL. Por eso el assessment es privado, el vendor decide qué publica, y lo que sí es público siempre es el benchmark de métodos, no el de clientes. La credibilidad de GroundLens viene del benchmark; la del vendor, de su informe.</w:t>
      </w:r>
    </w:p>
    <w:p>
      <w:pPr>
        <w:pStyle w:val="Heading1"/>
        <w:spacing w:after="200" w:before="480"/>
      </w:pPr>
      <w:r>
        <w:rPr>
          <w:rFonts w:ascii="Calibri" w:cs="Calibri" w:eastAsia="Calibri" w:hAnsi="Calibri"/>
        </w:rPr>
        <w:t xml:space="preserve">6. Benchmark público</w:t>
      </w:r>
    </w:p>
    <w:p>
      <w:pPr>
        <w:spacing w:after="140" w:line="300"/>
      </w:pPr>
      <w:r>
        <w:rPr>
          <w:rFonts w:ascii="Calibri" w:cs="Calibri" w:eastAsia="Calibri" w:hAnsi="Calibri"/>
          <w:sz w:val="22"/>
          <w:szCs w:val="22"/>
        </w:rPr>
        <w:t xml:space="preserve">Se construye desde el principio y no necesita clientes. Es la fuente de credibilidad independiente y la respuesta al primer cuello de botella: no hace falta que nadie nos cuente sus secretos para demostrar cómo se comportan los métodos.</w:t>
      </w:r>
    </w:p>
    <w:p>
      <w:pPr>
        <w:pStyle w:val="Heading2"/>
        <w:spacing w:after="140" w:before="320"/>
      </w:pPr>
      <w:r>
        <w:rPr>
          <w:rFonts w:ascii="Calibri" w:cs="Calibri" w:eastAsia="Calibri" w:hAnsi="Calibri"/>
        </w:rPr>
        <w:t xml:space="preserve">6.1 GroundLens Verification Benchmark</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420"/>
        <w:gridCol w:w="6886"/>
      </w:tblGrid>
      <w:tr>
        <w:trPr>
          <w:tblHeader/>
        </w:trPr>
        <w:tc>
          <w:tcPr>
            <w:tcW w:type="dxa" w:w="242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Componente</w:t>
            </w:r>
          </w:p>
        </w:tc>
        <w:tc>
          <w:tcPr>
            <w:tcW w:type="dxa" w:w="688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Contenido</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Datasets públicos</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RAGTruth, el conjunto humano de 212 parejas, ExpertQA, FELM, FaithBench, VeritasQA (es, ca, gl, en). HaluEval solo como control de artefactos de autoría. TruthfulQA como frontera declarada del Tipo III</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Casos sintéticos y adversarios</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Contradicciones numéricas con unidades y escalas, negaciones, paráfrasis fieles, sustitución de entidades, fechas, comparaciones, claims multi-salto, claims sin soporte, valores reformateados por cabecera de tabla</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Métodos comparados</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GroundLens numeric, GroundLens lexical, NLI (deberta-v3), similitud semántica, SGI, DGI, LLM judge, y composiciones bajo políticas concretas</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Controles</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Solo longitud, solo identidad de autor, solapamiento léxico. Un método que no supera al control en un conjunto no puede ser </w:t>
            </w:r>
            <w:r>
              <w:rPr>
                <w:rFonts w:ascii="Consolas" w:cs="Consolas" w:eastAsia="Consolas" w:hAnsi="Consolas"/>
                <w:b w:val="false"/>
                <w:bCs w:val="false"/>
                <w:sz w:val="19"/>
                <w:szCs w:val="19"/>
              </w:rPr>
              <w:t xml:space="preserve">recommended</w:t>
            </w:r>
            <w:r>
              <w:rPr>
                <w:rFonts w:ascii="Calibri" w:cs="Calibri" w:eastAsia="Calibri" w:hAnsi="Calibri"/>
                <w:b w:val="false"/>
                <w:bCs w:val="false"/>
                <w:sz w:val="19"/>
                <w:szCs w:val="19"/>
              </w:rPr>
              <w:t xml:space="preserve"> en la plantilla de ese dominio</w:t>
            </w:r>
          </w:p>
        </w:tc>
      </w:tr>
    </w:tbl>
    <w:p>
      <w:pPr>
        <w:spacing w:after="60"/>
      </w:pPr>
      <w:r>
        <w:t xml:space="preserve"/>
      </w:r>
    </w:p>
    <w:p>
      <w:pPr>
        <w:pStyle w:val="Heading2"/>
        <w:spacing w:after="140" w:before="320"/>
      </w:pPr>
      <w:r>
        <w:rPr>
          <w:rFonts w:ascii="Calibri" w:cs="Calibri" w:eastAsia="Calibri" w:hAnsi="Calibri"/>
        </w:rPr>
        <w:t xml:space="preserve">6.2 Métricas</w:t>
      </w:r>
    </w:p>
    <w:p>
      <w:pPr>
        <w:spacing w:after="140" w:line="300"/>
      </w:pPr>
      <w:r>
        <w:rPr>
          <w:rFonts w:ascii="Calibri" w:cs="Calibri" w:eastAsia="Calibri" w:hAnsi="Calibri"/>
          <w:sz w:val="22"/>
          <w:szCs w:val="22"/>
        </w:rPr>
        <w:t xml:space="preserve">La métrica estrella es </w:t>
      </w:r>
      <w:r>
        <w:rPr>
          <w:rFonts w:ascii="Calibri" w:cs="Calibri" w:eastAsia="Calibri" w:hAnsi="Calibri"/>
          <w:b/>
          <w:bCs/>
          <w:sz w:val="22"/>
          <w:szCs w:val="22"/>
        </w:rPr>
        <w:t xml:space="preserve">FPR a recall 0,95</w:t>
      </w:r>
      <w:r>
        <w:rPr>
          <w:rFonts w:ascii="Calibri" w:cs="Calibri" w:eastAsia="Calibri" w:hAnsi="Calibri"/>
          <w:sz w:val="22"/>
          <w:szCs w:val="22"/>
        </w:rPr>
        <w:t xml:space="preserve">, porque es el punto de operación que importa cuando la revisión humana tiene coste. Alrededor: precision, recall, F1, AUROC, AUPRC, rendimiento por tipo de claim, falsos negativos con ejemplos, review rate, latencia y coste por mil claims. Todo con intervalos bootstrap. Lo que se demuestra con eso no es un score bonito sino el comportamiento operativo de un sistema de verificación.</w:t>
      </w:r>
    </w:p>
    <w:p>
      <w:pPr>
        <w:spacing w:after="140" w:line="300"/>
      </w:pPr>
      <w:r>
        <w:rPr>
          <w:rFonts w:ascii="Calibri" w:cs="Calibri" w:eastAsia="Calibri" w:hAnsi="Calibri"/>
          <w:sz w:val="22"/>
          <w:szCs w:val="22"/>
        </w:rPr>
        <w:t xml:space="preserve">Primera publicación, semanas 4 a 6: *How existing AI grounding methods behave at 95% recall.* Es el artículo que abre las conversaciones con vendors sin pedir nada a nadie.</w:t>
      </w:r>
    </w:p>
    <w:p>
      <w:pPr>
        <w:pStyle w:val="Heading1"/>
        <w:spacing w:after="200" w:before="480"/>
      </w:pPr>
      <w:r>
        <w:rPr>
          <w:rFonts w:ascii="Calibri" w:cs="Calibri" w:eastAsia="Calibri" w:hAnsi="Calibri"/>
        </w:rPr>
        <w:t xml:space="preserve">7. Open source: para qué sirve y para qué no</w:t>
      </w:r>
    </w:p>
    <w:p>
      <w:pPr>
        <w:pStyle w:val="ListParagraph"/>
        <w:numPr>
          <w:ilvl w:val="0"/>
          <w:numId w:val="2"/>
        </w:numPr>
        <w:spacing w:after="80" w:line="290"/>
      </w:pPr>
      <w:r>
        <w:rPr>
          <w:rFonts w:ascii="Calibri" w:cs="Calibri" w:eastAsia="Calibri" w:hAnsi="Calibri"/>
          <w:sz w:val="22"/>
          <w:szCs w:val="22"/>
        </w:rPr>
        <w:t xml:space="preserve">Sirve para credibilidad, transparencia, acceso de desarrolladores, reproducibilidad, benchmark, distribución técnica y evaluación independiente por terceros.</w:t>
      </w:r>
    </w:p>
    <w:p>
      <w:pPr>
        <w:pStyle w:val="ListParagraph"/>
        <w:numPr>
          <w:ilvl w:val="0"/>
          <w:numId w:val="2"/>
        </w:numPr>
        <w:spacing w:after="80" w:line="290"/>
      </w:pPr>
      <w:r>
        <w:rPr>
          <w:rFonts w:ascii="Calibri" w:cs="Calibri" w:eastAsia="Calibri" w:hAnsi="Calibri"/>
          <w:sz w:val="22"/>
          <w:szCs w:val="22"/>
        </w:rPr>
        <w:t xml:space="preserve">No es el motor que tiene que producir el negocio. No hay objetivo de mil usuarios ni tabla de instalaciones. El negocio tiene que poder funcionar con tres clientes.</w:t>
      </w:r>
    </w:p>
    <w:p>
      <w:pPr>
        <w:pStyle w:val="ListParagraph"/>
        <w:numPr>
          <w:ilvl w:val="0"/>
          <w:numId w:val="2"/>
        </w:numPr>
        <w:spacing w:after="80" w:line="290"/>
      </w:pPr>
      <w:r>
        <w:rPr>
          <w:rFonts w:ascii="Calibri" w:cs="Calibri" w:eastAsia="Calibri" w:hAnsi="Calibri"/>
          <w:sz w:val="22"/>
          <w:szCs w:val="22"/>
        </w:rPr>
        <w:t xml:space="preserve">Gratis y Apache-2.0: GLV Engine (Rust), CLI, SDK Python, verifiers numeric y lexical, integraciones básicas de NLI y semántica, ejecución local, esquema de evidencia, políticas básicas, </w:t>
      </w:r>
      <w:r>
        <w:rPr>
          <w:rFonts w:ascii="Consolas" w:cs="Consolas" w:eastAsia="Consolas" w:hAnsi="Consolas"/>
          <w:sz w:val="22"/>
          <w:szCs w:val="22"/>
        </w:rPr>
        <w:t xml:space="preserve">glv record verify</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El repo público se cuida como producto: instalación en cinco minutos cronometrada, errores que explican, compatibilidad hacia atrás de registros, binarios firmados, SBOM, changelog. Eso no cambia respecto al plan 1.0.</w:t>
      </w:r>
    </w:p>
    <w:p>
      <w:pPr>
        <w:pStyle w:val="Heading1"/>
        <w:spacing w:after="200" w:before="480"/>
      </w:pPr>
      <w:r>
        <w:rPr>
          <w:rFonts w:ascii="Calibri" w:cs="Calibri" w:eastAsia="Calibri" w:hAnsi="Calibri"/>
        </w:rPr>
        <w:t xml:space="preserve">8. Modelo de ingresos</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420"/>
        <w:gridCol w:w="6886"/>
      </w:tblGrid>
      <w:tr>
        <w:trPr>
          <w:tblHeader/>
        </w:trPr>
        <w:tc>
          <w:tcPr>
            <w:tcW w:type="dxa" w:w="242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De pago</w:t>
            </w:r>
          </w:p>
        </w:tc>
        <w:tc>
          <w:tcPr>
            <w:tcW w:type="dxa" w:w="688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Qué es</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Managed Verification</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Ejecución alojada por API para quien no quiere operar el engine. Encima del mismo binario</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Verification Reports</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Assessments y engagements: informes profesionales y reproducibles sobre un sistema concreto</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Calibration</w:t>
            </w:r>
          </w:p>
        </w:tc>
        <w:tc>
          <w:tcPr>
            <w:tcW w:type="dxa" w:w="688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 calibrate</w:t>
            </w:r>
            <w:r>
              <w:rPr>
                <w:rFonts w:ascii="Calibri" w:cs="Calibri" w:eastAsia="Calibri" w:hAnsi="Calibri"/>
                <w:b w:val="false"/>
                <w:bCs w:val="false"/>
                <w:sz w:val="19"/>
                <w:szCs w:val="19"/>
              </w:rPr>
              <w:t xml:space="preserve"> sobre datasets del cliente, con artefacto firmado y su informe</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Enterprise Evidence</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Repositorio de registros, gobernanza de políticas, retención, firmas, auditoría. Se construye cuando un cliente lo pida por escrito</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Policy Packs</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Plantillas de política, reglas y mapeos por industria y por norma</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Custom Verifiers</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Desarrollo e integración de verifiers específicos del cliente</w:t>
            </w:r>
          </w:p>
        </w:tc>
      </w:tr>
      <w:tr>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Private deployment</w:t>
            </w:r>
          </w:p>
        </w:tc>
        <w:tc>
          <w:tcPr>
            <w:tcW w:type="dxa" w:w="688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On-prem, VPC, air-gapped, con LTS y soporte</w:t>
            </w:r>
          </w:p>
        </w:tc>
      </w:tr>
    </w:tbl>
    <w:p>
      <w:pPr>
        <w:spacing w:after="60"/>
      </w:pPr>
      <w:r>
        <w:t xml:space="preserve"/>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489"/>
        <w:gridCol w:w="5025"/>
        <w:gridCol w:w="2792"/>
      </w:tblGrid>
      <w:tr>
        <w:trPr>
          <w:tblHeader/>
        </w:trPr>
        <w:tc>
          <w:tcPr>
            <w:tcW w:type="dxa" w:w="148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Plan</w:t>
            </w:r>
          </w:p>
        </w:tc>
        <w:tc>
          <w:tcPr>
            <w:tcW w:type="dxa" w:w="5025"/>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Qué incluye</w:t>
            </w:r>
          </w:p>
        </w:tc>
        <w:tc>
          <w:tcPr>
            <w:tcW w:type="dxa" w:w="279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Cómo se cobra</w:t>
            </w:r>
          </w:p>
        </w:tc>
      </w:tr>
      <w:tr>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Community</w:t>
            </w:r>
          </w:p>
        </w:tc>
        <w:tc>
          <w:tcPr>
            <w:tcW w:type="dxa" w:w="502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 CLI, SDK, evidencia local, políticas básicas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0 €</w:t>
            </w:r>
          </w:p>
        </w:tc>
      </w:tr>
      <w:tr>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Team</w:t>
            </w:r>
          </w:p>
        </w:tc>
        <w:tc>
          <w:tcPr>
            <w:tcW w:type="dxa" w:w="502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Managed Verification, reports, calibración básica, soporte</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Suscripción. Precio a fijar tras los tres primeros engagements</w:t>
            </w:r>
          </w:p>
        </w:tc>
      </w:tr>
      <w:tr>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Enterprise</w:t>
            </w:r>
          </w:p>
        </w:tc>
        <w:tc>
          <w:tcPr>
            <w:tcW w:type="dxa" w:w="502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SSO, RBAC, auditoría, retención, despliegue privado, gobernanza de políticas, soporte con SLA, packs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Contrato anual</w:t>
            </w:r>
          </w:p>
        </w:tc>
      </w:tr>
    </w:tbl>
    <w:p>
      <w:pPr>
        <w:spacing w:after="60"/>
      </w:pPr>
      <w:r>
        <w:t xml:space="preserve"/>
      </w:r>
    </w:p>
    <w:p>
      <w:pPr>
        <w:spacing w:after="140" w:line="300"/>
      </w:pPr>
      <w:r>
        <w:rPr>
          <w:rFonts w:ascii="Calibri" w:cs="Calibri" w:eastAsia="Calibri" w:hAnsi="Calibri"/>
          <w:sz w:val="22"/>
          <w:szCs w:val="22"/>
        </w:rPr>
        <w:t xml:space="preserve">No se cobra por segundo proyecto ni por volumen de verificaciones. Cobrar por proyectos hace que el cliente lo lea como una herramienta SaaS de gestión; cobrar por volumen castiga el uso. Se cobra por capacidades enterprise y por servicios con entregable. Los precios concretos se fijan con los tres primeros engagements, no antes.</w:t>
      </w:r>
    </w:p>
    <w:p>
      <w:pPr>
        <w:pStyle w:val="Heading1"/>
        <w:spacing w:after="200" w:before="480"/>
      </w:pPr>
      <w:r>
        <w:rPr>
          <w:rFonts w:ascii="Calibri" w:cs="Calibri" w:eastAsia="Calibri" w:hAnsi="Calibri"/>
        </w:rPr>
        <w:t xml:space="preserve">9. Hitos de validación, no previsiones</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4653"/>
        <w:gridCol w:w="4653"/>
      </w:tblGrid>
      <w:tr>
        <w:trPr>
          <w:tblHeader/>
        </w:trPr>
        <w:tc>
          <w:tcPr>
            <w:tcW w:type="dxa" w:w="465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Hito</w:t>
            </w:r>
          </w:p>
        </w:tc>
        <w:tc>
          <w:tcPr>
            <w:tcW w:type="dxa" w:w="465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Qué demuestra</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Tres organizaciones evalúan GroundLens con datos reales</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assessment gratuito interesa a quien tiene el problema</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Una paga</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Hay un entregable por el que alguien firma</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Dos clientes usan GroundLens en producción</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engine aguanta fuera del laboratorio</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Un cliente renueva</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valor se sostiene después del primer informe</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La misma arquitectura funciona en un segundo sector</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Es infraestructura, no una solución vertical</w:t>
            </w:r>
          </w:p>
        </w:tc>
      </w:tr>
    </w:tbl>
    <w:p>
      <w:pPr>
        <w:spacing w:after="60"/>
      </w:pPr>
      <w:r>
        <w:t xml:space="preserve"/>
      </w:r>
    </w:p>
    <w:p>
      <w:pPr>
        <w:pStyle w:val="Heading1"/>
        <w:spacing w:after="200" w:before="480"/>
      </w:pPr>
      <w:r>
        <w:rPr>
          <w:rFonts w:ascii="Calibri" w:cs="Calibri" w:eastAsia="Calibri" w:hAnsi="Calibri"/>
        </w:rPr>
        <w:t xml:space="preserve">10. Los noventa días</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744"/>
        <w:gridCol w:w="1489"/>
        <w:gridCol w:w="4281"/>
        <w:gridCol w:w="2792"/>
      </w:tblGrid>
      <w:tr>
        <w:trPr>
          <w:tblHeader/>
        </w:trPr>
        <w:tc>
          <w:tcPr>
            <w:tcW w:type="dxa" w:w="744"/>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Semanas</w:t>
            </w:r>
          </w:p>
        </w:tc>
        <w:tc>
          <w:tcPr>
            <w:tcW w:type="dxa" w:w="148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Bloque</w:t>
            </w:r>
          </w:p>
        </w:tc>
        <w:tc>
          <w:tcPr>
            <w:tcW w:type="dxa" w:w="428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Entrega</w:t>
            </w:r>
          </w:p>
        </w:tc>
        <w:tc>
          <w:tcPr>
            <w:tcW w:type="dxa" w:w="279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Criterio de hecho</w:t>
            </w:r>
          </w:p>
        </w:tc>
      </w:tr>
      <w:tr>
        <w:tc>
          <w:tcPr>
            <w:tcW w:type="dxa" w:w="74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Product contract</w:t>
            </w:r>
          </w:p>
        </w:tc>
        <w:tc>
          <w:tcPr>
            <w:tcW w:type="dxa" w:w="428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Cerrar y publicar los contratos: Claim, Span, Evidence, Verifier, Policy, Decision, Evidence Record. Renombrar el repo a </w:t>
            </w:r>
            <w:r>
              <w:rPr>
                <w:rFonts w:ascii="Consolas" w:cs="Consolas" w:eastAsia="Consolas" w:hAnsi="Consolas"/>
                <w:b w:val="false"/>
                <w:bCs w:val="false"/>
                <w:sz w:val="19"/>
                <w:szCs w:val="19"/>
              </w:rPr>
              <w:t xml:space="preserve">glv</w:t>
            </w:r>
            <w:r>
              <w:rPr>
                <w:rFonts w:ascii="Calibri" w:cs="Calibri" w:eastAsia="Calibri" w:hAnsi="Calibri"/>
                <w:b w:val="false"/>
                <w:bCs w:val="false"/>
                <w:sz w:val="19"/>
                <w:szCs w:val="19"/>
              </w:rPr>
              <w:t xml:space="preserve">, reservar nombres. Nada de consola</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Contratos congelados con versión de schema; CI verde en tres SO</w:t>
            </w:r>
          </w:p>
        </w:tc>
      </w:tr>
      <w:tr>
        <w:tc>
          <w:tcPr>
            <w:tcW w:type="dxa" w:w="74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3–4</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GLV Engine</w:t>
            </w:r>
          </w:p>
        </w:tc>
        <w:tc>
          <w:tcPr>
            <w:tcW w:type="dxa" w:w="428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Numeric con unidades, lexical (port de anchors sobre ONNX), evidencia, hashing determinista, CLI, SDK Python. Release pública</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Instalación en cinco minutos cronometrada; soportes léxicos iguales a groundlens 3.1 con Δ ≤ 1e-6</w:t>
            </w:r>
          </w:p>
        </w:tc>
      </w:tr>
      <w:tr>
        <w:tc>
          <w:tcPr>
            <w:tcW w:type="dxa" w:w="74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Verification stack</w:t>
            </w:r>
          </w:p>
        </w:tc>
        <w:tc>
          <w:tcPr>
            <w:tcW w:type="dxa" w:w="428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Semantic, NLI, verifier registry completo, policy engine con banda de guarda, </w:t>
            </w:r>
            <w:r>
              <w:rPr>
                <w:rFonts w:ascii="Consolas" w:cs="Consolas" w:eastAsia="Consolas" w:hAnsi="Consolas"/>
                <w:b w:val="false"/>
                <w:bCs w:val="false"/>
                <w:sz w:val="19"/>
                <w:szCs w:val="19"/>
              </w:rPr>
              <w:t xml:space="preserve">glv calibrate</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Tasa de cambio de clasificación 0 en la matriz CI; artículo *at 95% recall* publicado</w:t>
            </w:r>
          </w:p>
        </w:tc>
      </w:tr>
      <w:tr>
        <w:tc>
          <w:tcPr>
            <w:tcW w:type="dxa" w:w="74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7–8</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Benchmark</w:t>
            </w:r>
          </w:p>
        </w:tc>
        <w:tc>
          <w:tcPr>
            <w:tcW w:type="dxa" w:w="428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Repo público del benchmark, datasets, sintéticos, controles. Publicar FPR@95, AUROC, AUPRC, precision/recall, latencia y ablaciones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Tabla pública por método y por tipo de claim con intervalos</w:t>
            </w:r>
          </w:p>
        </w:tc>
      </w:tr>
      <w:tr>
        <w:tc>
          <w:tcPr>
            <w:tcW w:type="dxa" w:w="74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9–10</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Verification Reports</w:t>
            </w:r>
          </w:p>
        </w:tc>
        <w:tc>
          <w:tcPr>
            <w:tcW w:type="dxa" w:w="428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 report</w:t>
            </w:r>
            <w:r>
              <w:rPr>
                <w:rFonts w:ascii="Calibri" w:cs="Calibri" w:eastAsia="Calibri" w:hAnsi="Calibri"/>
                <w:b w:val="false"/>
                <w:bCs w:val="false"/>
                <w:sz w:val="19"/>
                <w:szCs w:val="19"/>
              </w:rPr>
              <w:t xml:space="preserve">: PDF y JSON, paquete de evidencia, README para auditores. Assessments gratuitos a vendors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Tres assessments entregados</w:t>
            </w:r>
          </w:p>
        </w:tc>
      </w:tr>
      <w:tr>
        <w:tc>
          <w:tcPr>
            <w:tcW w:type="dxa" w:w="74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11–12</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Validación comercial</w:t>
            </w:r>
          </w:p>
        </w:tc>
        <w:tc>
          <w:tcPr>
            <w:tcW w:type="dxa" w:w="428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Convertir assessments en engagements de pago. Fijar precios de Team con datos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Tres design partners, un engagement pagado, un piloto en producción</w:t>
            </w:r>
          </w:p>
        </w:tc>
      </w:tr>
    </w:tbl>
    <w:p>
      <w:pPr>
        <w:spacing w:after="60"/>
      </w:pPr>
      <w:r>
        <w:t xml:space="preserve"/>
      </w:r>
    </w:p>
    <w:p>
      <w:pPr>
        <w:spacing w:after="140" w:line="300"/>
      </w:pPr>
      <w:r>
        <w:rPr>
          <w:rFonts w:ascii="Calibri" w:cs="Calibri" w:eastAsia="Calibri" w:hAnsi="Calibri"/>
          <w:sz w:val="22"/>
          <w:szCs w:val="22"/>
        </w:rPr>
        <w:t xml:space="preserve">Solo después de la semana 12 se decide qué partes de una consola hacen falta, con los assessments delante.</w:t>
      </w:r>
    </w:p>
    <w:p>
      <w:pPr>
        <w:pStyle w:val="Heading1"/>
        <w:spacing w:after="200" w:before="480"/>
      </w:pPr>
      <w:r>
        <w:rPr>
          <w:rFonts w:ascii="Calibri" w:cs="Calibri" w:eastAsia="Calibri" w:hAnsi="Calibri"/>
        </w:rPr>
        <w:t xml:space="preserve">11. Qué se mantiene, qué se aplaza</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4653"/>
        <w:gridCol w:w="4653"/>
      </w:tblGrid>
      <w:tr>
        <w:trPr>
          <w:tblHeader/>
        </w:trPr>
        <w:tc>
          <w:tcPr>
            <w:tcW w:type="dxa" w:w="465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Se mantiene</w:t>
            </w:r>
          </w:p>
        </w:tc>
        <w:tc>
          <w:tcPr>
            <w:tcW w:type="dxa" w:w="465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Se aplaza hasta que un cliente lo pida</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Rust core, cero dependencias en runtime, CLI, bindings Python, sidecar, JSONL</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SaaS multi-tenant, login, RBAC, RLS</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Evidence record firmado y encadenado, verificación offline</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Stripe y facturación en producto</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Policy engine, verifier registry, versionado de políticas</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Dashboard, cola de revisión, métricas</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Calibración y benchmark público</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Postgres alojado, Supabase, Railway</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Mapeo regulatorio como capa</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Packs regulatorios, marketplace</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SBOM, Sigstore, compatibilidad hacia atrás, errores explicables</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Telemetría de producto</w:t>
            </w:r>
          </w:p>
        </w:tc>
      </w:tr>
      <w:tr>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documentos no salen del entorno del cliente por defecto</w:t>
            </w:r>
          </w:p>
        </w:tc>
        <w:tc>
          <w:tcPr>
            <w:tcW w:type="dxa" w:w="465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Cualquier cosa que solo haga bonita una SaaS</w:t>
            </w:r>
          </w:p>
        </w:tc>
      </w:tr>
    </w:tbl>
    <w:p>
      <w:pPr>
        <w:spacing w:after="60"/>
      </w:pPr>
      <w:r>
        <w:t xml:space="preserve"/>
      </w:r>
    </w:p>
    <w:p>
      <w:pPr>
        <w:pStyle w:val="Heading1"/>
        <w:spacing w:after="200" w:before="480"/>
      </w:pPr>
      <w:r>
        <w:rPr>
          <w:rFonts w:ascii="Calibri" w:cs="Calibri" w:eastAsia="Calibri" w:hAnsi="Calibri"/>
        </w:rPr>
        <w:t xml:space="preserve">12. La regla para el equipo</w:t>
      </w:r>
    </w:p>
    <w:p>
      <w:pPr>
        <w:spacing w:after="140" w:line="300"/>
      </w:pPr>
      <w:r>
        <w:rPr>
          <w:rFonts w:ascii="Calibri" w:cs="Calibri" w:eastAsia="Calibri" w:hAnsi="Calibri"/>
          <w:sz w:val="22"/>
          <w:szCs w:val="22"/>
        </w:rPr>
        <w:t xml:space="preserve">No se desarrolla una SaaS de gobernanza de IA que casualmente tiene un verifier dentro. Se construye el verification engine sobre el que después se pueda construir un producto de gobernanza.</w:t>
      </w:r>
    </w:p>
    <w:p>
      <w:pPr>
        <w:spacing w:after="140" w:line="300"/>
      </w:pPr>
      <w:r>
        <w:rPr>
          <w:rFonts w:ascii="Calibri" w:cs="Calibri" w:eastAsia="Calibri" w:hAnsi="Calibri"/>
          <w:sz w:val="22"/>
          <w:szCs w:val="22"/>
        </w:rPr>
        <w:t xml:space="preserve">Cada decisión de arquitectura responde primero a una pregunta: </w:t>
      </w:r>
      <w:r>
        <w:rPr>
          <w:rFonts w:ascii="Calibri" w:cs="Calibri" w:eastAsia="Calibri" w:hAnsi="Calibri"/>
          <w:b/>
          <w:bCs/>
          <w:sz w:val="22"/>
          <w:szCs w:val="22"/>
        </w:rPr>
        <w:t xml:space="preserve">¿esto hace que GroundLens sea una mejor verification infrastructure?</w:t>
      </w:r>
      <w:r>
        <w:rPr>
          <w:rFonts w:ascii="Calibri" w:cs="Calibri" w:eastAsia="Calibri" w:hAnsi="Calibri"/>
          <w:sz w:val="22"/>
          <w:szCs w:val="22"/>
        </w:rPr>
        <w:t xml:space="preserve"> Si la respuesta es sí, se construye. Si la respuesta es que ayuda a tener una SaaS bonita pero no sabemos todavía si el cliente la necesita, se aplaza. Con esa regla, en doce semanas no tendremos login, dashboard, billing y tenants sin saber por qué alguien paga. Tendremos un engine, un benchmark, tres informes y una respuesta.</w:t>
      </w:r>
    </w:p>
    <w:p>
      <w:pPr>
        <w:pStyle w:val="Heading1"/>
        <w:spacing w:after="200" w:before="480"/>
      </w:pPr>
      <w:r>
        <w:rPr>
          <w:rFonts w:ascii="Calibri" w:cs="Calibri" w:eastAsia="Calibri" w:hAnsi="Calibri"/>
        </w:rPr>
        <w:t xml:space="preserve">Anexo. Cambios concretos sobre los entregables del 7 y 8 de septiembre</w:t>
      </w:r>
    </w:p>
    <w:p>
      <w:pPr>
        <w:pStyle w:val="ListParagraph"/>
        <w:numPr>
          <w:ilvl w:val="0"/>
          <w:numId w:val="2"/>
        </w:numPr>
        <w:spacing w:after="80" w:line="290"/>
      </w:pPr>
      <w:r>
        <w:rPr>
          <w:rFonts w:ascii="Calibri" w:cs="Calibri" w:eastAsia="Calibri" w:hAnsi="Calibri"/>
          <w:sz w:val="22"/>
          <w:szCs w:val="22"/>
        </w:rPr>
        <w:t xml:space="preserve">Especificación técnica: pasa a llamarse *GLV, GroundLens Verification Engine*, titular *AI verification infrastructure*. Se corrige la frase de la portada y del resumen sobre "deterministic AI response verification". El resto del documento (contratos, determinismo formal, verifiers, policy DSL, registro, bundle, benchmark, seguridad) sigue vigente.</w:t>
      </w:r>
    </w:p>
    <w:p>
      <w:pPr>
        <w:pStyle w:val="ListParagraph"/>
        <w:numPr>
          <w:ilvl w:val="0"/>
          <w:numId w:val="2"/>
        </w:numPr>
        <w:spacing w:after="80" w:line="290"/>
      </w:pPr>
      <w:r>
        <w:rPr>
          <w:rFonts w:ascii="Calibri" w:cs="Calibri" w:eastAsia="Calibri" w:hAnsi="Calibri"/>
          <w:sz w:val="22"/>
          <w:szCs w:val="22"/>
        </w:rPr>
        <w:t xml:space="preserve">Scaffold Rust: sin cambios de código. Renombrar la carpeta y el repo a </w:t>
      </w:r>
      <w:r>
        <w:rPr>
          <w:rFonts w:ascii="Consolas" w:cs="Consolas" w:eastAsia="Consolas" w:hAnsi="Consolas"/>
          <w:sz w:val="22"/>
          <w:szCs w:val="22"/>
        </w:rPr>
        <w:t xml:space="preserve">glv</w:t>
      </w:r>
      <w:r>
        <w:rPr>
          <w:rFonts w:ascii="Calibri" w:cs="Calibri" w:eastAsia="Calibri" w:hAnsi="Calibri"/>
          <w:sz w:val="22"/>
          <w:szCs w:val="22"/>
        </w:rPr>
        <w:t xml:space="preserve">, cambiar el tagline del README y la descripción del binario. Comandos abajo.</w:t>
      </w:r>
    </w:p>
    <w:p>
      <w:pPr>
        <w:pStyle w:val="ListParagraph"/>
        <w:numPr>
          <w:ilvl w:val="0"/>
          <w:numId w:val="2"/>
        </w:numPr>
        <w:spacing w:after="80" w:line="290"/>
      </w:pPr>
      <w:r>
        <w:rPr>
          <w:rFonts w:ascii="Calibri" w:cs="Calibri" w:eastAsia="Calibri" w:hAnsi="Calibri"/>
          <w:sz w:val="22"/>
          <w:szCs w:val="22"/>
        </w:rPr>
        <w:t xml:space="preserve">Plan de producto 1.0: queda sustituido por este documento. De él se conservan los requisitos de producto (apartado 3) y la sección de dónde vive cada cosa, con Railway y Supabase eliminados.</w:t>
      </w:r>
    </w:p>
    <w:p>
      <w:pPr>
        <w:pStyle w:val="ListParagraph"/>
        <w:numPr>
          <w:ilvl w:val="0"/>
          <w:numId w:val="2"/>
        </w:numPr>
        <w:spacing w:after="80" w:line="290"/>
      </w:pPr>
      <w:r>
        <w:rPr>
          <w:rFonts w:ascii="Calibri" w:cs="Calibri" w:eastAsia="Calibri" w:hAnsi="Calibri"/>
          <w:sz w:val="22"/>
          <w:szCs w:val="22"/>
        </w:rPr>
        <w:t xml:space="preserve">Nuevo comando en el roadmap del engine: </w:t>
      </w:r>
      <w:r>
        <w:rPr>
          <w:rFonts w:ascii="Consolas" w:cs="Consolas" w:eastAsia="Consolas" w:hAnsi="Consolas"/>
          <w:sz w:val="22"/>
          <w:szCs w:val="22"/>
        </w:rPr>
        <w:t xml:space="preserve">glv report</w:t>
      </w:r>
      <w:r>
        <w:rPr>
          <w:rFonts w:ascii="Calibri" w:cs="Calibri" w:eastAsia="Calibri" w:hAnsi="Calibri"/>
          <w:sz w:val="22"/>
          <w:szCs w:val="22"/>
        </w:rPr>
        <w:t xml:space="preserve">, semanas 9 y 10.</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GroundLens · Plan de producto 2.0 · 8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2a5e"/>
      <w:sz w:val="34"/>
      <w:szCs w:val="34"/>
    </w:rPr>
  </w:style>
  <w:style w:type="paragraph" w:styleId="Heading2">
    <w:name w:val="Heading 2"/>
    <w:basedOn w:val="Normal"/>
    <w:next w:val="Normal"/>
    <w:qFormat/>
    <w:pPr>
      <w:outlineLvl w:val="1"/>
    </w:pPr>
    <w:rPr>
      <w:rFonts w:ascii="Calibri" w:cs="Calibri" w:eastAsia="Calibri" w:hAnsi="Calibri"/>
      <w:b/>
      <w:bCs/>
      <w:color w:val="1a4fd6"/>
      <w:sz w:val="27"/>
      <w:szCs w:val="27"/>
    </w:rPr>
  </w:style>
  <w:style w:type="paragraph" w:styleId="Heading3">
    <w:name w:val="Heading 3"/>
    <w:basedOn w:val="Normal"/>
    <w:next w:val="Normal"/>
    <w:qFormat/>
    <w:pPr>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GroundLens — Plan de producto 2.0</dc:title>
  <dc:creator>Javier Marín</dc:creator>
  <dc:description>AI verification infrastructure</dc:description>
  <cp:lastModifiedBy>Un-named</cp:lastModifiedBy>
  <cp:revision>1</cp:revision>
  <dcterms:created xsi:type="dcterms:W3CDTF">2026-09-08T09:20:27.746Z</dcterms:created>
  <dcterms:modified xsi:type="dcterms:W3CDTF">2026-09-08T09:20:27.759Z</dcterms:modified>
</cp:coreProperties>
</file>

<file path=docProps/custom.xml><?xml version="1.0" encoding="utf-8"?>
<Properties xmlns="http://schemas.openxmlformats.org/officeDocument/2006/custom-properties" xmlns:vt="http://schemas.openxmlformats.org/officeDocument/2006/docPropsVTypes"/>
</file>