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1a2a5e"/>
          <w:sz w:val="72"/>
          <w:szCs w:val="72"/>
        </w:rPr>
        <w:t xml:space="preserve">glv</w:t>
      </w:r>
    </w:p>
    <w:p>
      <w:pPr>
        <w:spacing w:after="120"/>
      </w:pPr>
      <w:r>
        <w:rPr>
          <w:rFonts w:ascii="Calibri" w:cs="Calibri" w:eastAsia="Calibri" w:hAnsi="Calibri"/>
          <w:color w:val="1a4fd6"/>
          <w:sz w:val="30"/>
          <w:szCs w:val="30"/>
        </w:rPr>
        <w:t xml:space="preserve">GroundLens Verifier · Deterministic AI response verification</w:t>
      </w:r>
    </w:p>
    <w:p>
      <w:pPr>
        <w:spacing w:after="60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Plan de producto, versión 1.0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Qué es el producto, dónde vive, cómo se instala, qué datos guarda y dónde, cómo se cobra, cómo se presenta en público y qué hay que hacer, semana a semana, durante los primeros noventa días. Complementa la especificación técnica (Groundlens Engine, especificación 1.0), que describe el motor. Este documento describe el producto alrededor del motor.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Decisiones tomadas el 8 de septiembre de 2026: el producto se llama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glv</w:t>
      </w:r>
      <w:r>
        <w:rPr>
          <w:rFonts w:ascii="Calibri" w:cs="Calibri" w:eastAsia="Calibri" w:hAnsi="Calibri"/>
          <w:sz w:val="22"/>
          <w:szCs w:val="22"/>
        </w:rPr>
        <w:t xml:space="preserve">; sustituye a CERT como única marca y único producto; el primer segmento son los equipos de IA de banca y seguros en España y la UE; el modelo de ingresos es una propuesta que se decide con este documento.</w:t>
      </w:r>
    </w:p>
    <w:p>
      <w:pPr>
        <w:spacing w:after="0" w:before="180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Javier Marín · groundlens.dev · 8 de septiembre de 2026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</w:rPr>
        <w:t xml:space="preserve">1. Respuestas cortas a las preguntas del 8 de septiembre</w:t>
      </w:r>
    </w:p>
    <w:tbl>
      <w:tblPr>
        <w:tblW w:type="dxa" w:w="930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606"/>
        <w:gridCol w:w="6700"/>
      </w:tblGrid>
      <w:tr>
        <w:trPr>
          <w:tblHeader/>
        </w:trPr>
        <w:tc>
          <w:tcPr>
            <w:tcW w:type="dxa" w:w="2606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Pregunta</w:t>
            </w:r>
          </w:p>
        </w:tc>
        <w:tc>
          <w:tcPr>
            <w:tcW w:type="dxa" w:w="6700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¿glv es una librería instalable?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 tres cosas con un solo núcleo: un binario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que se instala y corre donde el cliente quiera, un paquete Python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pip install glv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que envuelve ese mismo binario, y una consola web donde se ven y auditan los registros. La librería es la puerta de entrada. El producto es el conjunto.</w:t>
            </w:r>
          </w:p>
        </w:tc>
      </w:tr>
      <w:tr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¿Dónde está el producto?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dos lugares. El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engine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corre en la infraestructura del cliente (contenedor, sidecar, CLI, función) y nunca sale de allí. La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consola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app.glv.dev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corre en nuestra nube, o en la del cliente como imagen Docker para quien no quiera que ni siquiera los registros salgan. Lo que viaja de uno a otro son registros firmados, nunca los documentos.</w:t>
            </w:r>
          </w:p>
        </w:tc>
      </w:tr>
      <w:tr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¿Qué base de datos?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engine no tiene base de datos y es agnóstico: escribe registros JSON Lines en disco o en stdout y cualquiera puede llevarlos a donde quiera. La consola usa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Postgres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(Supabase en la versión alojada, Postgres normal en la autoalojada) porque es lo que ya sabemos operar y porque un auditor entiende una tabla. Los registros se guardan íntegros como JSONB y se indexan por decisión, política, tenant y fecha.</w:t>
            </w:r>
          </w:p>
        </w:tc>
      </w:tr>
      <w:tr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¿Cómo se monetiza?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core. Engine, CLI, SDK Python y una política de plantilla son Apache-2.0 y gratis, sin límite, para llegar a mil usuarios. Se cobra la consola por proyecto activo, los bundles calibrados por sector, las plantillas de política y reglas por norma y jurisdicción, y el soporte con SLA. Detalle y precios en el apartado 6.</w:t>
            </w:r>
          </w:p>
        </w:tc>
      </w:tr>
      <w:tr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¿Cómo se presenta en público?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 una frase, un ejemplo y un número que nadie más puede dar. La frase: *deterministic AI response verification*. El ejemplo: la factura de 1.000 contra 10.000 dólares, con el registro firmado y el artículo del Reglamento. El número: el mismo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content_hash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 Linux, macOS y Windows, comprobado en público en cada release. Apartado 7.</w:t>
            </w:r>
          </w:p>
        </w:tc>
      </w:tr>
      <w:tr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¿Hay aplicación web?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Todavía no. La consola es el trabajo de las semanas 5 a 10 del plan. Reutiliza la base de CERT (Next.js, Railway, Supabase) y sustituye a CERT: mismo stack, producto nuevo. Apartado 4.</w:t>
            </w:r>
          </w:p>
        </w:tc>
      </w:tr>
      <w:tr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¿Dónde se aloja el core Rust?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Código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github.com/groundlens-dev/glv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Binarios firmados en GitHub Releases para Linux x86_64 y arm64, macOS arm64 y Windows. Imagen Docker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ghcr.io/groundlens-dev/glv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Crate en crates.io como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Paquete Python en PyPI como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Instalación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brew install groundlens-dev/tap/glv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cargo install glv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pip install glv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docker run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Apartado 5.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</w:rPr>
        <w:t xml:space="preserve">2. Qué es el producto y qué no es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glv es la capa que se pone entre un sistema de IA generativa y la decisión que sus respuestas alimentan. Recibe la pregunta, la respuesta y los pasajes que el sistema usó, y devuelve tres cosas: una decisión (</w:t>
      </w:r>
      <w:r>
        <w:rPr>
          <w:rFonts w:ascii="Consolas" w:cs="Consolas" w:eastAsia="Consolas" w:hAnsi="Consolas"/>
          <w:sz w:val="22"/>
          <w:szCs w:val="22"/>
        </w:rPr>
        <w:t xml:space="preserve">PASS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REVIEW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FAIL</w:t>
      </w:r>
      <w:r>
        <w:rPr>
          <w:rFonts w:ascii="Calibri" w:cs="Calibri" w:eastAsia="Calibri" w:hAnsi="Calibri"/>
          <w:sz w:val="22"/>
          <w:szCs w:val="22"/>
        </w:rPr>
        <w:t xml:space="preserve">) tomada según una política escrita por la organización, los motivos por claim con el recibo que apunta al span de la fuente, y un registro firmado y encadenado que mapea la decisión a un control de una norma. La misma entrada produce la misma decisión y el mismo hash en cualquier máquina. Eso es lo que compra el cliente.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Lo que distingue glv de un detector de alucinaciones más son cuatro propiedades que un detector no tiene y que un comprador regulado necesita antes que la precisión: determinismo funcional demostrable, sin salida de datos, decisión gobernada por una política versionada y no por el proveedor, y evidencia que sobrevive a una auditoría sin acceso al sistema original.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</w:rPr>
        <w:t xml:space="preserve">2.1 Los tres componentes</w:t>
      </w:r>
    </w:p>
    <w:tbl>
      <w:tblPr>
        <w:tblW w:type="dxa" w:w="930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489"/>
        <w:gridCol w:w="4095"/>
        <w:gridCol w:w="2047"/>
        <w:gridCol w:w="1675"/>
      </w:tblGrid>
      <w:tr>
        <w:trPr>
          <w:tblHeader/>
        </w:trPr>
        <w:tc>
          <w:tcPr>
            <w:tcW w:type="dxa" w:w="1489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4095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2047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Dónde corre</w:t>
            </w:r>
          </w:p>
        </w:tc>
        <w:tc>
          <w:tcPr>
            <w:tcW w:type="dxa" w:w="1675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Licencia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glv engine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Binario Rust autocontenido más bundle (modelos ONNX, tokenizers, reglas, políticas, checksums). CLI, sidecar HTTP en localhost, librería Python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Infraestructura del cliente. Sin red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Apache-2.0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glv console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Aplicación web multi-tenant: proyectos, políticas, cola de revisión, registros, verificación de cadena, exportación para auditoría, métricas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app.glv.dev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(Railway + Supabase) o Docker autoalojado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Comercial. Gratis hasta un proyecto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glv packs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Bundles calibrados por sector, plantillas de política por norma, conjuntos de reglas por jurisdicción, con hash y firma</w:t>
            </w:r>
          </w:p>
        </w:tc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cargan en el engine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</w:rPr>
        <w:t xml:space="preserve">2.2 Lo que no 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No es una plataforma de observabilidad de LLM. No ingiere trazas, no mide latencias, no compite con Langfuse ni con Arize. Se integra con ellas: el registro de glv es un evento más en su traza.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No es un juez LLM. Puede registrar la opinión de uno, nunca decide con ella salvo que la política lo diga.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No es un servicio al que se envían documentos. El engine corre donde están los documentos.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No es CERT. CERT cierra. La landing de cert-framework.com redirige a glv.dev y la cuenta de Railway y Supabase se reutiliza para la consola.</w:t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</w:rPr>
        <w:t xml:space="preserve">3. Requisitos de producto, no de prototipo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Un prototipo tiene que demostrar una idea. Un producto tiene que funcionar el martes a las nueve en una máquina que no conocemos, instalado por alguien que no ha leído el paper. La lista siguiente es el criterio de salida de la versión 1.0 y cada punto tiene dueño y test.</w:t>
      </w:r>
    </w:p>
    <w:tbl>
      <w:tblPr>
        <w:tblW w:type="dxa" w:w="930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792"/>
        <w:gridCol w:w="6514"/>
      </w:tblGrid>
      <w:tr>
        <w:trPr>
          <w:tblHeader/>
        </w:trPr>
        <w:tc>
          <w:tcPr>
            <w:tcW w:type="dxa" w:w="2792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6514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Criterio verificable</w:t>
            </w:r>
          </w:p>
        </w:tc>
      </w:tr>
      <w:tr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Instalación en cinco minutos</w:t>
            </w:r>
          </w:p>
        </w:tc>
        <w:tc>
          <w:tcPr>
            <w:tcW w:type="dxa" w:w="6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Desde cero hasta un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FAIL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 el ejemplo de la factura en menos de cinco minutos en Linux, macOS y Windows, siguiendo solo el README. Se cronometra con una persona externa cada release</w:t>
            </w:r>
          </w:p>
        </w:tc>
      </w:tr>
      <w:tr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Cero dependencias en runtime</w:t>
            </w:r>
          </w:p>
        </w:tc>
        <w:tc>
          <w:tcPr>
            <w:tcW w:type="dxa" w:w="6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binario no necesita Python, ni CUDA, ni red.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ldd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limpio salvo libc. La imagen Docker pesa menos de 60 MB sin modelos</w:t>
            </w:r>
          </w:p>
        </w:tc>
      </w:tr>
      <w:tr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Determinismo demostrado, no prometido</w:t>
            </w:r>
          </w:p>
        </w:tc>
        <w:tc>
          <w:tcPr>
            <w:tcW w:type="dxa" w:w="6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Golden hash idéntico en la matriz CI de tres SO en cada commit. Tasa de cambio de clasificación 0 sobre el benchmark completo en cada release. El informe se publica</w:t>
            </w:r>
          </w:p>
        </w:tc>
      </w:tr>
      <w:tr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Compatibilidad hacia atrás</w:t>
            </w:r>
          </w:p>
        </w:tc>
        <w:tc>
          <w:tcPr>
            <w:tcW w:type="dxa" w:w="6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registro de la versión N se verifica con la N+1. Un cambio de schema conserva el verificador anterior. Una política escrita para 1.x carga en 1.y</w:t>
            </w:r>
          </w:p>
        </w:tc>
      </w:tr>
      <w:tr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Rendimiento predecible</w:t>
            </w:r>
          </w:p>
        </w:tc>
        <w:tc>
          <w:tcPr>
            <w:tcW w:type="dxa" w:w="6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p99 por respuesta publicado por bundle. Exactos: &lt; 5 ms para 100 claims. Con NLI en CPU: &lt; 300 ms. Sin colas ni GPU</w:t>
            </w:r>
          </w:p>
        </w:tc>
      </w:tr>
      <w:tr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Errores que explican</w:t>
            </w:r>
          </w:p>
        </w:tc>
        <w:tc>
          <w:tcPr>
            <w:tcW w:type="dxa" w:w="6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 error de entrada dice qué campo, qué valor y qué hacer. Un bundle corrupto dice qué archivo y qué hash esperaba. Códigos de salida documentados: 0 PASS, 1 FAIL, 2 error, 3 REVIEW</w:t>
            </w:r>
          </w:p>
        </w:tc>
      </w:tr>
      <w:tr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Seguridad de cadena de suministro</w:t>
            </w:r>
          </w:p>
        </w:tc>
        <w:tc>
          <w:tcPr>
            <w:tcW w:type="dxa" w:w="6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Binarios firmados (Sigstore cosign), SBOM CycloneDX,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cargo-deny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 CI, builds reproducibles, política de divulgación en SECURITY.md con respuesta en 72 horas</w:t>
            </w:r>
          </w:p>
        </w:tc>
      </w:tr>
      <w:tr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Observabilidad sin filtrar datos</w:t>
            </w:r>
          </w:p>
        </w:tc>
        <w:tc>
          <w:tcPr>
            <w:tcW w:type="dxa" w:w="6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Métricas Prometheus en el sidecar (verificaciones, decisiones, latencia, fallos por verifier) sin texto. Telemetría de producto en la CLI desactivada por defecto y opt-in explícito</w:t>
            </w:r>
          </w:p>
        </w:tc>
      </w:tr>
      <w:tr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Documentación de producto</w:t>
            </w:r>
          </w:p>
        </w:tc>
        <w:tc>
          <w:tcPr>
            <w:tcW w:type="dxa" w:w="6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Guía de instalación, guía de políticas, referencia del registro, guía para auditores, guía de integración con LangChain, LlamaIndex, Langfuse y n8n. Cada página con un ejemplo que se puede copiar</w:t>
            </w:r>
          </w:p>
        </w:tc>
      </w:tr>
      <w:tr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Soporte y versiones</w:t>
            </w:r>
          </w:p>
        </w:tc>
        <w:tc>
          <w:tcPr>
            <w:tcW w:type="dxa" w:w="6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Semver estricto. Una versión LTS al año con 18 meses de correcciones. Changelog por versión. Canal de soporte con SLA en los planes de pago</w:t>
            </w:r>
          </w:p>
        </w:tc>
      </w:tr>
      <w:tr>
        <w:tc>
          <w:tcPr>
            <w:tcW w:type="dxa" w:w="27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 de calidad visible</w:t>
            </w:r>
          </w:p>
        </w:tc>
        <w:tc>
          <w:tcPr>
            <w:tcW w:type="dxa" w:w="6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Página pública de estado de la consola, matriz de determinismo por release, benchmark por release. Lo que no se publica no existe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</w:rPr>
        <w:t xml:space="preserve">4. Arquitectura del producto completo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INFRAESTRUCTURA DEL CLIENTE                             NUBE DE GLV (o Docker del cliente)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┌─────────────────────────────────────────────┐        ┌─────────────────────────────────────┐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│  App RAG / agente                           │        │  glv console  (app.glv.dev)         │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│      │  question, answer, sources           │        │   Next.js · Railway                 │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│      ▼                                      │        │   Postgres (Supabase) · Auth · RLS  │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│  glv engine  (sidecar :7070 | CLI | pip)    │        │                                     │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│   bundle: modelos ONNX · reglas · políticas │        │  proyectos · políticas · registros  │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│      │  decision + reasons                  │        │  cola de revisión · auditoría       │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│      ▼                                      │        │  métricas · exportación             │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│  records.jsonl  (firmado, encadenado)       │──push──▶  ingest API  (solo registros)       │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│            ▲                                │        │                                     │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│  Prometheus /metrics · sin texto            │        │  verificación de cadena y firmas    │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└─────────────────────────────────────────────┘        └─────────────────────────────────────┘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Sin red requerida. Los documentos no salen.        Recibe hashes, spans y decisiones.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</w:rPr>
        <w:t xml:space="preserve">4.1 Engine: formas de despliegue</w:t>
      </w:r>
    </w:p>
    <w:tbl>
      <w:tblPr>
        <w:tblW w:type="dxa" w:w="930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861"/>
        <w:gridCol w:w="3722"/>
        <w:gridCol w:w="3723"/>
      </w:tblGrid>
      <w:tr>
        <w:trPr>
          <w:tblHeader/>
        </w:trPr>
        <w:tc>
          <w:tcPr>
            <w:tcW w:type="dxa" w:w="1861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Forma</w:t>
            </w:r>
          </w:p>
        </w:tc>
        <w:tc>
          <w:tcPr>
            <w:tcW w:type="dxa" w:w="3722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Cuándo</w:t>
            </w:r>
          </w:p>
        </w:tc>
        <w:tc>
          <w:tcPr>
            <w:tcW w:type="dxa" w:w="3723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</w:t>
            </w:r>
          </w:p>
        </w:tc>
      </w:tr>
      <w:tr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</w:t>
            </w:r>
          </w:p>
        </w:tc>
        <w:tc>
          <w:tcPr>
            <w:tcW w:type="dxa" w:w="3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Pipelines batch, CI de prompts, evaluación offline</w:t>
            </w:r>
          </w:p>
        </w:tc>
        <w:tc>
          <w:tcPr>
            <w:tcW w:type="dxa" w:w="3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glv verify … --log records.jsonl</w:t>
            </w:r>
          </w:p>
        </w:tc>
      </w:tr>
      <w:tr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Sidecar HTTP</w:t>
            </w:r>
          </w:p>
        </w:tc>
        <w:tc>
          <w:tcPr>
            <w:tcW w:type="dxa" w:w="3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Producción. Un contenedor junto a la app,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 /verify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 localhost</w:t>
            </w:r>
          </w:p>
        </w:tc>
        <w:tc>
          <w:tcPr>
            <w:tcW w:type="dxa" w:w="3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docker run ghcr.io/groundlens-dev/glv serve --bundle /bundle --policy eu_ai_act_high_risk_v1</w:t>
            </w:r>
          </w:p>
        </w:tc>
      </w:tr>
      <w:tr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Librería Python</w:t>
            </w:r>
          </w:p>
        </w:tc>
        <w:tc>
          <w:tcPr>
            <w:tcW w:type="dxa" w:w="3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Integración directa en LangChain, LlamaIndex, FastAPI</w:t>
            </w:r>
          </w:p>
        </w:tc>
        <w:tc>
          <w:tcPr>
            <w:tcW w:type="dxa" w:w="3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from glv import verify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(PyO3, mismo binario)</w:t>
            </w:r>
          </w:p>
        </w:tc>
      </w:tr>
      <w:tr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Función serverless</w:t>
            </w:r>
          </w:p>
        </w:tc>
        <w:tc>
          <w:tcPr>
            <w:tcW w:type="dxa" w:w="3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Volúmenes bajos, sin estado</w:t>
            </w:r>
          </w:p>
        </w:tc>
        <w:tc>
          <w:tcPr>
            <w:tcW w:type="dxa" w:w="3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Binario estático en Lambda o Cloud Run, bundle en la imagen</w:t>
            </w:r>
          </w:p>
        </w:tc>
      </w:tr>
      <w:tr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Callback de Langfuse / OpenTelemetry</w:t>
            </w:r>
          </w:p>
        </w:tc>
        <w:tc>
          <w:tcPr>
            <w:tcW w:type="dxa" w:w="3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Quien ya tiene observabilidad</w:t>
            </w:r>
          </w:p>
        </w:tc>
        <w:tc>
          <w:tcPr>
            <w:tcW w:type="dxa" w:w="3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registro se adjunta al span como atributo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glv.record_id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glv.decision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El sidecar es la forma de referencia. Expone </w:t>
      </w:r>
      <w:r>
        <w:rPr>
          <w:rFonts w:ascii="Consolas" w:cs="Consolas" w:eastAsia="Consolas" w:hAnsi="Consolas"/>
          <w:sz w:val="22"/>
          <w:szCs w:val="22"/>
        </w:rPr>
        <w:t xml:space="preserve">POST /verify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GET /policies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GET /healthz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GET /metrics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2"/>
          <w:szCs w:val="22"/>
        </w:rPr>
        <w:t xml:space="preserve">GET /records/{id}</w:t>
      </w:r>
      <w:r>
        <w:rPr>
          <w:rFonts w:ascii="Calibri" w:cs="Calibri" w:eastAsia="Calibri" w:hAnsi="Calibri"/>
          <w:sz w:val="22"/>
          <w:szCs w:val="22"/>
        </w:rPr>
        <w:t xml:space="preserve">. Guarda los registros en un directorio local y, si se configura, los envía a la consola por lotes con reintentos. Si la consola no responde, la verificación sigue funcionando y los registros esperan en disco. La consola nunca está en el camino crítico de una decisión.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</w:rPr>
        <w:t xml:space="preserve">4.2 Consola: qué hace y con qué datos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La consola responde a tres personas. El ingeniero que integra quiere ver qué falló y por qué. El responsable de riesgo o cumplimiento quiere la cola de revisión, las políticas vigentes y el informe por periodo. El auditor externo quiere comprobar que la cadena está intacta y exportar la evidencia de un caso. Cada pantalla existe para una de esas tres personas y ninguna para otra.</w:t>
      </w:r>
    </w:p>
    <w:tbl>
      <w:tblPr>
        <w:tblW w:type="dxa" w:w="930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489"/>
        <w:gridCol w:w="1489"/>
        <w:gridCol w:w="6328"/>
      </w:tblGrid>
      <w:tr>
        <w:trPr>
          <w:tblHeader/>
        </w:trPr>
        <w:tc>
          <w:tcPr>
            <w:tcW w:type="dxa" w:w="1489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Pantalla</w:t>
            </w:r>
          </w:p>
        </w:tc>
        <w:tc>
          <w:tcPr>
            <w:tcW w:type="dxa" w:w="1489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 quién</w:t>
            </w:r>
          </w:p>
        </w:tc>
        <w:tc>
          <w:tcPr>
            <w:tcW w:type="dxa" w:w="6328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Proyectos</w:t>
            </w:r>
          </w:p>
        </w:tc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  <w:tc>
          <w:tcPr>
            <w:tcW w:type="dxa" w:w="6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proyecto por sistema de IA. Bundle y política vigentes con su hash, claves de ingesta, estado del último registro recibido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Registros</w:t>
            </w:r>
          </w:p>
        </w:tc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Ingeniero</w:t>
            </w:r>
          </w:p>
        </w:tc>
        <w:tc>
          <w:tcPr>
            <w:tcW w:type="dxa" w:w="6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filtrable por decisión, política, fecha, claim kind. Detalle: claims, evidencia por verifier, recibos con el span de la fuente resaltado, motivos, mapeo regulatorio, hashes y firma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Cola de revisión</w:t>
            </w:r>
          </w:p>
        </w:tc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Riesgo</w:t>
            </w:r>
          </w:p>
        </w:tc>
        <w:tc>
          <w:tcPr>
            <w:tcW w:type="dxa" w:w="6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REVIEW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pendientes. El revisor marca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accepted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rejected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escalated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con comentario. La resolución es un evento nuevo firmado por la consola, nunca una edición del registro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Políticas</w:t>
            </w:r>
          </w:p>
        </w:tc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Riesgo</w:t>
            </w:r>
          </w:p>
        </w:tc>
        <w:tc>
          <w:tcPr>
            <w:tcW w:type="dxa" w:w="6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Editor YAML con lint en vivo contra los verifiers del bundle, diff entre versiones, quién la activó y cuándo, simulación de una política nueva sobre los últimos N registros antes de activarla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Auditoría</w:t>
            </w:r>
          </w:p>
        </w:tc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Auditor</w:t>
            </w:r>
          </w:p>
        </w:tc>
        <w:tc>
          <w:tcPr>
            <w:tcW w:type="dxa" w:w="6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Verificación de cadena por proyecto y periodo, exportación de un caso o de un periodo como paquete ZIP con registros, políticas, manifiesto del bundle y un README para el auditor, todo verificable offline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glv record verify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Métricas</w:t>
            </w:r>
          </w:p>
        </w:tc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Riesgo, dirección</w:t>
            </w:r>
          </w:p>
        </w:tc>
        <w:tc>
          <w:tcPr>
            <w:tcW w:type="dxa" w:w="6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Decisiones por día, tasa de REVIEW, claims más fallidas, verifiers que más contradicen, tiempo medio de revisión. Sin texto de documentos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Ajustes</w:t>
            </w:r>
          </w:p>
        </w:tc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6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Usuarios y roles (admin, reviewer, viewer, auditor), claves de ingesta, retención, región de datos, SSO en Enterprise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</w:rPr>
        <w:t xml:space="preserve">4.3 Modelo de datos de la consola (Postgres)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tenants(id, name, plan, region, created_at)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users(id, tenant_id, email, role)                       -- admin | reviewer | viewer | auditor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projects(id, tenant_id, name, bundle_hash, policy_id, policy_version, policy_hash, ingest_key_hash)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policies(id, tenant_id, policy_id, version, hash, yaml, activated_by, activated_at)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records(id, project_id, record_id, record_hash, previous_record_hash, content_hash,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decision, policy_hash, bundle_hash, input_hash, timestamp, signer_public_key,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body jsonb)                                     -- el registro íntegro, nunca se actualiza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record_claims(record_id, claim_id, kind, decision, verifier_ids text[])   -- índice para filtros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reviews(id, record_id, reviewer_id, outcome, comment, created_at, signature)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chain_checks(id, project_id, from_ts, to_ts, ok, broken_at_record_id, checked_at)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audit_exports(id, project_id, requested_by, from_ts, to_ts, manifest_hash, created_at)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sz w:val="22"/>
          <w:szCs w:val="22"/>
        </w:rPr>
        <w:t xml:space="preserve">records.body</w:t>
      </w:r>
      <w:r>
        <w:rPr>
          <w:rFonts w:ascii="Calibri" w:cs="Calibri" w:eastAsia="Calibri" w:hAnsi="Calibri"/>
          <w:sz w:val="22"/>
          <w:szCs w:val="22"/>
        </w:rPr>
        <w:t xml:space="preserve"> es append-only por trigger: </w:t>
      </w:r>
      <w:r>
        <w:rPr>
          <w:rFonts w:ascii="Consolas" w:cs="Consolas" w:eastAsia="Consolas" w:hAnsi="Consolas"/>
          <w:sz w:val="22"/>
          <w:szCs w:val="22"/>
        </w:rPr>
        <w:t xml:space="preserve">UPDATE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2"/>
          <w:szCs w:val="22"/>
        </w:rPr>
        <w:t xml:space="preserve">DELETE</w:t>
      </w:r>
      <w:r>
        <w:rPr>
          <w:rFonts w:ascii="Calibri" w:cs="Calibri" w:eastAsia="Calibri" w:hAnsi="Calibri"/>
          <w:sz w:val="22"/>
          <w:szCs w:val="22"/>
        </w:rPr>
        <w:t xml:space="preserve"> están revocados al rol de la aplicación. Una corrección es un </w:t>
      </w:r>
      <w:r>
        <w:rPr>
          <w:rFonts w:ascii="Consolas" w:cs="Consolas" w:eastAsia="Consolas" w:hAnsi="Consolas"/>
          <w:sz w:val="22"/>
          <w:szCs w:val="22"/>
        </w:rPr>
        <w:t xml:space="preserve">review</w:t>
      </w:r>
      <w:r>
        <w:rPr>
          <w:rFonts w:ascii="Calibri" w:cs="Calibri" w:eastAsia="Calibri" w:hAnsi="Calibri"/>
          <w:sz w:val="22"/>
          <w:szCs w:val="22"/>
        </w:rPr>
        <w:t xml:space="preserve">, no una edición.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Row Level Security por </w:t>
      </w:r>
      <w:r>
        <w:rPr>
          <w:rFonts w:ascii="Consolas" w:cs="Consolas" w:eastAsia="Consolas" w:hAnsi="Consolas"/>
          <w:sz w:val="22"/>
          <w:szCs w:val="22"/>
        </w:rPr>
        <w:t xml:space="preserve">tenant_id</w:t>
      </w:r>
      <w:r>
        <w:rPr>
          <w:rFonts w:ascii="Calibri" w:cs="Calibri" w:eastAsia="Calibri" w:hAnsi="Calibri"/>
          <w:sz w:val="22"/>
          <w:szCs w:val="22"/>
        </w:rPr>
        <w:t xml:space="preserve"> en todas las tablas. El rol </w:t>
      </w:r>
      <w:r>
        <w:rPr>
          <w:rFonts w:ascii="Consolas" w:cs="Consolas" w:eastAsia="Consolas" w:hAnsi="Consolas"/>
          <w:sz w:val="22"/>
          <w:szCs w:val="22"/>
        </w:rPr>
        <w:t xml:space="preserve">auditor</w:t>
      </w:r>
      <w:r>
        <w:rPr>
          <w:rFonts w:ascii="Calibri" w:cs="Calibri" w:eastAsia="Calibri" w:hAnsi="Calibri"/>
          <w:sz w:val="22"/>
          <w:szCs w:val="22"/>
        </w:rPr>
        <w:t xml:space="preserve"> solo lee.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Retención configurable por proyecto (90 días por defecto, hasta 10 años en Enterprise). El borrado por retención escribe un </w:t>
      </w:r>
      <w:r>
        <w:rPr>
          <w:rFonts w:ascii="Consolas" w:cs="Consolas" w:eastAsia="Consolas" w:hAnsi="Consolas"/>
          <w:sz w:val="22"/>
          <w:szCs w:val="22"/>
        </w:rPr>
        <w:t xml:space="preserve">chain_check</w:t>
      </w:r>
      <w:r>
        <w:rPr>
          <w:rFonts w:ascii="Calibri" w:cs="Calibri" w:eastAsia="Calibri" w:hAnsi="Calibri"/>
          <w:sz w:val="22"/>
          <w:szCs w:val="22"/>
        </w:rPr>
        <w:t xml:space="preserve"> final con el último </w:t>
      </w:r>
      <w:r>
        <w:rPr>
          <w:rFonts w:ascii="Consolas" w:cs="Consolas" w:eastAsia="Consolas" w:hAnsi="Consolas"/>
          <w:sz w:val="22"/>
          <w:szCs w:val="22"/>
        </w:rPr>
        <w:t xml:space="preserve">record_hash</w:t>
      </w:r>
      <w:r>
        <w:rPr>
          <w:rFonts w:ascii="Calibri" w:cs="Calibri" w:eastAsia="Calibri" w:hAnsi="Calibri"/>
          <w:sz w:val="22"/>
          <w:szCs w:val="22"/>
        </w:rPr>
        <w:t xml:space="preserve">, así la cadena se puede seguir verificando por tramos.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Región de datos: proyectos de la UE en Supabase Frankfurt. Un tenant no puede mezclar regiones.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El engine no sabe nada de esto. Cualquier cliente puede ignorar la consola y llevar los JSONL a su propio Splunk, S3 o BigQuery. Esa libertad es parte del argumento de venta.</w:t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</w:rPr>
        <w:t xml:space="preserve">5. Dónde vive cada cosa</w:t>
      </w:r>
    </w:p>
    <w:tbl>
      <w:tblPr>
        <w:tblW w:type="dxa" w:w="930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861"/>
        <w:gridCol w:w="3722"/>
        <w:gridCol w:w="3723"/>
      </w:tblGrid>
      <w:tr>
        <w:trPr>
          <w:tblHeader/>
        </w:trPr>
        <w:tc>
          <w:tcPr>
            <w:tcW w:type="dxa" w:w="1861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Activo</w:t>
            </w:r>
          </w:p>
        </w:tc>
        <w:tc>
          <w:tcPr>
            <w:tcW w:type="dxa" w:w="3722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Lugar</w:t>
            </w:r>
          </w:p>
        </w:tc>
        <w:tc>
          <w:tcPr>
            <w:tcW w:type="dxa" w:w="3723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Código del engine</w:t>
            </w:r>
          </w:p>
        </w:tc>
        <w:tc>
          <w:tcPr>
            <w:tcW w:type="dxa" w:w="3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github.com/groundlens-dev/glv</w:t>
            </w:r>
          </w:p>
        </w:tc>
        <w:tc>
          <w:tcPr>
            <w:tcW w:type="dxa" w:w="3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Público, Apache-2.0. Rama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protegida, todo por PR</w:t>
            </w:r>
          </w:p>
        </w:tc>
      </w:tr>
      <w:tr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Código de la consola</w:t>
            </w:r>
          </w:p>
        </w:tc>
        <w:tc>
          <w:tcPr>
            <w:tcW w:type="dxa" w:w="3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github.com/groundlens-dev/glv-console</w:t>
            </w:r>
          </w:p>
        </w:tc>
        <w:tc>
          <w:tcPr>
            <w:tcW w:type="dxa" w:w="3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Privado. Next.js 15, TypeScript, Supabase, Railway</w:t>
            </w:r>
          </w:p>
        </w:tc>
      </w:tr>
      <w:tr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Packs comerciales</w:t>
            </w:r>
          </w:p>
        </w:tc>
        <w:tc>
          <w:tcPr>
            <w:tcW w:type="dxa" w:w="3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github.com/groundlens-dev/glv-packs</w:t>
            </w:r>
          </w:p>
        </w:tc>
        <w:tc>
          <w:tcPr>
            <w:tcW w:type="dxa" w:w="3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Privado. Se distribuyen firmados desde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packs.glv.dev</w:t>
            </w:r>
          </w:p>
        </w:tc>
      </w:tr>
      <w:tr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Binarios</w:t>
            </w:r>
          </w:p>
        </w:tc>
        <w:tc>
          <w:tcPr>
            <w:tcW w:type="dxa" w:w="3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 Releases +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ghcr.io/groundlens-dev/glv</w:t>
            </w:r>
          </w:p>
        </w:tc>
        <w:tc>
          <w:tcPr>
            <w:tcW w:type="dxa" w:w="3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Linux x86_64 y arm64 (musl, estáticos), macOS arm64, Windows x86_64. Firmados con cosign</w:t>
            </w:r>
          </w:p>
        </w:tc>
      </w:tr>
      <w:tr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Paquetes</w:t>
            </w:r>
          </w:p>
        </w:tc>
        <w:tc>
          <w:tcPr>
            <w:tcW w:type="dxa" w:w="3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crates.io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PyPI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Homebrew tap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groundlens-dev/tap</w:t>
            </w:r>
          </w:p>
        </w:tc>
        <w:tc>
          <w:tcPr>
            <w:tcW w:type="dxa" w:w="3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Comprobar disponibilidad de los nombres el primer día</w:t>
            </w:r>
          </w:p>
        </w:tc>
      </w:tr>
      <w:tr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Consola alojada</w:t>
            </w:r>
          </w:p>
        </w:tc>
        <w:tc>
          <w:tcPr>
            <w:tcW w:type="dxa" w:w="3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app.glv.dev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 Railway (Frankfurt), Postgres en Supabase (Frankfurt)</w:t>
            </w:r>
          </w:p>
        </w:tc>
        <w:tc>
          <w:tcPr>
            <w:tcW w:type="dxa" w:w="3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cuenta de CERT se reutiliza. Dominio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glv.dev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 comprar; alternativa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glv.groundlens.dev</w:t>
            </w:r>
          </w:p>
        </w:tc>
      </w:tr>
      <w:tr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 pública</w:t>
            </w:r>
          </w:p>
        </w:tc>
        <w:tc>
          <w:tcPr>
            <w:tcW w:type="dxa" w:w="3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glv.dev</w:t>
            </w:r>
          </w:p>
        </w:tc>
        <w:tc>
          <w:tcPr>
            <w:tcW w:type="dxa" w:w="3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Landing, docs, changelog, página de determinismo por release, blog</w:t>
            </w:r>
          </w:p>
        </w:tc>
      </w:tr>
      <w:tr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Documentación</w:t>
            </w:r>
          </w:p>
        </w:tc>
        <w:tc>
          <w:tcPr>
            <w:tcW w:type="dxa" w:w="3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docs.glv.dev</w:t>
            </w:r>
          </w:p>
        </w:tc>
        <w:tc>
          <w:tcPr>
            <w:tcW w:type="dxa" w:w="3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Generada desde el repo público con mdBook o Docusaurus</w:t>
            </w:r>
          </w:p>
        </w:tc>
      </w:tr>
      <w:tr>
        <w:tc>
          <w:tcPr>
            <w:tcW w:type="dxa" w:w="1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Modelos ONNX</w:t>
            </w:r>
          </w:p>
        </w:tc>
        <w:tc>
          <w:tcPr>
            <w:tcW w:type="dxa" w:w="37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 Releases del repo público, con sha256 en el manifiesto</w:t>
            </w:r>
          </w:p>
        </w:tc>
        <w:tc>
          <w:tcPr>
            <w:tcW w:type="dxa" w:w="3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 reproducible desde HF con script versionado; el bundle de referencia pesa ~1 GB, el mínimo ~5 MB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1a4fd6" w:sz="12" w:space="8"/>
        </w:pBdr>
        <w:spacing w:after="160" w:line="280"/>
        <w:ind w:left="3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Todo lo que el cliente ejecuta es público y auditable. Todo lo que cobra dinero es privado. La línea está en el </w:t>
      </w:r>
      <w:r>
        <w:rPr>
          <w:rFonts w:ascii="Consolas" w:cs="Consolas" w:eastAsia="Consolas" w:hAnsi="Consolas"/>
          <w:i/>
          <w:iCs/>
          <w:color w:val="444444"/>
          <w:sz w:val="20"/>
          <w:szCs w:val="20"/>
        </w:rPr>
        <w:t xml:space="preserve">Verifier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trait: nada de lo que hay por debajo se cobra.</w:t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</w:rPr>
        <w:t xml:space="preserve">6. Propuesta de monetización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El objetivo del primer año no es facturar, es llegar a mil usuarios activos del engine y a diez clientes de pago que sirvan de referencia en banca y seguros. El modelo tiene que hacer las dos cosas a la vez: no poner ninguna fricción al uso del engine y cobrar exactamente por lo que una organización regulada no puede construir sola en un trimestre.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</w:rPr>
        <w:t xml:space="preserve">6.1 Qué es gratis y qué se cobra</w:t>
      </w:r>
    </w:p>
    <w:tbl>
      <w:tblPr>
        <w:tblW w:type="dxa" w:w="930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653"/>
        <w:gridCol w:w="4653"/>
      </w:tblGrid>
      <w:tr>
        <w:trPr>
          <w:tblHeader/>
        </w:trPr>
        <w:tc>
          <w:tcPr>
            <w:tcW w:type="dxa" w:w="4653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Gratis (Apache-2.0)</w:t>
            </w:r>
          </w:p>
        </w:tc>
        <w:tc>
          <w:tcPr>
            <w:tcW w:type="dxa" w:w="4653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 pago</w:t>
            </w:r>
          </w:p>
        </w:tc>
      </w:tr>
      <w:tr>
        <w:tc>
          <w:tcPr>
            <w:tcW w:type="dxa" w:w="4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Engine completo, CLI, sidecar, SDK Python, WASM</w:t>
            </w:r>
          </w:p>
        </w:tc>
        <w:tc>
          <w:tcPr>
            <w:tcW w:type="dxa" w:w="4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Consola a partir del segundo proyecto o del primer usuario adicional</w:t>
            </w:r>
          </w:p>
        </w:tc>
      </w:tr>
      <w:tr>
        <w:tc>
          <w:tcPr>
            <w:tcW w:type="dxa" w:w="4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 los verifiers, incluidos NLI, léxico, SGI y DGI</w:t>
            </w:r>
          </w:p>
        </w:tc>
        <w:tc>
          <w:tcPr>
            <w:tcW w:type="dxa" w:w="4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Bundles calibrados por sector (banca ES, seguros, salud, legal) con sus artefactos de calibración firmados</w:t>
            </w:r>
          </w:p>
        </w:tc>
      </w:tr>
      <w:tr>
        <w:tc>
          <w:tcPr>
            <w:tcW w:type="dxa" w:w="4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Bundle de referencia con modelos abiertos</w:t>
            </w:r>
          </w:p>
        </w:tc>
        <w:tc>
          <w:tcPr>
            <w:tcW w:type="dxa" w:w="4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Plantillas de política y reglas por norma: EU AI Act alto riesgo, DORA, EBA/ESMA, ISO 42001, NIST AI RMF</w:t>
            </w:r>
          </w:p>
        </w:tc>
      </w:tr>
      <w:tr>
        <w:tc>
          <w:tcPr>
            <w:tcW w:type="dxa" w:w="4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Una plantilla de política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eu_ai_act_high_risk_v1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4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Consola autoalojada (Docker) con licencia anual</w:t>
            </w:r>
          </w:p>
        </w:tc>
      </w:tr>
      <w:tr>
        <w:tc>
          <w:tcPr>
            <w:tcW w:type="dxa" w:w="4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Verificación offline de registros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glv record verify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4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Soporte con SLA, formación, acompañamiento en la primera auditoría</w:t>
            </w:r>
          </w:p>
        </w:tc>
      </w:tr>
      <w:tr>
        <w:tc>
          <w:tcPr>
            <w:tcW w:type="dxa" w:w="4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Documentación completa</w:t>
            </w:r>
          </w:p>
        </w:tc>
        <w:tc>
          <w:tcPr>
            <w:tcW w:type="dxa" w:w="4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Informe de determinismo y benchmark firmado por versión, para adjuntar al expediente técnico del Anexo IV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</w:rPr>
        <w:t xml:space="preserve">6.2 Planes</w:t>
      </w:r>
    </w:p>
    <w:tbl>
      <w:tblPr>
        <w:tblW w:type="dxa" w:w="930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489"/>
        <w:gridCol w:w="2233"/>
        <w:gridCol w:w="3536"/>
        <w:gridCol w:w="2048"/>
      </w:tblGrid>
      <w:tr>
        <w:trPr>
          <w:tblHeader/>
        </w:trPr>
        <w:tc>
          <w:tcPr>
            <w:tcW w:type="dxa" w:w="1489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Plan</w:t>
            </w:r>
          </w:p>
        </w:tc>
        <w:tc>
          <w:tcPr>
            <w:tcW w:type="dxa" w:w="2233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 quién</w:t>
            </w:r>
          </w:p>
        </w:tc>
        <w:tc>
          <w:tcPr>
            <w:tcW w:type="dxa" w:w="3536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Incluye</w:t>
            </w:r>
          </w:p>
        </w:tc>
        <w:tc>
          <w:tcPr>
            <w:tcW w:type="dxa" w:w="2048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Precio propuesto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Community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Cualquiera</w:t>
            </w:r>
          </w:p>
        </w:tc>
        <w:tc>
          <w:tcPr>
            <w:tcW w:type="dxa" w:w="3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Engine completo, consola con 1 proyecto, 1 usuario, 30 días de retención</w:t>
            </w:r>
          </w:p>
        </w:tc>
        <w:tc>
          <w:tcPr>
            <w:tcW w:type="dxa" w:w="2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0 €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equipo de IA con uno o dos sistemas en producción</w:t>
            </w:r>
          </w:p>
        </w:tc>
        <w:tc>
          <w:tcPr>
            <w:tcW w:type="dxa" w:w="3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Consola con 5 proyectos, 10 usuarios, 1 año de retención, cola de revisión, exportación de auditoría, soporte por correo en 2 días</w:t>
            </w:r>
          </w:p>
        </w:tc>
        <w:tc>
          <w:tcPr>
            <w:tcW w:type="dxa" w:w="2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490 €/mes por tenant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Regulated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Banca, seguros, salud. Necesitan packs y evidencia formal</w:t>
            </w:r>
          </w:p>
        </w:tc>
        <w:tc>
          <w:tcPr>
            <w:tcW w:type="dxa" w:w="3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 lo de Team sin límites, 2 packs sectoriales, plantillas de política por norma, informe firmado por versión, región UE garantizada, SSO, soporte con SLA de 8 horas</w:t>
            </w:r>
          </w:p>
        </w:tc>
        <w:tc>
          <w:tcPr>
            <w:tcW w:type="dxa" w:w="2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2.400 €/mes o 24.000 €/año por tenant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Enterprise / on-prem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Quien no puede sacar ni los registros</w:t>
            </w:r>
          </w:p>
        </w:tc>
        <w:tc>
          <w:tcPr>
            <w:tcW w:type="dxa" w:w="3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Consola autoalojada, todos los packs, LTS de 18 meses, formación, acompañamiento de auditoría, contacto directo</w:t>
            </w:r>
          </w:p>
        </w:tc>
        <w:tc>
          <w:tcPr>
            <w:tcW w:type="dxa" w:w="2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Desde 60.000 €/año</w:t>
            </w:r>
          </w:p>
        </w:tc>
      </w:tr>
      <w:t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Servicios</w:t>
            </w:r>
          </w:p>
        </w:tc>
        <w:tc>
          <w:tcPr>
            <w:tcW w:type="dxa" w:w="2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Cualquier plan</w:t>
            </w:r>
          </w:p>
        </w:tc>
        <w:tc>
          <w:tcPr>
            <w:tcW w:type="dxa" w:w="3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Calibración sobre datos del cliente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glv calibrate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con su tráfico), política a medida, integración</w:t>
            </w:r>
          </w:p>
        </w:tc>
        <w:tc>
          <w:tcPr>
            <w:tcW w:type="dxa" w:w="2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proyecto, 1.500 €/día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Por qué por tenant y no por verificación. Cobrar por volumen castiga el uso, y el uso es lo que queremos. Cobrar por tenant y por proyecto es previsible para el comprador, se aprueba en un presupuesto anual y no obliga a medir nada dentro del engine, que debe seguir sin telemetría. Los packs se venden aparte porque tienen coste real de producción (datos etiquetados, calibración, mantenimiento por versión de modelo) y porque un cliente de banca los valora más que la consola.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</w:rPr>
        <w:t xml:space="preserve">6.3 Números del primer año</w:t>
      </w:r>
    </w:p>
    <w:tbl>
      <w:tblPr>
        <w:tblW w:type="dxa" w:w="930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81"/>
        <w:gridCol w:w="1675"/>
        <w:gridCol w:w="1675"/>
        <w:gridCol w:w="1675"/>
      </w:tblGrid>
      <w:tr>
        <w:trPr>
          <w:tblHeader/>
        </w:trPr>
        <w:tc>
          <w:tcPr>
            <w:tcW w:type="dxa" w:w="4281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Métrica</w:t>
            </w:r>
          </w:p>
        </w:tc>
        <w:tc>
          <w:tcPr>
            <w:tcW w:type="dxa" w:w="1675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Mes 3</w:t>
            </w:r>
          </w:p>
        </w:tc>
        <w:tc>
          <w:tcPr>
            <w:tcW w:type="dxa" w:w="1675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Mes 6</w:t>
            </w:r>
          </w:p>
        </w:tc>
        <w:tc>
          <w:tcPr>
            <w:tcW w:type="dxa" w:w="1675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Mes 12</w:t>
            </w:r>
          </w:p>
        </w:tc>
      </w:tr>
      <w:tr>
        <w:tc>
          <w:tcPr>
            <w:tcW w:type="dxa" w:w="42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Instalaciones únicas del engine (opt-in + descargas)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4.000</w:t>
            </w:r>
          </w:p>
        </w:tc>
      </w:tr>
      <w:tr>
        <w:tc>
          <w:tcPr>
            <w:tcW w:type="dxa" w:w="42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Proyectos activos en la consola Community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</w:tr>
      <w:tr>
        <w:tc>
          <w:tcPr>
            <w:tcW w:type="dxa" w:w="42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Clientes Team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42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Clientes Regulated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2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2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MRR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1.000 €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8.700 €</w:t>
            </w:r>
          </w:p>
        </w:tc>
        <w:tc>
          <w:tcPr>
            <w:tcW w:type="dxa" w:w="1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40.000 €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1a4fd6" w:sz="12" w:space="8"/>
        </w:pBdr>
        <w:spacing w:after="160" w:line="280"/>
        <w:ind w:left="3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Son objetivos, no previsiones. Sirven para decidir en el mes 6 si el modelo funciona o si hay que mover la línea entre gratis y pago.</w:t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</w:rPr>
        <w:t xml:space="preserve">7. Cómo se presenta en público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</w:rPr>
        <w:t xml:space="preserve">7.1 La historia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Una frase: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glv verifica respuestas de IA de forma determinista y deja evidencia firmada que un auditor puede comprobar sin fiarse de nadie.</w:t>
      </w:r>
      <w:r>
        <w:rPr>
          <w:rFonts w:ascii="Calibri" w:cs="Calibri" w:eastAsia="Calibri" w:hAnsi="Calibri"/>
          <w:sz w:val="22"/>
          <w:szCs w:val="22"/>
        </w:rPr>
        <w:t xml:space="preserve"> Debajo, tres afirmaciones y cada una con su prueba pública. La misma verificación da el mismo resultado en cualquier máquina, y el hash de cada release se publica para tres sistemas operativos. Los documentos no salen de tu infraestructura, y el motor no tiene ni una dependencia de red, lo que se puede comprobar en el árbol de dependencias. La decisión la toma tu política, no nuestro modelo, y la política tiene versión y hash en cada registro.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El ejemplo canónico es siempre el mismo, la factura: la respuesta dice 1.000 dólares, la fuente dice 10.000, un embedding los ve al 0,99 de similitud y glv devuelve </w:t>
      </w:r>
      <w:r>
        <w:rPr>
          <w:rFonts w:ascii="Consolas" w:cs="Consolas" w:eastAsia="Consolas" w:hAnsi="Consolas"/>
          <w:sz w:val="22"/>
          <w:szCs w:val="22"/>
        </w:rPr>
        <w:t xml:space="preserve">FAIL</w:t>
      </w:r>
      <w:r>
        <w:rPr>
          <w:rFonts w:ascii="Calibri" w:cs="Calibri" w:eastAsia="Calibri" w:hAnsi="Calibri"/>
          <w:sz w:val="22"/>
          <w:szCs w:val="22"/>
        </w:rPr>
        <w:t xml:space="preserve">, con el recibo señalando el span de la fuente y el artículo 15(1). Es el ejemplo del README de groundlens y ha funcionado; ahora termina en un registro firmado.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</w:rPr>
        <w:t xml:space="preserve">7.2 Lo que se dice y lo que no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Se dice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verificación</w:t>
      </w:r>
      <w:r>
        <w:rPr>
          <w:rFonts w:ascii="Calibri" w:cs="Calibri" w:eastAsia="Calibri" w:hAnsi="Calibri"/>
          <w:sz w:val="22"/>
          <w:szCs w:val="22"/>
        </w:rPr>
        <w:t xml:space="preserve">, nunca detección de alucinaciones. Se dice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evidencia</w:t>
      </w:r>
      <w:r>
        <w:rPr>
          <w:rFonts w:ascii="Calibri" w:cs="Calibri" w:eastAsia="Calibri" w:hAnsi="Calibri"/>
          <w:sz w:val="22"/>
          <w:szCs w:val="22"/>
        </w:rPr>
        <w:t xml:space="preserve">, nunca veredicto. Se dice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determinista</w:t>
      </w:r>
      <w:r>
        <w:rPr>
          <w:rFonts w:ascii="Calibri" w:cs="Calibri" w:eastAsia="Calibri" w:hAnsi="Calibri"/>
          <w:sz w:val="22"/>
          <w:szCs w:val="22"/>
        </w:rPr>
        <w:t xml:space="preserve"> y se enseña el hash.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No se publica ningún AUROC global del producto. Se publica el benchmark por verifier y por tipo de claim, con controles de confusión, como en los papers.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No se dice que cumple el AI Act. Se dice qué artículos cubre cada control y se deja la conclusión al cliente y a su auditor.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Los títulos y el copy tienen que entenderse en segundos por alguien que no es especialista. Nada de jerga de filosofía de la ciencia.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</w:rPr>
        <w:t xml:space="preserve">7.3 Canales y piezas, en orden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Semana 4.</w:t>
      </w:r>
      <w:r>
        <w:rPr>
          <w:rFonts w:ascii="Calibri" w:cs="Calibri" w:eastAsia="Calibri" w:hAnsi="Calibri"/>
          <w:sz w:val="22"/>
          <w:szCs w:val="22"/>
        </w:rPr>
        <w:t xml:space="preserve"> Repo público con README, binarios y el ejemplo de la factura. Post en LinkedIn y en la newsletter Real AI contando por qué CERT se convierte en glv. Un solo mensaje: determinismo con hash público.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Semana 6.</w:t>
      </w:r>
      <w:r>
        <w:rPr>
          <w:rFonts w:ascii="Calibri" w:cs="Calibri" w:eastAsia="Calibri" w:hAnsi="Calibri"/>
          <w:sz w:val="22"/>
          <w:szCs w:val="22"/>
        </w:rPr>
        <w:t xml:space="preserve"> Artículo en Towards Data Science: *Por qué un detector de alucinaciones no es una capa de verificación*, con el ejemplo de las unidades (37,35 billion contra 37.350 millones) y el registro firmado.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Semana 8.</w:t>
      </w:r>
      <w:r>
        <w:rPr>
          <w:rFonts w:ascii="Calibri" w:cs="Calibri" w:eastAsia="Calibri" w:hAnsi="Calibri"/>
          <w:sz w:val="22"/>
          <w:szCs w:val="22"/>
        </w:rPr>
        <w:t xml:space="preserve"> Página de determinismo en glv.dev con la matriz por release. Show HN y r/MachineLearning con el hash como gancho.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Semana 10.</w:t>
      </w:r>
      <w:r>
        <w:rPr>
          <w:rFonts w:ascii="Calibri" w:cs="Calibri" w:eastAsia="Calibri" w:hAnsi="Calibri"/>
          <w:sz w:val="22"/>
          <w:szCs w:val="22"/>
        </w:rPr>
        <w:t xml:space="preserve"> Consola abierta en beta. Vídeo de tres minutos: instalar, verificar, abrir la consola, exportar el paquete de auditoría, verificarlo offline.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Semana 12.</w:t>
      </w:r>
      <w:r>
        <w:rPr>
          <w:rFonts w:ascii="Calibri" w:cs="Calibri" w:eastAsia="Calibri" w:hAnsi="Calibri"/>
          <w:sz w:val="22"/>
          <w:szCs w:val="22"/>
        </w:rPr>
        <w:t xml:space="preserve"> Webinar en castellano para equipos de IA de banca y seguros con un caso completo y la plantilla del expediente técnico. Invitaciones directas a los contactos de primer grado del sector.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Continuo.</w:t>
      </w:r>
      <w:r>
        <w:rPr>
          <w:rFonts w:ascii="Calibri" w:cs="Calibri" w:eastAsia="Calibri" w:hAnsi="Calibri"/>
          <w:sz w:val="22"/>
          <w:szCs w:val="22"/>
        </w:rPr>
        <w:t xml:space="preserve"> Cada release lleva changelog, hash de determinismo y benchmark. Cada mes una pieza en la newsletter con un caso real anonimizado.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</w:rPr>
        <w:t xml:space="preserve">7.4 Sitio web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Cinco páginas y ninguna más. Inicio con la frase, el ejemplo y el hash. Cómo funciona con el diagrama de los tres componentes. Determinismo con la matriz por release y la explicación de la banda de guarda en lenguaje llano. Precios con los cuatro planes. Docs. El botón principal es </w:t>
      </w:r>
      <w:r>
        <w:rPr>
          <w:rFonts w:ascii="Consolas" w:cs="Consolas" w:eastAsia="Consolas" w:hAnsi="Consolas"/>
          <w:sz w:val="22"/>
          <w:szCs w:val="22"/>
        </w:rPr>
        <w:t xml:space="preserve">brew install</w:t>
      </w:r>
      <w:r>
        <w:rPr>
          <w:rFonts w:ascii="Calibri" w:cs="Calibri" w:eastAsia="Calibri" w:hAnsi="Calibri"/>
          <w:sz w:val="22"/>
          <w:szCs w:val="22"/>
        </w:rPr>
        <w:t xml:space="preserve"> o </w:t>
      </w:r>
      <w:r>
        <w:rPr>
          <w:rFonts w:ascii="Consolas" w:cs="Consolas" w:eastAsia="Consolas" w:hAnsi="Consolas"/>
          <w:sz w:val="22"/>
          <w:szCs w:val="22"/>
        </w:rPr>
        <w:t xml:space="preserve">docker run</w:t>
      </w:r>
      <w:r>
        <w:rPr>
          <w:rFonts w:ascii="Calibri" w:cs="Calibri" w:eastAsia="Calibri" w:hAnsi="Calibri"/>
          <w:sz w:val="22"/>
          <w:szCs w:val="22"/>
        </w:rPr>
        <w:t xml:space="preserve">, no *pide una demo*. Las demos llegan cuando alguien ya ha visto el </w:t>
      </w:r>
      <w:r>
        <w:rPr>
          <w:rFonts w:ascii="Consolas" w:cs="Consolas" w:eastAsia="Consolas" w:hAnsi="Consolas"/>
          <w:sz w:val="22"/>
          <w:szCs w:val="22"/>
        </w:rPr>
        <w:t xml:space="preserve">FAIL</w:t>
      </w:r>
      <w:r>
        <w:rPr>
          <w:rFonts w:ascii="Calibri" w:cs="Calibri" w:eastAsia="Calibri" w:hAnsi="Calibri"/>
          <w:sz w:val="22"/>
          <w:szCs w:val="22"/>
        </w:rPr>
        <w:t xml:space="preserve"> en su terminal.</w:t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</w:rPr>
        <w:t xml:space="preserve">8. Plan de noventa días</w:t>
      </w:r>
    </w:p>
    <w:tbl>
      <w:tblPr>
        <w:tblW w:type="dxa" w:w="930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744"/>
        <w:gridCol w:w="5584"/>
        <w:gridCol w:w="2978"/>
      </w:tblGrid>
      <w:tr>
        <w:trPr>
          <w:tblHeader/>
        </w:trPr>
        <w:tc>
          <w:tcPr>
            <w:tcW w:type="dxa" w:w="744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Semana</w:t>
            </w:r>
          </w:p>
        </w:tc>
        <w:tc>
          <w:tcPr>
            <w:tcW w:type="dxa" w:w="5584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2978"/>
            <w:shd w:fill="E8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Criterio de hecho</w:t>
            </w:r>
          </w:p>
        </w:tc>
      </w:tr>
      <w:tr>
        <w:tc>
          <w:tcPr>
            <w:tcW w:type="dxa" w:w="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público con el scaffold, CI verde en tres SO, nombres reservados en crates.io, PyPI, Homebrew, dominio</w:t>
            </w:r>
          </w:p>
        </w:tc>
        <w:tc>
          <w:tcPr>
            <w:tcW w:type="dxa" w:w="2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cargo install glv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funciona desde crates.io</w:t>
            </w:r>
          </w:p>
        </w:tc>
      </w:tr>
      <w:tr>
        <w:tc>
          <w:tcPr>
            <w:tcW w:type="dxa" w:w="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Claims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temporal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citation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locator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de fila, property tests, fuzzing</w:t>
            </w:r>
          </w:p>
        </w:tc>
        <w:tc>
          <w:tcPr>
            <w:tcW w:type="dxa" w:w="2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Notebook Berkshire sin falsos bloqueos por años de cabecera</w:t>
            </w:r>
          </w:p>
        </w:tc>
      </w:tr>
      <w:tr>
        <w:tc>
          <w:tcPr>
            <w:tcW w:type="dxa" w:w="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Sidecar HTTP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glv serve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/metrics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códigos de salida, errores explicados, Dockerfile estático</w:t>
            </w:r>
          </w:p>
        </w:tc>
        <w:tc>
          <w:tcPr>
            <w:tcW w:type="dxa" w:w="2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Imagen &lt; 60 MB,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 /verify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 &lt; 5 ms para 100 claims exactas</w:t>
            </w:r>
          </w:p>
        </w:tc>
      </w:tr>
      <w:tr>
        <w:tc>
          <w:tcPr>
            <w:tcW w:type="dxa" w:w="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Binarios firmados, SBOM, SECURITY.md, docs v0 (instalación, políticas, registro).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Lanzamiento público del engine</w:t>
            </w:r>
          </w:p>
        </w:tc>
        <w:tc>
          <w:tcPr>
            <w:tcW w:type="dxa" w:w="2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Instalación en 5 minutos cronometrada por alguien externo</w:t>
            </w:r>
          </w:p>
        </w:tc>
      </w:tr>
      <w:tr>
        <w:tc>
          <w:tcPr>
            <w:tcW w:type="dxa" w:w="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 ONNX de mpnet y deberta-nli con script versionado,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gl-onnx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con sesiones reales, verifier léxico portado</w:t>
            </w:r>
          </w:p>
        </w:tc>
        <w:tc>
          <w:tcPr>
            <w:tcW w:type="dxa" w:w="2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Soportes iguales a groundlens 3.1 con Δ ≤ 1e-6</w:t>
            </w:r>
          </w:p>
        </w:tc>
      </w:tr>
      <w:tr>
        <w:tc>
          <w:tcPr>
            <w:tcW w:type="dxa" w:w="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NLI y semantic verifiers, bundle de referencia publicado, golden de scores en tres SO. Artículo TDS</w:t>
            </w:r>
          </w:p>
        </w:tc>
        <w:tc>
          <w:tcPr>
            <w:tcW w:type="dxa" w:w="2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Tasa de cambio de clasificación 0 en la matriz</w:t>
            </w:r>
          </w:p>
        </w:tc>
      </w:tr>
      <w:tr>
        <w:tc>
          <w:tcPr>
            <w:tcW w:type="dxa" w:w="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Consola: auth, tenants, proyectos, ingesta de registros, lista y detalle de registros</w:t>
            </w:r>
          </w:p>
        </w:tc>
        <w:tc>
          <w:tcPr>
            <w:tcW w:type="dxa" w:w="2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registro del sidecar aparece en la consola en &lt; 10 s</w:t>
            </w:r>
          </w:p>
        </w:tc>
      </w:tr>
      <w:tr>
        <w:tc>
          <w:tcPr>
            <w:tcW w:type="dxa" w:w="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Consola: cola de revisión, políticas con lint y diff, verificación de cadena. Página de determinismo en la web</w:t>
            </w:r>
          </w:p>
        </w:tc>
        <w:tc>
          <w:tcPr>
            <w:tcW w:type="dxa" w:w="2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REVIEW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se resuelve y queda como evento firmado</w:t>
            </w:r>
          </w:p>
        </w:tc>
      </w:tr>
      <w:tr>
        <w:tc>
          <w:tcPr>
            <w:tcW w:type="dxa" w:w="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Consola: exportación de auditoría, métricas, roles. SDK Python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 PyPI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verify()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y callback de Langfuse</w:t>
            </w:r>
          </w:p>
        </w:tc>
        <w:tc>
          <w:tcPr>
            <w:tcW w:type="dxa" w:w="2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pip install glv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sin torch; paquete de auditoría verificable offline</w:t>
            </w:r>
          </w:p>
        </w:tc>
      </w:tr>
      <w:tr>
        <w:tc>
          <w:tcPr>
            <w:tcW w:type="dxa" w:w="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Beta pública de la consola.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Vídeo. Plan Community activo. Stripe para Team</w:t>
            </w:r>
          </w:p>
        </w:tc>
        <w:tc>
          <w:tcPr>
            <w:tcW w:type="dxa" w:w="2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Primer pago de un cliente Team</w:t>
            </w:r>
          </w:p>
        </w:tc>
      </w:tr>
      <w:tr>
        <w:tc>
          <w:tcPr>
            <w:tcW w:type="dxa" w:w="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SGI y DGI,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glv calibrate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primer pack sectorial (banca ES) con datos propios y de VeritasQA</w:t>
            </w:r>
          </w:p>
        </w:tc>
        <w:tc>
          <w:tcPr>
            <w:tcW w:type="dxa" w:w="2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Pack firmado con informe de calibración</w:t>
            </w:r>
          </w:p>
        </w:tc>
      </w:tr>
      <w:tr>
        <w:tc>
          <w:tcPr>
            <w:tcW w:type="dxa" w:w="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5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Benchmark completo publicado, plantillas EU AI Act y DORA, webinar sector, informe de determinismo firmado v1.0</w:t>
            </w:r>
          </w:p>
        </w:tc>
        <w:tc>
          <w:tcPr>
            <w:tcW w:type="dxa" w:w="2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Release 1.0.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Dos pilotos Regulated en conversación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</w:rPr>
        <w:t xml:space="preserve">8.1 Qué hace falta para ejecutarlo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Una persona a tiempo completo sobre el engine (Rust) y otra sobre la consola (TypeScript). Si es una sola persona, las semanas 5 a 9 se estiran a ocho y el 1.0 se va a la semana 16.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Coste de infraestructura del primer año por debajo de 3.000 €: Railway, Supabase, dominio, cosign, GitHub Actions con runners de macOS.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Un diseñador para la web y la consola durante tres semanas, o una plantilla seria y disciplina.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Tres empresas del sector dispuestas a probar el sidecar antes de la semana 10 a cambio de influir en la plantilla de política. Se buscan desde la semana 1 entre los contactos de primer grado.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</w:rPr>
        <w:t xml:space="preserve">8.2 Cómo se mide que es un producto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Un tablero público en glv.dev con cinco números actualizados por release: instalaciones únicas, proyectos activos en la consola, verificaciones por día agregadas de quienes activaron el opt-in, tiempo de instalación medido, y la matriz de determinismo. Cuando el primer número pase de mil, glv es un producto por la definición que se dio el 8 de septiembre. Hasta entonces es un producto en construcción, y el tablero lo dice.</w:t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</w:rPr>
        <w:t xml:space="preserve">9. Decisiones que quedan para Javier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Dominio: </w:t>
      </w:r>
      <w:r>
        <w:rPr>
          <w:rFonts w:ascii="Consolas" w:cs="Consolas" w:eastAsia="Consolas" w:hAnsi="Consolas"/>
          <w:sz w:val="22"/>
          <w:szCs w:val="22"/>
        </w:rPr>
        <w:t xml:space="preserve">glv.dev</w:t>
      </w:r>
      <w:r>
        <w:rPr>
          <w:rFonts w:ascii="Calibri" w:cs="Calibri" w:eastAsia="Calibri" w:hAnsi="Calibri"/>
          <w:sz w:val="22"/>
          <w:szCs w:val="22"/>
        </w:rPr>
        <w:t xml:space="preserve"> si está libre, </w:t>
      </w:r>
      <w:r>
        <w:rPr>
          <w:rFonts w:ascii="Consolas" w:cs="Consolas" w:eastAsia="Consolas" w:hAnsi="Consolas"/>
          <w:sz w:val="22"/>
          <w:szCs w:val="22"/>
        </w:rPr>
        <w:t xml:space="preserve">glv.groundlens.dev</w:t>
      </w:r>
      <w:r>
        <w:rPr>
          <w:rFonts w:ascii="Calibri" w:cs="Calibri" w:eastAsia="Calibri" w:hAnsi="Calibri"/>
          <w:sz w:val="22"/>
          <w:szCs w:val="22"/>
        </w:rPr>
        <w:t xml:space="preserve"> si no. Comprobar el primer día.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Precios: los del apartado 6.2 son una propuesta. Lo que no debería cambiar es la línea entre gratis y pago.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Consola autoalojada desde el primer día o solo alojada hasta el mes 6. Recomendación: solo alojada hasta que un cliente Regulated la pida por escrito.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Qué pasa con la cuenta de Hugging Face Spaces de groundlens y con el paquete </w:t>
      </w:r>
      <w:r>
        <w:rPr>
          <w:rFonts w:ascii="Consolas" w:cs="Consolas" w:eastAsia="Consolas" w:hAnsi="Consolas"/>
          <w:sz w:val="22"/>
          <w:szCs w:val="22"/>
        </w:rPr>
        <w:t xml:space="preserve">groundlens</w:t>
      </w:r>
      <w:r>
        <w:rPr>
          <w:rFonts w:ascii="Calibri" w:cs="Calibri" w:eastAsia="Calibri" w:hAnsi="Calibri"/>
          <w:sz w:val="22"/>
          <w:szCs w:val="22"/>
        </w:rPr>
        <w:t xml:space="preserve"> en PyPI: mantener con aviso de que el sucesor es </w:t>
      </w:r>
      <w:r>
        <w:rPr>
          <w:rFonts w:ascii="Consolas" w:cs="Consolas" w:eastAsia="Consolas" w:hAnsi="Consolas"/>
          <w:sz w:val="22"/>
          <w:szCs w:val="22"/>
        </w:rPr>
        <w:t xml:space="preserve">glv</w:t>
      </w:r>
      <w:r>
        <w:rPr>
          <w:rFonts w:ascii="Calibri" w:cs="Calibri" w:eastAsia="Calibri" w:hAnsi="Calibri"/>
          <w:sz w:val="22"/>
          <w:szCs w:val="22"/>
        </w:rPr>
        <w:t xml:space="preserve">, o publicar </w:t>
      </w:r>
      <w:r>
        <w:rPr>
          <w:rFonts w:ascii="Consolas" w:cs="Consolas" w:eastAsia="Consolas" w:hAnsi="Consolas"/>
          <w:sz w:val="22"/>
          <w:szCs w:val="22"/>
        </w:rPr>
        <w:t xml:space="preserve">groundlens</w:t>
      </w:r>
      <w:r>
        <w:rPr>
          <w:rFonts w:ascii="Calibri" w:cs="Calibri" w:eastAsia="Calibri" w:hAnsi="Calibri"/>
          <w:sz w:val="22"/>
          <w:szCs w:val="22"/>
        </w:rPr>
        <w:t xml:space="preserve"> 4.0 como alias de </w:t>
      </w:r>
      <w:r>
        <w:rPr>
          <w:rFonts w:ascii="Consolas" w:cs="Consolas" w:eastAsia="Consolas" w:hAnsi="Consolas"/>
          <w:sz w:val="22"/>
          <w:szCs w:val="22"/>
        </w:rPr>
        <w:t xml:space="preserve">glv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Si el primer pack sectorial es banca España o seguros. Depende de cuál de las tres empresas piloto llegue antes.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glv · Plan de producto 1.0 · 8 sep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a2a5e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a4fd6"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glv — Plan de producto 1.0</dc:title>
  <dc:creator>Javier Marín</dc:creator>
  <dc:description>Deterministic AI response verification</dc:description>
  <cp:lastModifiedBy>Un-named</cp:lastModifiedBy>
  <cp:revision>1</cp:revision>
  <dcterms:created xsi:type="dcterms:W3CDTF">2026-09-08T08:52:50.118Z</dcterms:created>
  <dcterms:modified xsi:type="dcterms:W3CDTF">2026-09-08T08:52:50.130Z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