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44"/>
        </w:rPr>
        <w:t>Ground Truth: Deterministic Falsification of</w:t>
        <w:br/>
        <w:t>Authority Continuity in Autonomous Systems</w:t>
      </w:r>
    </w:p>
    <w:p>
      <w:pPr>
        <w:spacing w:before="320"/>
        <w:jc w:val="center"/>
      </w:pPr>
      <w:r>
        <w:rPr>
          <w:rFonts w:ascii="Times New Roman" w:hAnsi="Times New Roman"/>
          <w:sz w:val="24"/>
        </w:rPr>
        <w:t>David B. Boyd</w:t>
        <w:br/>
        <w:t>Independent Researcher</w:t>
        <w:br/>
        <w:t>Antigonish, Nova Scotia, Canada</w:t>
        <w:br/>
        <w:t>groundtruthexhibit@gmail.com</w:t>
      </w:r>
    </w:p>
    <w:p>
      <w:pPr>
        <w:spacing w:before="400"/>
        <w:jc w:val="center"/>
      </w:pPr>
      <w:r>
        <w:t>Research preprint v1.0</w:t>
        <w:br/>
        <w:t>27 September 2026</w:t>
      </w:r>
    </w:p>
    <w:p>
      <w:pPr>
        <w:spacing w:before="480"/>
        <w:jc w:val="center"/>
      </w:pPr>
      <w:r>
        <w:t>Publication evidence status</w:t>
      </w:r>
    </w:p>
    <w:p>
      <w:pPr>
        <w:pStyle w:val="BodyText"/>
        <w:spacing w:after="80"/>
        <w:jc w:val="center"/>
      </w:pPr>
      <w:r>
        <w:t>The reviewed Ground Truth v1 freeze is now remotely inspectable in the public repository groundtruthexhibit-beep/ground-truth-exhibit. The freeze documentation commit is 3d09acc804bc1271965696f2d9561143ca28b835 and records frozen research HEAD 31d78aa158618ca8b72eb61e2f49b434e4319e9e. The frozen contract is authority-lab-v1 with six tuple coordinates, six invariants, and three outcomes; the corpus is LAB-V0-001..012 plus LAB-V1-013..466 (466 fixtures). The freeze records 260/260 public tests PASS on the freeze branch and 466/466 Authority Lab fixtures PASS at the frozen research HEAD. These results remain bounded failure-to-falsify evidence under the exact stated model, corpus, implementation, assumptions, and repository states; they are not a claim of universal security or formal proof.</w:t>
      </w:r>
    </w:p>
    <w:p>
      <w:r>
        <w:rPr>
          <w:rFonts w:ascii="Times New Roman" w:hAnsi="Times New Roman"/>
        </w:rPr>
        <w:br w:type="page"/>
      </w:r>
    </w:p>
    <w:p>
      <w:pPr>
        <w:pStyle w:val="Heading1"/>
      </w:pPr>
      <w:r>
        <w:rPr>
          <w:rFonts w:ascii="Times New Roman" w:hAnsi="Times New Roman"/>
        </w:rPr>
        <w:t>Abstract</w:t>
      </w:r>
    </w:p>
    <w:p>
      <w:pPr>
        <w:pStyle w:val="BodyText"/>
        <w:spacing w:after="80"/>
      </w:pPr>
      <w:r>
        <w:rPr>
          <w:rFonts w:ascii="Times New Roman" w:hAnsi="Times New Roman"/>
          <w:b w:val="0"/>
          <w:i w:val="0"/>
        </w:rPr>
        <w:t>Autonomous systems can act through chains of human approvals, delegated authority, policy decisions, identity bindings, credentials, connectors, tools, persistent state, and execution backends. Each component can appear individually valid while the composite execution no longer has sufficient evidence of authority at the moment its effects occur. This paper studies that failure mode as authority continuity. The central analytical separation is Capability != Evidence != Authority != Execution: technical ability to act, possession of evidence, justified authority, and actual execution are distinct properties.</w:t>
      </w:r>
    </w:p>
    <w:p>
      <w:pPr>
        <w:pStyle w:val="BodyText"/>
        <w:spacing w:after="80"/>
      </w:pPr>
      <w:r>
        <w:rPr>
          <w:rFonts w:ascii="Times New Roman" w:hAnsi="Times New Roman"/>
          <w:b w:val="0"/>
          <w:i w:val="0"/>
        </w:rPr>
        <w:t>Ground Truth is an executable deterministic falsification framework for testing authority continuity under a frozen public model, authority-lab-v1, with six tuple coordinates, six invariants, and three terminal outcomes: AUTHORIZED, DENIED, and UNAVAILABLE. Rather than treating a successful authorization result as evidence of correctness, Authority Lab constructs reproducible cases intended to expose executions that remain AUTHORIZED despite missing, stale, replayed, transferred, rolled-back, conflicting, compositionally invalid, or event-misaligned authority evidence.</w:t>
      </w:r>
    </w:p>
    <w:p>
      <w:pPr>
        <w:pStyle w:val="BodyText"/>
        <w:spacing w:after="80"/>
      </w:pPr>
      <w:r>
        <w:rPr>
          <w:rFonts w:ascii="Times New Roman" w:hAnsi="Times New Roman"/>
          <w:b w:val="0"/>
          <w:i w:val="0"/>
        </w:rPr>
        <w:t>The methodology follows counterexample construction, deterministic reproduction, normative classification, hostile design review, implementation, adversarial regression testing, positive controls, and exact-state hostile review. Investigated classes include objective binding, mutation closure, observation completeness, successor continuity, replay and equivocation, verifier rollback, source independence, delegation laundering, human-approval continuity, execution-target continuity, and temporal composition.</w:t>
      </w:r>
    </w:p>
    <w:p>
      <w:pPr>
        <w:pStyle w:val="BodyText"/>
        <w:spacing w:after="80"/>
      </w:pPr>
      <w:r>
        <w:rPr>
          <w:rFonts w:ascii="Times New Roman" w:hAnsi="Times New Roman"/>
          <w:b w:val="0"/>
          <w:i w:val="0"/>
        </w:rPr>
        <w:t>A principal temporal finding is that locally current authority heads can still refer to different execution events. This motivates common-event convergence: when a protected effect consumes authority, every authority-bearing component required by policy must establish applicability to the same protected execution event. Ground Truth does not claim universal security or formal proof. PASS means only that no reproducible in-scope counterexample was found under the stated model, fixture corpus, assumptions, implementation, and exact evaluated repository state.</w:t>
      </w:r>
    </w:p>
    <w:p>
      <w:pPr>
        <w:pStyle w:val="Placeholder"/>
      </w:pPr>
      <w:r>
        <w:t>Reviewed freeze checkpoint: repository groundtruthexhibit-beep/ground-truth-exhibit; freeze branch docs/ground-truth-research-freeze-v1; freeze documentation commit 3d09acc804bc1271965696f2d9561143ca28b835; frozen research HEAD 31d78aa158618ca8b72eb61e2f49b434e4319e9e; schema authority-lab-v1; 260/260 public tests PASS on the freeze branch; 466/466 Authority Lab fixtures PASS at the frozen research HEAD; frozen corpus LAB-V0-001..012 and LAB-V1-013..466. The exact reviewed Git objects are remotely inspectable.</w:t>
      </w:r>
    </w:p>
    <w:p>
      <w:pPr>
        <w:pStyle w:val="BodyText"/>
        <w:spacing w:after="80"/>
      </w:pPr>
      <w:r>
        <w:rPr>
          <w:rFonts w:ascii="Times New Roman" w:hAnsi="Times New Roman"/>
          <w:b w:val="0"/>
          <w:i/>
        </w:rPr>
        <w:t>Keywords: autonomous systems; authorization; authority continuity; delegation; provenance; deterministic testing; falsification; zero trust; usage control; agentic systems.</w:t>
      </w:r>
    </w:p>
    <w:p>
      <w:pPr>
        <w:pStyle w:val="BodyText"/>
        <w:spacing w:after="80"/>
      </w:pPr>
      <w:r>
        <w:rPr>
          <w:rFonts w:ascii="Times New Roman" w:hAnsi="Times New Roman"/>
          <w:b/>
          <w:i w:val="0"/>
        </w:rPr>
        <w:t>Core thesis: Autonomous systems can preserve the machinery required to perform an action without preserving sufficient evidence that the action remains authorized at the event where its effects occur.</w:t>
      </w:r>
    </w:p>
    <w:p>
      <w:pPr>
        <w:spacing w:before="80" w:after="120"/>
        <w:jc w:val="center"/>
      </w:pPr>
      <w:r>
        <w:rPr>
          <w:rFonts w:ascii="Times New Roman" w:hAnsi="Times New Roman"/>
          <w:b/>
          <w:sz w:val="22"/>
        </w:rPr>
        <w:t>Capability != Evidence != Authority != Execution</w:t>
      </w:r>
    </w:p>
    <w:p>
      <w:pPr>
        <w:pStyle w:val="BodyText"/>
        <w:spacing w:after="80"/>
        <w:jc w:val="center"/>
      </w:pPr>
      <w:r>
        <w:rPr>
          <w:rFonts w:ascii="Times New Roman" w:hAnsi="Times New Roman"/>
          <w:b w:val="0"/>
          <w:i/>
        </w:rPr>
        <w:t>Authority continuity is not persistence of authorization; it is the persistence or re-establishment of the evidence required to justify authorization.</w:t>
      </w:r>
    </w:p>
    <w:p>
      <w:pPr>
        <w:pStyle w:val="Heading1"/>
      </w:pPr>
      <w:r>
        <w:rPr>
          <w:rFonts w:ascii="Times New Roman" w:hAnsi="Times New Roman"/>
        </w:rPr>
        <w:t>1. Introduction</w:t>
      </w:r>
    </w:p>
    <w:p>
      <w:pPr>
        <w:pStyle w:val="BodyText"/>
        <w:spacing w:after="80"/>
      </w:pPr>
      <w:r>
        <w:rPr>
          <w:rFonts w:ascii="Times New Roman" w:hAnsi="Times New Roman"/>
          <w:b w:val="0"/>
          <w:i w:val="0"/>
        </w:rPr>
        <w:t>Autonomous systems need not exercise authority through a single contemporaneous decision. A consequential action can depend on human approval created earlier, delegated authority received from another agent, identity established by a control plane, policy evaluated against observed state, a credential accepted by a connector, and a terminal execution performed later against an external resource. Each step can appear individually legitimate while the complete execution is not.</w:t>
      </w:r>
    </w:p>
    <w:p>
      <w:pPr>
        <w:pStyle w:val="BodyText"/>
        <w:spacing w:after="80"/>
      </w:pPr>
      <w:r>
        <w:rPr>
          <w:rFonts w:ascii="Times New Roman" w:hAnsi="Times New Roman"/>
          <w:b w:val="0"/>
          <w:i w:val="0"/>
        </w:rPr>
        <w:t>Such systems often preserve capability more easily than justification. Credentials survive process restarts. Tokens are cached. Delegations are serialized. Approvals persist in databases. Jobs wait in queues. Connectors are rebound. Tool calls are retried. Workers are replaced. Policy results are memoized. The continued existence of those mechanisms does not establish that the evidence supporting their earlier use still applies.</w:t>
      </w:r>
    </w:p>
    <w:p>
      <w:pPr>
        <w:pStyle w:val="BodyText"/>
        <w:spacing w:after="80"/>
      </w:pPr>
      <w:r>
        <w:rPr>
          <w:rFonts w:ascii="Times New Roman" w:hAnsi="Times New Roman"/>
          <w:b w:val="0"/>
          <w:i w:val="0"/>
        </w:rPr>
        <w:t>Ground Truth studies this gap as authority continuity. Authority is treated not as a durable property owned by an agent, credential, approval, or token, but as a relation that must remain justified by evidence applicable to the protected execution. A decision valid for one subject, artifact, identity basis, boundary epoch, target, or execution event cannot simply be inherited by another state because the system retains the ability to act.</w:t>
      </w:r>
    </w:p>
    <w:p>
      <w:pPr>
        <w:pStyle w:val="BodyText"/>
        <w:spacing w:after="80"/>
      </w:pPr>
      <w:r>
        <w:rPr>
          <w:rFonts w:ascii="Times New Roman" w:hAnsi="Times New Roman"/>
          <w:b w:val="0"/>
          <w:i w:val="0"/>
        </w:rPr>
        <w:t>This perspective is deliberately narrower than general AI safety. Ground Truth does not determine whether an objective is desirable, whether an agent is intelligent, or whether a policy is socially optimal. It asks a systems-security question: does the evidence admitted by the stated authority model justify the authority claimed for the protected effect that is about to occur?</w:t>
      </w:r>
    </w:p>
    <w:p>
      <w:pPr>
        <w:pStyle w:val="BodyText"/>
        <w:spacing w:after="80"/>
      </w:pPr>
      <w:r>
        <w:rPr>
          <w:rFonts w:ascii="Times New Roman" w:hAnsi="Times New Roman"/>
          <w:b w:val="0"/>
          <w:i w:val="0"/>
        </w:rPr>
        <w:t>The approach is falsification-oriented. Authority Lab seeks reproducible cases in which the evaluated system returns AUTHORIZED even though the required authority evidence should instead yield DENIED or UNAVAILABLE. One valid in-scope counterexample is sufficient to falsify the behavior under test; failure to find a counterexample does not prove correctness.</w:t>
      </w:r>
    </w:p>
    <w:p>
      <w:pPr>
        <w:pStyle w:val="BodyText"/>
        <w:spacing w:after="80"/>
      </w:pPr>
      <w:r>
        <w:rPr>
          <w:rFonts w:ascii="Times New Roman" w:hAnsi="Times New Roman"/>
          <w:b w:val="0"/>
          <w:i w:val="0"/>
        </w:rPr>
        <w:t>The most important composite result motivating this manuscript is temporal. Different authority subsystems can each maintain an internally current local head while those heads refer to different points in execution history. An approval valid through event 2 and a delegation valid through event 2 can still remain present when a protected effect occurs at event 3. If the system checks only local currentness, historical authority can be composed into present execution authority.</w:t>
      </w:r>
    </w:p>
    <w:p>
      <w:pPr>
        <w:spacing w:before="80" w:after="120"/>
        <w:jc w:val="center"/>
      </w:pPr>
      <w:r>
        <w:rPr>
          <w:rFonts w:ascii="Times New Roman" w:hAnsi="Times New Roman"/>
          <w:b/>
          <w:sz w:val="22"/>
        </w:rPr>
        <w:t>Local currentness does not imply globally current authority.</w:t>
      </w:r>
    </w:p>
    <w:p>
      <w:pPr>
        <w:pStyle w:val="BodyText"/>
        <w:spacing w:after="80"/>
      </w:pPr>
      <w:r>
        <w:rPr>
          <w:rFonts w:ascii="Times New Roman" w:hAnsi="Times New Roman"/>
          <w:b w:val="0"/>
          <w:i w:val="0"/>
        </w:rPr>
        <w:t>Ground Truth therefore develops the idea of a canonical authority-consuming execution event. Common-event convergence does not require every subsystem to recompute authorization continuously. It requires that, when a protected effect consumes authority, the evidence required by policy be shown to apply to that same event.</w:t>
      </w:r>
    </w:p>
    <w:p>
      <w:pPr>
        <w:pStyle w:val="Heading2"/>
      </w:pPr>
      <w:r>
        <w:rPr>
          <w:rFonts w:ascii="Times New Roman" w:hAnsi="Times New Roman"/>
        </w:rPr>
        <w:t>1.1 Contributions</w:t>
      </w:r>
    </w:p>
    <w:p>
      <w:pPr>
        <w:pStyle w:val="BodyText"/>
        <w:ind w:left="216" w:hanging="216"/>
      </w:pPr>
      <w:r>
        <w:rPr>
          <w:rFonts w:ascii="Times New Roman" w:hAnsi="Times New Roman"/>
        </w:rPr>
        <w:t>1.  An authority-continuity formulation for failures in which capability, state, credentials, or previous authorization persist while the evidence needed to justify continued authority does not.</w:t>
      </w:r>
    </w:p>
    <w:p>
      <w:pPr>
        <w:pStyle w:val="BodyText"/>
        <w:ind w:left="216" w:hanging="216"/>
      </w:pPr>
      <w:r>
        <w:rPr>
          <w:rFonts w:ascii="Times New Roman" w:hAnsi="Times New Roman"/>
        </w:rPr>
        <w:t>2.  A strict analytical separation between capability, evidence, authority, and execution.</w:t>
      </w:r>
    </w:p>
    <w:p>
      <w:pPr>
        <w:pStyle w:val="BodyText"/>
        <w:ind w:left="216" w:hanging="216"/>
      </w:pPr>
      <w:r>
        <w:rPr>
          <w:rFonts w:ascii="Times New Roman" w:hAnsi="Times New Roman"/>
        </w:rPr>
        <w:t>3.  An executable three-outcome model that preserves AUTHORIZED, DENIED, and UNAVAILABLE rather than collapsing uncertainty into a Boolean decision.</w:t>
      </w:r>
    </w:p>
    <w:p>
      <w:pPr>
        <w:pStyle w:val="BodyText"/>
        <w:ind w:left="216" w:hanging="216"/>
      </w:pPr>
      <w:r>
        <w:rPr>
          <w:rFonts w:ascii="Times New Roman" w:hAnsi="Times New Roman"/>
        </w:rPr>
        <w:t>4.  A deterministic falsification workflow based on counterexamples, minimized reproducers, hostile review, repair, regression fixtures, positive controls, and exact-state checkpoints.</w:t>
      </w:r>
    </w:p>
    <w:p>
      <w:pPr>
        <w:pStyle w:val="BodyText"/>
        <w:ind w:left="216" w:hanging="216"/>
      </w:pPr>
      <w:r>
        <w:rPr>
          <w:rFonts w:ascii="Times New Roman" w:hAnsi="Times New Roman"/>
        </w:rPr>
        <w:t>5.  A taxonomy of authority-continuity counterexamples spanning objective binding, mutation and observation completeness, restart/successor continuity, replay, rollback, provenance, delegation, human approval, execution targets, and temporal composition.</w:t>
      </w:r>
    </w:p>
    <w:p>
      <w:pPr>
        <w:pStyle w:val="BodyText"/>
        <w:ind w:left="216" w:hanging="216"/>
      </w:pPr>
      <w:r>
        <w:rPr>
          <w:rFonts w:ascii="Times New Roman" w:hAnsi="Times New Roman"/>
        </w:rPr>
        <w:t>6.  A synthesis of recurring repair patterns: canonical binding, closure, lineage, non-rollbackable authority-relevant history, provenance, fail-closed uncertainty, effect identity, boundary binding, anti-replay, durable consumption, and common-event convergence.</w:t>
      </w:r>
    </w:p>
    <w:p>
      <w:pPr>
        <w:pStyle w:val="BodyText"/>
        <w:ind w:left="216" w:hanging="216"/>
      </w:pPr>
      <w:r>
        <w:rPr>
          <w:rFonts w:ascii="Times New Roman" w:hAnsi="Times New Roman"/>
        </w:rPr>
        <w:t>7.  A temporal-composition requirement: authority fragments required for a protected effect must converge on the same authority-consuming execution event.</w:t>
      </w:r>
    </w:p>
    <w:p>
      <w:pPr>
        <w:pStyle w:val="BodyText"/>
        <w:ind w:left="216" w:hanging="216"/>
      </w:pPr>
      <w:r>
        <w:rPr>
          <w:rFonts w:ascii="Times New Roman" w:hAnsi="Times New Roman"/>
        </w:rPr>
        <w:t>8.  A reproducibility discipline that binds scientific claims to exact repository state and preserves historical vulnerable behavior rather than reporting only the final passing suite.</w:t>
      </w:r>
    </w:p>
    <w:p>
      <w:pPr>
        <w:pStyle w:val="Heading1"/>
      </w:pPr>
      <w:r>
        <w:rPr>
          <w:rFonts w:ascii="Times New Roman" w:hAnsi="Times New Roman"/>
        </w:rPr>
        <w:t>2. Problem Statement</w:t>
      </w:r>
    </w:p>
    <w:p>
      <w:pPr>
        <w:pStyle w:val="BodyText"/>
        <w:spacing w:after="80"/>
      </w:pPr>
      <w:r>
        <w:rPr>
          <w:rFonts w:ascii="Times New Roman" w:hAnsi="Times New Roman"/>
          <w:b w:val="0"/>
          <w:i w:val="0"/>
        </w:rPr>
        <w:t>The central problem is that persistence of authorization-related state does not necessarily imply persistence of justified authority. An autonomous system can retain capability, credentials, a prior decision, a human approval, a delegation record, identity state, control-plane state, and tool access while no longer possessing sufficient evidence that those facts jointly authorize the execution now being attempted.</w:t>
      </w:r>
    </w:p>
    <w:p>
      <w:pPr>
        <w:pStyle w:val="BodyText"/>
        <w:spacing w:after="80"/>
      </w:pPr>
      <w:r>
        <w:rPr>
          <w:rFonts w:ascii="Times New Roman" w:hAnsi="Times New Roman"/>
          <w:b w:val="0"/>
          <w:i w:val="0"/>
        </w:rPr>
        <w:t>Ground Truth uses authority continuity to describe the preservation or re-establishment of the evidence required to justify authority across authority-relevant transitions leading to a protected execution.</w:t>
      </w:r>
    </w:p>
    <w:p>
      <w:pPr>
        <w:pStyle w:val="Heading2"/>
      </w:pPr>
      <w:r>
        <w:rPr>
          <w:rFonts w:ascii="Times New Roman" w:hAnsi="Times New Roman"/>
        </w:rPr>
        <w:t>2.1 Authority Is Relational</w:t>
      </w:r>
    </w:p>
    <w:p>
      <w:pPr>
        <w:pStyle w:val="BodyText"/>
        <w:spacing w:after="80"/>
      </w:pPr>
      <w:r>
        <w:rPr>
          <w:rFonts w:ascii="Times New Roman" w:hAnsi="Times New Roman"/>
          <w:b w:val="0"/>
          <w:i w:val="0"/>
        </w:rPr>
        <w:t>Within the frozen public model, an authority decision is represented over the tuple:</w:t>
      </w:r>
    </w:p>
    <w:p>
      <w:pPr>
        <w:spacing w:before="80" w:after="120"/>
        <w:jc w:val="center"/>
      </w:pPr>
      <w:r>
        <w:rPr>
          <w:rFonts w:ascii="Times New Roman" w:hAnsi="Times New Roman"/>
          <w:b/>
          <w:sz w:val="22"/>
        </w:rPr>
        <w:t>(subject, artifact, control_state, identity_basis, boundary_epoch, decision)</w:t>
      </w:r>
    </w:p>
    <w:p>
      <w:pPr>
        <w:pStyle w:val="BodyText"/>
        <w:spacing w:after="80"/>
      </w:pPr>
      <w:r>
        <w:t>The six frozen invariants are INV-CONT, INV-DISC, INV-BND, INV-EVD, INV-USE, and INV-CLO. The following definitions are reproduced verbatim from the canonical Layer 2 contract.</w:t>
      </w:r>
    </w:p>
    <w:p>
      <w:pPr>
        <w:pStyle w:val="BodyText"/>
      </w:pPr>
      <w:r>
        <w:t>INV-CONT — verification-to-commit continuity</w:t>
        <w:br/>
        <w:t>The exact live tuple used by the irreversible transition must be shown continuous with the tuple evaluated for authority. The exact live objective_binding, including its objective, decision contract, authority source, scope, lineage, generation, currentness, revocation, and supersession conditions, must also remain continuous or be re-established through T3. A T1 binding does not survive a relevant T2 change merely because its record or label remains available. Continuity must hold through the commit point, not merely at request receipt, evidence admission, validation, or effect preparation. A change or unresolvable gap in any required relation before commitment yields UNAVAILABLE, unless an established applicable condition instead yields DENIED.</w:t>
        <w:br/>
        <w:br/>
        <w:t>INV-DISC — identity-bearing discriminator discipline</w:t>
        <w:br/>
        <w:t>Identity-bearing values must be established by the applicable identity_basis. Objective, decision-contract, objective-binding, policy, schema, authority-source, wrapper, derivation, and transformation identities and versions must be discriminated wherever they are authority relevant. A path, name, label, role, handle, tag, replica name, PID, UID, session identifier, address, semantic-similarity claim, or byte equality may select or compare a candidate but does not alone prove identity or fidelity. The same decision-contract bytes under different objectives do not share an objective binding. Replacement, ABA reuse, rollback, restoration, cloning, aliasing, and same-content substitution cannot inherit authority merely through a stable selector or equal bytes.</w:t>
        <w:br/>
        <w:br/>
        <w:t>INV-BND — independent epoch-bound boundary</w:t>
        <w:br/>
        <w:t>The applicable authority boundary must be independently established and bound to a non-restorable authority lineage expressed by boundary_epoch. The source of an objective_binding and any delegation must belong to that applicable boundary and current authority lineage. The requester cannot choose, replace, route around, bootstrap, or collude into a favorable boundary, binding source, verifier, registry, or semantic interpreter. No objective binding is inherited implicitly across organizations, tenants, environments, sandbox and production, authority domains, boundary epochs, or authority roots. Restart, fork, restore, replica divergence, promotion, rejoin, verifier replacement, authority rotation, or another authority-relevant lineage event must be distinguishable unless continuity is independently established.</w:t>
        <w:br/>
        <w:br/>
        <w:t>INV-EVD — exact evidence binding and non-promotion</w:t>
        <w:br/>
        <w:t>Evidence is bound to the exact tuple and decision for which it was admitted. Evidence may satisfy an authority decision only when it satisfies the exact admitted decision contract and an exact current authoritative objective_binding admits that contract for the applicable authority objective and exact decision context. Evidence is not authority. Evidence for proposition P', correct verifier execution, provenance, identity, signatures, proofs, repetition, aggregation, transformation, or consensus cannot establish the objective binding or promote an unadmitted contract into authority. An objective binding admits the contract but does not itself establish operational evidence required by that contract. Evidence cannot be silently replayed across a subject, artifact, control state, identity basis, boundary epoch, or decision, and weak evidence cannot become stronger through relabeling, repetition, aggregation, transformation, or consensus. Missing required evidence binding, objective binding, or evaluation yields UNAVAILABLE.</w:t>
        <w:br/>
        <w:br/>
        <w:t>INV-USE — commit-time consumption discipline</w:t>
        <w:br/>
        <w:t>A one-shot authority instance authorizes at most one committed authority-consuming transition. A continuing grant and its objective binding remain usable only while their exact current validity conditions hold. An expired, revoked, superseded, out-of-scope, wrong-objective, wrong-contract, wrong-effect, wrong-generation, wrong-boundary, or otherwise ineligible binding is not usable. Cached success, cached binding, retry, restart, rollback, failover, residue, duplicate delivery, or absence of a consumption or revocation record cannot recreate authority. Unknown prior consumption or unknown current binding status does not become fresh authority; it yields UNAVAILABLE.</w:t>
        <w:br/>
        <w:br/>
        <w:t>INV-CLO — no implicit transformation or aggregate closure</w:t>
        <w:br/>
        <w:t>Authority over an artifact does not implicitly authorize a composition, partition, encoding, wrapper, projection, report, derivative, batch, aggregate, or other transformed object. An objective binding for decision contract D does not automatically admit a wrapped, compiled, optimized, translated, migrated, summarized, derived, or equivalent-looking D2. Each distinct authority-bearing result and decision contract requires its own exact current binding unless an exact current authoritative relationship explicitly admits that exact transformation and resulting contract for the same objective, scope, and boundary context. Transformation success or an equivalence proof is evidence for the proposition it establishes; it does not create authority. Separate valid decisions do not imply authority for their combined outcome.</w:t>
      </w:r>
    </w:p>
    <w:p>
      <w:pPr>
        <w:pStyle w:val="BodyText"/>
        <w:spacing w:after="80"/>
      </w:pPr>
      <w:r>
        <w:rPr>
          <w:rFonts w:ascii="Times New Roman" w:hAnsi="Times New Roman"/>
          <w:b w:val="0"/>
          <w:i w:val="0"/>
        </w:rPr>
        <w:t>A valid authorization result should therefore be interpreted as authority for a specific authority context, not as a transferable license to continue acting. Changes in subject, artifact, identity basis, boundary epoch, or evidence applicability can invalidate continuity even when execution machinery is unchanged.</w:t>
      </w:r>
    </w:p>
    <w:p>
      <w:pPr>
        <w:pStyle w:val="Heading2"/>
      </w:pPr>
      <w:r>
        <w:rPr>
          <w:rFonts w:ascii="Times New Roman" w:hAnsi="Times New Roman"/>
        </w:rPr>
        <w:t>2.2 Authority-Continuity Failure</w:t>
      </w:r>
    </w:p>
    <w:p>
      <w:pPr>
        <w:pStyle w:val="BodyText"/>
        <w:spacing w:after="80"/>
      </w:pPr>
      <w:r>
        <w:rPr>
          <w:rFonts w:ascii="Times New Roman" w:hAnsi="Times New Roman"/>
          <w:b w:val="0"/>
          <w:i w:val="0"/>
        </w:rPr>
        <w:t>An authority-continuity failure occurs when a system preserves or reconstructs enough authority-related state to return AUTHORIZED even though the evidence required by the stated model no longer justifies that result. Causes include staleness, replay, omitted mutation, incomplete observation, successor substitution, rollback, false source independence, delegation expansion, approval transfer, target substitution, and event mismatch.</w:t>
      </w:r>
    </w:p>
    <w:p>
      <w:pPr>
        <w:pStyle w:val="Heading2"/>
      </w:pPr>
      <w:r>
        <w:rPr>
          <w:rFonts w:ascii="Times New Roman" w:hAnsi="Times New Roman"/>
        </w:rPr>
        <w:t>2.3 Local Currentness and Global Authority</w:t>
      </w:r>
    </w:p>
    <w:p>
      <w:pPr>
        <w:pStyle w:val="BodyText"/>
        <w:spacing w:after="80"/>
      </w:pPr>
      <w:r>
        <w:rPr>
          <w:rFonts w:ascii="Times New Roman" w:hAnsi="Times New Roman"/>
          <w:b w:val="0"/>
          <w:i w:val="0"/>
        </w:rPr>
        <w:t>A human-approval subsystem can consider an approval current relative to its own interval. A delegation subsystem can consider a grant current relative to its own transition history. A connector can consider a credential current. A verifier can consider its local state current. These statements can all be locally correct without jointly establishing that the same evidence authorizes the same terminal execution.</w:t>
      </w:r>
    </w:p>
    <w:p>
      <w:pPr>
        <w:pStyle w:val="BodyText"/>
        <w:spacing w:after="80"/>
      </w:pPr>
      <w:r>
        <w:rPr>
          <w:rFonts w:ascii="Times New Roman" w:hAnsi="Times New Roman"/>
          <w:b w:val="0"/>
          <w:i w:val="0"/>
        </w:rPr>
        <w:t>In the evaluated temporal model, suppose approval and delegation are each valid only through event 2 while a protected effect occurs at event 3. If authorization tests only whether each local head is internally current, the system can combine historically valid evidence into a globally stale authorization. The defect is therefore a join problem as well as a freshness problem.</w:t>
      </w:r>
    </w:p>
    <w:p>
      <w:pPr>
        <w:pStyle w:val="Heading2"/>
      </w:pPr>
      <w:r>
        <w:rPr>
          <w:rFonts w:ascii="Times New Roman" w:hAnsi="Times New Roman"/>
        </w:rPr>
        <w:t>2.4 Canonical Authority Consumption</w:t>
      </w:r>
    </w:p>
    <w:p>
      <w:pPr>
        <w:pStyle w:val="BodyText"/>
        <w:spacing w:after="80"/>
      </w:pPr>
      <w:r>
        <w:t>The reviewed T3 repair uses one protected canonical T3_EXECUTION_EVENT as the common authority-consuming join point. Human approval, delegation, tool/connector state, policy, successor/boundary state, verifier state, anchors, witnesses, control-plane evidence, and the terminal effect bind or otherwise demonstrate applicability to that event where policy requires them.</w:t>
      </w:r>
    </w:p>
    <w:p>
      <w:pPr>
        <w:pStyle w:val="BodyText"/>
        <w:spacing w:after="80"/>
      </w:pPr>
      <w:r>
        <w:rPr>
          <w:rFonts w:ascii="Times New Roman" w:hAnsi="Times New Roman"/>
          <w:b w:val="0"/>
          <w:i w:val="0"/>
        </w:rPr>
        <w:t>Canonical authority consumption is narrower than continuous authorization. It does not require every subsystem to recompute authority at all times; it requires the evidence consumed by a protected effect to establish applicability to the same execution event.</w:t>
      </w:r>
    </w:p>
    <w:p>
      <w:pPr>
        <w:pStyle w:val="BodyText"/>
        <w:spacing w:after="80"/>
      </w:pPr>
      <w:r>
        <w:t>The temporal result progressed through reproduced counterexample, reviewed design, implementation, adversarial regression, positive AUTHORIZED reachability, and exact-state hostile review. Common-event convergence is therefore reported as a tested authority-continuity condition within the frozen model, not as a universal proof that every real-world effect admits a single sufficient execution-event representation.</w:t>
      </w:r>
    </w:p>
    <w:p>
      <w:pPr>
        <w:pStyle w:val="Heading2"/>
      </w:pPr>
      <w:r>
        <w:rPr>
          <w:rFonts w:ascii="Times New Roman" w:hAnsi="Times New Roman"/>
        </w:rPr>
        <w:t>2.5 Research Questions</w:t>
      </w:r>
    </w:p>
    <w:p>
      <w:pPr>
        <w:pStyle w:val="BodyText"/>
        <w:ind w:left="216" w:hanging="216"/>
      </w:pPr>
      <w:r>
        <w:rPr>
          <w:rFonts w:ascii="Times New Roman" w:hAnsi="Times New Roman"/>
        </w:rPr>
        <w:t>RQ1 - Falsification: Can deterministic adversarial construction expose cases in which a system returns AUTHORIZED even though authority evidence should be DENIED or UNAVAILABLE?</w:t>
      </w:r>
    </w:p>
    <w:p>
      <w:pPr>
        <w:pStyle w:val="BodyText"/>
        <w:ind w:left="216" w:hanging="216"/>
      </w:pPr>
      <w:r>
        <w:rPr>
          <w:rFonts w:ascii="Times New Roman" w:hAnsi="Times New Roman"/>
        </w:rPr>
        <w:t>RQ2 - Repair without loss of reachability: Can those cases be repaired without making legitimate AUTHORIZED paths unreachable?</w:t>
      </w:r>
    </w:p>
    <w:p>
      <w:pPr>
        <w:pStyle w:val="BodyText"/>
        <w:ind w:left="216" w:hanging="216"/>
      </w:pPr>
      <w:r>
        <w:rPr>
          <w:rFonts w:ascii="Times New Roman" w:hAnsi="Times New Roman"/>
        </w:rPr>
        <w:t>RQ3 - Temporal/compositional convergence: When authority-bearing subsystems advance independently, what evidence is necessary to show that their locally current states jointly authorize the same terminal execution event?</w:t>
      </w:r>
    </w:p>
    <w:p>
      <w:pPr>
        <w:pStyle w:val="Heading2"/>
      </w:pPr>
      <w:r>
        <w:rPr>
          <w:rFonts w:ascii="Times New Roman" w:hAnsi="Times New Roman"/>
        </w:rPr>
        <w:t>2.6 Scope of a Ground Truth Result</w:t>
      </w:r>
    </w:p>
    <w:p>
      <w:pPr>
        <w:pStyle w:val="BodyText"/>
        <w:spacing w:after="80"/>
      </w:pPr>
      <w:r>
        <w:rPr>
          <w:rFonts w:ascii="Times New Roman" w:hAnsi="Times New Roman"/>
          <w:b w:val="0"/>
          <w:i w:val="0"/>
        </w:rPr>
        <w:t>A Ground Truth FAIL identifies a reproducible in-scope case in which the evaluated system does not satisfy the expected authority behavior of the stated model. A PASS means only that no reproducible in-scope counterexample was found under the stated model, fixture corpus, assumptions, implementation, and exact evaluated repository state.</w:t>
      </w:r>
    </w:p>
    <w:p>
      <w:pPr>
        <w:pStyle w:val="BodyText"/>
        <w:spacing w:after="80"/>
      </w:pPr>
      <w:r>
        <w:rPr>
          <w:rFonts w:ascii="Times New Roman" w:hAnsi="Times New Roman"/>
          <w:b w:val="0"/>
          <w:i w:val="0"/>
        </w:rPr>
        <w:t>PASS does not imply universal system security, fixture completeness, absence of undiscovered counterexamples, correctness of external evidence, formal proof unless separately established, or safety outside the stated authority model.</w:t>
      </w:r>
    </w:p>
    <w:p>
      <w:pPr>
        <w:pStyle w:val="BodyText"/>
        <w:spacing w:after="80"/>
      </w:pPr>
      <w:r>
        <w:rPr>
          <w:rFonts w:ascii="Times New Roman" w:hAnsi="Times New Roman"/>
          <w:b w:val="0"/>
          <w:i w:val="0"/>
        </w:rPr>
        <w:t>The falsification logic is asymmetric: one valid counterexample can disprove a claimed in-scope behavior; failure to find a counterexample does not prove that none exists.</w:t>
      </w:r>
    </w:p>
    <w:p>
      <w:pPr>
        <w:pStyle w:val="Heading1"/>
      </w:pPr>
      <w:r>
        <w:rPr>
          <w:rFonts w:ascii="Times New Roman" w:hAnsi="Times New Roman"/>
        </w:rPr>
        <w:t>3. Threat Model</w:t>
      </w:r>
    </w:p>
    <w:p>
      <w:pPr>
        <w:pStyle w:val="BodyText"/>
        <w:spacing w:after="80"/>
      </w:pPr>
      <w:r>
        <w:rPr>
          <w:rFonts w:ascii="Times New Roman" w:hAnsi="Times New Roman"/>
          <w:b w:val="0"/>
          <w:i w:val="0"/>
        </w:rPr>
        <w:t>Ground Truth evaluates failures in the preservation and composition of authority evidence. The threat model includes deliberate adversarial manipulation and ordinary distributed-system behavior capable of producing the same authority error. The protected property is:</w:t>
      </w:r>
    </w:p>
    <w:p>
      <w:pPr>
        <w:spacing w:before="80" w:after="120"/>
        <w:jc w:val="center"/>
      </w:pPr>
      <w:r>
        <w:rPr>
          <w:rFonts w:ascii="Times New Roman" w:hAnsi="Times New Roman"/>
          <w:b/>
          <w:sz w:val="22"/>
        </w:rPr>
        <w:t>A terminal protected execution must not be classified AUTHORIZED unless the evidence required by the stated authority model justifies authority for that execution.</w:t>
      </w:r>
    </w:p>
    <w:p>
      <w:pPr>
        <w:pStyle w:val="BodyText"/>
        <w:spacing w:after="80"/>
      </w:pPr>
      <w:r>
        <w:rPr>
          <w:rFonts w:ascii="Times New Roman" w:hAnsi="Times New Roman"/>
          <w:b w:val="0"/>
          <w:i w:val="0"/>
        </w:rPr>
        <w:t>The adversary succeeds by causing the system to preserve, reconstruct, replay, transfer, substitute, compose, or misinterpret authority-related state such that the final decision becomes AUTHORIZED despite insufficient applicable authority evidence.</w:t>
      </w:r>
    </w:p>
    <w:p>
      <w:pPr>
        <w:pStyle w:val="Heading2"/>
      </w:pPr>
      <w:r>
        <w:rPr>
          <w:rFonts w:ascii="Times New Roman" w:hAnsi="Times New Roman"/>
        </w:rPr>
        <w:t>3.1 Adversary Capabilities</w:t>
      </w:r>
    </w:p>
    <w:p>
      <w:pPr>
        <w:pStyle w:val="ListBullet"/>
        <w:spacing w:after="40"/>
      </w:pPr>
      <w:r>
        <w:rPr>
          <w:rFonts w:ascii="Times New Roman" w:hAnsi="Times New Roman"/>
          <w:sz w:val="21"/>
        </w:rPr>
        <w:t>Replay previously valid evidence or move it across subjects, objectives, boundaries, targets, or execution events.</w:t>
      </w:r>
    </w:p>
    <w:p>
      <w:pPr>
        <w:pStyle w:val="ListBullet"/>
        <w:spacing w:after="40"/>
      </w:pPr>
      <w:r>
        <w:rPr>
          <w:rFonts w:ascii="Times New Roman" w:hAnsi="Times New Roman"/>
          <w:sz w:val="21"/>
        </w:rPr>
        <w:t>Exploit incomplete mutation tracking or incomplete observation admission.</w:t>
      </w:r>
    </w:p>
    <w:p>
      <w:pPr>
        <w:pStyle w:val="ListBullet"/>
        <w:spacing w:after="40"/>
      </w:pPr>
      <w:r>
        <w:rPr>
          <w:rFonts w:ascii="Times New Roman" w:hAnsi="Times New Roman"/>
          <w:sz w:val="21"/>
        </w:rPr>
        <w:t>Create stale-successor or ABA histories across shutdown and restart.</w:t>
      </w:r>
    </w:p>
    <w:p>
      <w:pPr>
        <w:pStyle w:val="ListBullet"/>
        <w:spacing w:after="40"/>
      </w:pPr>
      <w:r>
        <w:rPr>
          <w:rFonts w:ascii="Times New Roman" w:hAnsi="Times New Roman"/>
          <w:sz w:val="21"/>
        </w:rPr>
        <w:t>Replay or equivocate observation commitments.</w:t>
      </w:r>
    </w:p>
    <w:p>
      <w:pPr>
        <w:pStyle w:val="ListBullet"/>
        <w:spacing w:after="40"/>
      </w:pPr>
      <w:r>
        <w:rPr>
          <w:rFonts w:ascii="Times New Roman" w:hAnsi="Times New Roman"/>
          <w:sz w:val="21"/>
        </w:rPr>
        <w:t>Exploit verifier rollback or split-brain state.</w:t>
      </w:r>
    </w:p>
    <w:p>
      <w:pPr>
        <w:pStyle w:val="ListBullet"/>
        <w:spacing w:after="40"/>
      </w:pPr>
      <w:r>
        <w:rPr>
          <w:rFonts w:ascii="Times New Roman" w:hAnsi="Times New Roman"/>
          <w:sz w:val="21"/>
        </w:rPr>
        <w:t>Present correlated evidence as independent evidence.</w:t>
      </w:r>
    </w:p>
    <w:p>
      <w:pPr>
        <w:pStyle w:val="ListBullet"/>
        <w:spacing w:after="40"/>
      </w:pPr>
      <w:r>
        <w:rPr>
          <w:rFonts w:ascii="Times New Roman" w:hAnsi="Times New Roman"/>
          <w:sz w:val="21"/>
        </w:rPr>
        <w:t>Launder delegated authority across agents or expand scope during re-delegation.</w:t>
      </w:r>
    </w:p>
    <w:p>
      <w:pPr>
        <w:pStyle w:val="ListBullet"/>
        <w:spacing w:after="40"/>
      </w:pPr>
      <w:r>
        <w:rPr>
          <w:rFonts w:ascii="Times New Roman" w:hAnsi="Times New Roman"/>
          <w:sz w:val="21"/>
        </w:rPr>
        <w:t>Transfer human approval to a different effect, actor, target, or time.</w:t>
      </w:r>
    </w:p>
    <w:p>
      <w:pPr>
        <w:pStyle w:val="ListBullet"/>
        <w:spacing w:after="40"/>
      </w:pPr>
      <w:r>
        <w:rPr>
          <w:rFonts w:ascii="Times New Roman" w:hAnsi="Times New Roman"/>
          <w:sz w:val="21"/>
        </w:rPr>
        <w:t>Substitute tool connectors, backends, credentials, accounts, or permissions.</w:t>
      </w:r>
    </w:p>
    <w:p>
      <w:pPr>
        <w:pStyle w:val="ListBullet"/>
        <w:spacing w:after="40"/>
      </w:pPr>
      <w:r>
        <w:rPr>
          <w:rFonts w:ascii="Times New Roman" w:hAnsi="Times New Roman"/>
          <w:sz w:val="21"/>
        </w:rPr>
        <w:t>Cause locally current authority components to refer to different execution events.</w:t>
      </w:r>
    </w:p>
    <w:p>
      <w:pPr>
        <w:pStyle w:val="Heading2"/>
      </w:pPr>
      <w:r>
        <w:rPr>
          <w:rFonts w:ascii="Times New Roman" w:hAnsi="Times New Roman"/>
        </w:rPr>
        <w:t>3.2 Non-Malicious Failure Modes</w:t>
      </w:r>
    </w:p>
    <w:p>
      <w:pPr>
        <w:pStyle w:val="BodyText"/>
        <w:spacing w:after="80"/>
      </w:pPr>
      <w:r>
        <w:rPr>
          <w:rFonts w:ascii="Times New Roman" w:hAnsi="Times New Roman"/>
          <w:b w:val="0"/>
          <w:i w:val="0"/>
        </w:rPr>
        <w:t>The same conditions can arise without a malicious attacker through delayed execution, retries, worker reassignment, service restart, stale caches, queue persistence, asynchronous approval workflows, race conditions, replication, failover, rollback, connector rebinding, credential refresh, or long-running agent handoff. The relevant property is not whether the triggering condition is adversarial or accidental, but whether authority remains justified when that condition occurs.</w:t>
      </w:r>
    </w:p>
    <w:p>
      <w:pPr>
        <w:pStyle w:val="Heading2"/>
      </w:pPr>
      <w:r>
        <w:rPr>
          <w:rFonts w:ascii="Times New Roman" w:hAnsi="Times New Roman"/>
        </w:rPr>
        <w:t>3.3 Protected Decision and Supporting Evidence</w:t>
      </w:r>
    </w:p>
    <w:p>
      <w:pPr>
        <w:pStyle w:val="BodyText"/>
        <w:spacing w:after="80"/>
      </w:pPr>
      <w:r>
        <w:rPr>
          <w:rFonts w:ascii="Times New Roman" w:hAnsi="Times New Roman"/>
          <w:b w:val="0"/>
          <w:i w:val="0"/>
        </w:rPr>
        <w:t>The protected object of analysis is the authority decision governing a terminal protected execution. Supporting evidence can include subject identity, artifact or objective identity, control state, identity basis, boundary epoch, grant identity, approval identity, effect identity, connector or tool target, verifier state, anchors, witnesses, control-plane relationships, and temporal execution context.</w:t>
      </w:r>
    </w:p>
    <w:p>
      <w:pPr>
        <w:pStyle w:val="BodyText"/>
        <w:spacing w:after="80"/>
      </w:pPr>
      <w:r>
        <w:rPr>
          <w:rFonts w:ascii="Times New Roman" w:hAnsi="Times New Roman"/>
          <w:b w:val="0"/>
          <w:i w:val="0"/>
        </w:rPr>
        <w:t>Not all of these are tuple coordinates in the frozen public model. Some are evidence used to establish or validate the frozen coordinates. The paper preserves this distinction and does not silently expand the six-coordinate contract.</w:t>
      </w:r>
    </w:p>
    <w:p>
      <w:pPr>
        <w:pStyle w:val="Heading2"/>
      </w:pPr>
      <w:r>
        <w:rPr>
          <w:rFonts w:ascii="Times New Roman" w:hAnsi="Times New Roman"/>
        </w:rPr>
        <w:t>3.4 Four Evidence Categories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vAlign w:val="top"/>
            <w:shd w:fill="D9E1F2"/>
          </w:tcPr>
          <w:p>
            <w:r/>
            <w:r>
              <w:rPr>
                <w:rFonts w:ascii="Times New Roman" w:hAnsi="Times New Roman"/>
                <w:b/>
                <w:sz w:val="18"/>
              </w:rPr>
              <w:t>Category</w:t>
            </w:r>
          </w:p>
        </w:tc>
        <w:tc>
          <w:tcPr>
            <w:tcW w:type="dxa" w:w="7920"/>
            <w:vAlign w:val="top"/>
            <w:shd w:fill="D9E1F2"/>
          </w:tcPr>
          <w:p>
            <w:r/>
            <w:r>
              <w:rPr>
                <w:rFonts w:ascii="Times New Roman" w:hAnsi="Times New Roman"/>
                <w:b/>
                <w:sz w:val="18"/>
              </w:rPr>
              <w:t>Meaning</w:t>
            </w:r>
          </w:p>
        </w:tc>
      </w:tr>
      <w:tr>
        <w:tc>
          <w:tcPr>
            <w:tcW w:type="dxa" w:w="2448"/>
            <w:vAlign w:val="top"/>
          </w:tcPr>
          <w:p>
            <w:r/>
            <w:r>
              <w:rPr>
                <w:rFonts w:ascii="Times New Roman" w:hAnsi="Times New Roman"/>
                <w:b w:val="0"/>
                <w:sz w:val="18"/>
              </w:rPr>
              <w:t>Experimental evidence</w:t>
            </w:r>
          </w:p>
        </w:tc>
        <w:tc>
          <w:tcPr>
            <w:tcW w:type="dxa" w:w="7920"/>
            <w:vAlign w:val="top"/>
          </w:tcPr>
          <w:p>
            <w:r/>
            <w:r>
              <w:rPr>
                <w:rFonts w:ascii="Times New Roman" w:hAnsi="Times New Roman"/>
                <w:b w:val="0"/>
                <w:sz w:val="18"/>
              </w:rPr>
              <w:t>Behavior directly demonstrated by Authority Lab at an identified repository state.</w:t>
            </w:r>
          </w:p>
        </w:tc>
      </w:tr>
      <w:tr>
        <w:tc>
          <w:tcPr>
            <w:tcW w:type="dxa" w:w="2448"/>
            <w:vAlign w:val="top"/>
          </w:tcPr>
          <w:p>
            <w:r/>
            <w:r>
              <w:rPr>
                <w:rFonts w:ascii="Times New Roman" w:hAnsi="Times New Roman"/>
                <w:b w:val="0"/>
                <w:sz w:val="18"/>
              </w:rPr>
              <w:t>Normative requirement</w:t>
            </w:r>
          </w:p>
        </w:tc>
        <w:tc>
          <w:tcPr>
            <w:tcW w:type="dxa" w:w="7920"/>
            <w:vAlign w:val="top"/>
          </w:tcPr>
          <w:p>
            <w:r/>
            <w:r>
              <w:rPr>
                <w:rFonts w:ascii="Times New Roman" w:hAnsi="Times New Roman"/>
                <w:b w:val="0"/>
                <w:sz w:val="18"/>
              </w:rPr>
              <w:t>What the stated model or a reviewed design says must hold.</w:t>
            </w:r>
          </w:p>
        </w:tc>
      </w:tr>
      <w:tr>
        <w:tc>
          <w:tcPr>
            <w:tcW w:type="dxa" w:w="2448"/>
            <w:vAlign w:val="top"/>
          </w:tcPr>
          <w:p>
            <w:r/>
            <w:r>
              <w:rPr>
                <w:rFonts w:ascii="Times New Roman" w:hAnsi="Times New Roman"/>
                <w:b w:val="0"/>
                <w:sz w:val="18"/>
              </w:rPr>
              <w:t>Repair evidence</w:t>
            </w:r>
          </w:p>
        </w:tc>
        <w:tc>
          <w:tcPr>
            <w:tcW w:type="dxa" w:w="7920"/>
            <w:vAlign w:val="top"/>
          </w:tcPr>
          <w:p>
            <w:r/>
            <w:r>
              <w:rPr>
                <w:rFonts w:ascii="Times New Roman" w:hAnsi="Times New Roman"/>
                <w:b w:val="0"/>
                <w:sz w:val="18"/>
              </w:rPr>
              <w:t>Experimental evidence associated with a specific implemented repair and identified repository state.</w:t>
            </w:r>
          </w:p>
        </w:tc>
      </w:tr>
      <w:tr>
        <w:tc>
          <w:tcPr>
            <w:tcW w:type="dxa" w:w="2448"/>
            <w:vAlign w:val="top"/>
          </w:tcPr>
          <w:p>
            <w:r/>
            <w:r>
              <w:rPr>
                <w:rFonts w:ascii="Times New Roman" w:hAnsi="Times New Roman"/>
                <w:b w:val="0"/>
                <w:sz w:val="18"/>
              </w:rPr>
              <w:t>External assumption</w:t>
            </w:r>
          </w:p>
        </w:tc>
        <w:tc>
          <w:tcPr>
            <w:tcW w:type="dxa" w:w="7920"/>
            <w:vAlign w:val="top"/>
          </w:tcPr>
          <w:p>
            <w:r/>
            <w:r>
              <w:rPr>
                <w:rFonts w:ascii="Times New Roman" w:hAnsi="Times New Roman"/>
                <w:b w:val="0"/>
                <w:sz w:val="18"/>
              </w:rPr>
              <w:t>A fact the laboratory accepts but cannot independently establish.</w:t>
            </w:r>
          </w:p>
        </w:tc>
      </w:tr>
    </w:tbl>
    <w:p>
      <w:pPr>
        <w:spacing w:after="40"/>
      </w:pPr>
    </w:p>
    <w:p>
      <w:pPr>
        <w:pStyle w:val="Heading2"/>
      </w:pPr>
      <w:r>
        <w:rPr>
          <w:rFonts w:ascii="Times New Roman" w:hAnsi="Times New Roman"/>
        </w:rPr>
        <w:t>3.5 Consistent-Lie Boundary</w:t>
      </w:r>
    </w:p>
    <w:p>
      <w:pPr>
        <w:pStyle w:val="BodyText"/>
        <w:spacing w:after="80"/>
      </w:pPr>
      <w:r>
        <w:rPr>
          <w:rFonts w:ascii="Times New Roman" w:hAnsi="Times New Roman"/>
          <w:b w:val="0"/>
          <w:i w:val="0"/>
        </w:rPr>
        <w:t>Authority Lab reasons over admitted evidence. If every authority-relevant admitted source presents a mutually consistent but false account of the external world, and no contradictory or independently grounded evidence survives into the model, the lab may have no internal basis for detecting the deception. This limitation follows from the fact that Authority Lab evaluates admitted evidence rather than directly observing external reality.</w:t>
      </w:r>
    </w:p>
    <w:p>
      <w:pPr>
        <w:pStyle w:val="BodyText"/>
        <w:spacing w:after="80"/>
      </w:pPr>
      <w:r>
        <w:rPr>
          <w:rFonts w:ascii="Times New Roman" w:hAnsi="Times New Roman"/>
          <w:b w:val="0"/>
          <w:i w:val="0"/>
        </w:rPr>
        <w:t>The boundary is especially important for claims involving witnesses, anchors, provenance, source independence, and control-plane collusion. The model can detect explicitly represented common roots; it cannot necessarily detect hidden collusion that leaves no observable evidence within the model.</w:t>
      </w:r>
    </w:p>
    <w:p>
      <w:pPr>
        <w:pStyle w:val="Heading2"/>
      </w:pPr>
      <w:r>
        <w:rPr>
          <w:rFonts w:ascii="Times New Roman" w:hAnsi="Times New Roman"/>
        </w:rPr>
        <w:t>3.6 Trusted Computing Base and External Trust</w:t>
      </w:r>
    </w:p>
    <w:p>
      <w:pPr>
        <w:pStyle w:val="BodyText"/>
        <w:spacing w:after="80"/>
      </w:pPr>
      <w:r>
        <w:rPr>
          <w:rFonts w:ascii="Times New Roman" w:hAnsi="Times New Roman"/>
          <w:b w:val="0"/>
          <w:i w:val="0"/>
        </w:rPr>
        <w:t>The final release should distinguish the implementation trusted computing base from external trust assumptions. The implementation trusted computing base can include canonical serialization, fixture parsing, oracle logic, cryptographic implementations used by the harness, repository contents, and the execution environment. External trust assumptions can include source identifiers, authority roots, external identity facts, clocks, or observations accepted as axiomatic inputs.</w:t>
      </w:r>
    </w:p>
    <w:p>
      <w:pPr>
        <w:pStyle w:val="BodyText"/>
      </w:pPr>
      <w:r>
        <w:t>Implementation TCB: fixture loader and schema validation; canonical serialization and domain-separated SHA-256 digest construction; the deterministic oracle and reason-code logic; protected commitment/anchor manifests used by the harness; test runner and Python execution environment; and the exact repository contents under review. External trust assumptions: truthfulness of admitted external identity/signature facts, authority-root facts, clocks and observations; integrity of sources outside the modeled repository; survival of at least one contradictory or independently current source when rollback/collusion detection is required; and correctness of physical effects outside the modeled protected execution event. If all admitted sources lie consistently, all comparison roots are compromised or rolled back together, and no contradictory independent evidence survives, Authority Lab cannot infer omitted external reality.</w:t>
      </w:r>
    </w:p>
    <w:p>
      <w:pPr>
        <w:pStyle w:val="Heading2"/>
      </w:pPr>
      <w:r>
        <w:rPr>
          <w:rFonts w:ascii="Times New Roman" w:hAnsi="Times New Roman"/>
        </w:rPr>
        <w:t>3.7 Out of Scope</w:t>
      </w:r>
    </w:p>
    <w:p>
      <w:pPr>
        <w:pStyle w:val="ListBullet"/>
        <w:spacing w:after="40"/>
      </w:pPr>
      <w:r>
        <w:rPr>
          <w:rFonts w:ascii="Times New Roman" w:hAnsi="Times New Roman"/>
          <w:sz w:val="21"/>
        </w:rPr>
        <w:t>Universal autonomous-system correctness or safety.</w:t>
      </w:r>
    </w:p>
    <w:p>
      <w:pPr>
        <w:pStyle w:val="ListBullet"/>
        <w:spacing w:after="40"/>
      </w:pPr>
      <w:r>
        <w:rPr>
          <w:rFonts w:ascii="Times New Roman" w:hAnsi="Times New Roman"/>
          <w:sz w:val="21"/>
        </w:rPr>
        <w:t>Correctness of arbitrary natural-language objectives.</w:t>
      </w:r>
    </w:p>
    <w:p>
      <w:pPr>
        <w:pStyle w:val="ListBullet"/>
        <w:spacing w:after="40"/>
      </w:pPr>
      <w:r>
        <w:rPr>
          <w:rFonts w:ascii="Times New Roman" w:hAnsi="Times New Roman"/>
          <w:sz w:val="21"/>
        </w:rPr>
        <w:t>Confidentiality or general-purpose intrusion detection.</w:t>
      </w:r>
    </w:p>
    <w:p>
      <w:pPr>
        <w:pStyle w:val="ListBullet"/>
        <w:spacing w:after="40"/>
      </w:pPr>
      <w:r>
        <w:rPr>
          <w:rFonts w:ascii="Times New Roman" w:hAnsi="Times New Roman"/>
          <w:sz w:val="21"/>
        </w:rPr>
        <w:t>Physical-world truth independent of admitted evidence.</w:t>
      </w:r>
    </w:p>
    <w:p>
      <w:pPr>
        <w:pStyle w:val="ListBullet"/>
        <w:spacing w:after="40"/>
      </w:pPr>
      <w:r>
        <w:rPr>
          <w:rFonts w:ascii="Times New Roman" w:hAnsi="Times New Roman"/>
          <w:sz w:val="21"/>
        </w:rPr>
        <w:t>Absence of all hidden collusion.</w:t>
      </w:r>
    </w:p>
    <w:p>
      <w:pPr>
        <w:pStyle w:val="ListBullet"/>
        <w:spacing w:after="40"/>
      </w:pPr>
      <w:r>
        <w:rPr>
          <w:rFonts w:ascii="Times New Roman" w:hAnsi="Times New Roman"/>
          <w:sz w:val="21"/>
        </w:rPr>
        <w:t>Correctness of external human decisions.</w:t>
      </w:r>
    </w:p>
    <w:p>
      <w:pPr>
        <w:pStyle w:val="ListBullet"/>
        <w:spacing w:after="40"/>
      </w:pPr>
      <w:r>
        <w:rPr>
          <w:rFonts w:ascii="Times New Roman" w:hAnsi="Times New Roman"/>
          <w:sz w:val="21"/>
        </w:rPr>
        <w:t>Formal verification of the complete system unless separately established.</w:t>
      </w:r>
    </w:p>
    <w:p>
      <w:pPr>
        <w:pStyle w:val="ListBullet"/>
        <w:spacing w:after="40"/>
      </w:pPr>
      <w:r>
        <w:rPr>
          <w:rFonts w:ascii="Times New Roman" w:hAnsi="Times New Roman"/>
          <w:sz w:val="21"/>
        </w:rPr>
        <w:t>Correctness beyond the frozen authority model.</w:t>
      </w:r>
    </w:p>
    <w:p>
      <w:pPr>
        <w:pStyle w:val="Heading2"/>
      </w:pPr>
      <w:r>
        <w:rPr>
          <w:rFonts w:ascii="Times New Roman" w:hAnsi="Times New Roman"/>
        </w:rPr>
        <w:t>3.8 Adversary Success Condition</w:t>
      </w:r>
    </w:p>
    <w:p>
      <w:pPr>
        <w:pStyle w:val="BodyText"/>
        <w:spacing w:after="80"/>
      </w:pPr>
      <w:r>
        <w:rPr>
          <w:rFonts w:ascii="Times New Roman" w:hAnsi="Times New Roman"/>
          <w:b w:val="0"/>
          <w:i w:val="0"/>
        </w:rPr>
        <w:t>For a given experiment, the adversary succeeds when a protected execution is classified AUTHORIZED while the stated model requires DENIED or cannot establish sufficient evidence and therefore requires UNAVAILABLE, and that discrepancy is reproducible under the stated experimental conditions.</w:t>
      </w:r>
    </w:p>
    <w:p>
      <w:pPr>
        <w:spacing w:before="80" w:after="120"/>
        <w:jc w:val="center"/>
      </w:pPr>
      <w:r>
        <w:rPr>
          <w:rFonts w:ascii="Times New Roman" w:hAnsi="Times New Roman"/>
          <w:b/>
          <w:sz w:val="22"/>
        </w:rPr>
        <w:t>Observed outcome = AUTHORIZED, while required outcome is DENIED or UNAVAILABLE.</w:t>
      </w:r>
    </w:p>
    <w:p>
      <w:pPr>
        <w:pStyle w:val="Heading2"/>
      </w:pPr>
      <w:r>
        <w:rPr>
          <w:rFonts w:ascii="Times New Roman" w:hAnsi="Times New Roman"/>
        </w:rPr>
        <w:t>3.9 Repair Success Condition</w:t>
      </w:r>
    </w:p>
    <w:p>
      <w:pPr>
        <w:pStyle w:val="BodyText"/>
        <w:spacing w:after="80"/>
      </w:pPr>
      <w:r>
        <w:rPr>
          <w:rFonts w:ascii="Times New Roman" w:hAnsi="Times New Roman"/>
          <w:b w:val="0"/>
          <w:i w:val="0"/>
        </w:rPr>
        <w:t>A repair is not adequate merely because the original counterexample stops returning AUTHORIZED. A mature repair should eliminate the reproduced counterexample, preserve the correct DENIED-versus-UNAVAILABLE semantics, retain legitimate AUTHORIZED positive controls, survive adversarial variants, preserve the frozen 6/6/3 contract unless an explicit reviewed model revision is made, reproduce deterministically, identify the exact repository state, and survive exact-state hostile review.</w:t>
      </w:r>
    </w:p>
    <w:p>
      <w:pPr>
        <w:pStyle w:val="Heading1"/>
      </w:pPr>
      <w:r>
        <w:rPr>
          <w:rFonts w:ascii="Times New Roman" w:hAnsi="Times New Roman"/>
        </w:rPr>
        <w:t>4. Ground Truth Authority Model</w:t>
      </w:r>
    </w:p>
    <w:p>
      <w:pPr>
        <w:pStyle w:val="BodyText"/>
        <w:spacing w:after="80"/>
      </w:pPr>
      <w:r>
        <w:rPr>
          <w:rFonts w:ascii="Times New Roman" w:hAnsi="Times New Roman"/>
          <w:b w:val="0"/>
          <w:i w:val="0"/>
        </w:rPr>
        <w:t>The public schema is authority-lab-v1. It deliberately fixes six tuple coordinates, six invariants, and three outcomes. Later mechanisms such as grant identity, approval identity, verifier state, witness provenance, execution-target identity, or execution-event identity may be evidence used to establish the frozen model; they do not silently create additional tuple coordinates.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vAlign w:val="top"/>
            <w:shd w:fill="D9E1F2"/>
          </w:tcPr>
          <w:p>
            <w:r/>
            <w:r>
              <w:rPr>
                <w:rFonts w:ascii="Times New Roman" w:hAnsi="Times New Roman"/>
                <w:b/>
                <w:sz w:val="18"/>
              </w:rPr>
              <w:t>Coordinate</w:t>
            </w:r>
          </w:p>
        </w:tc>
        <w:tc>
          <w:tcPr>
            <w:tcW w:type="dxa" w:w="7920"/>
            <w:vAlign w:val="top"/>
            <w:shd w:fill="D9E1F2"/>
          </w:tcPr>
          <w:p>
            <w:r/>
            <w:r>
              <w:rPr>
                <w:rFonts w:ascii="Times New Roman" w:hAnsi="Times New Roman"/>
                <w:b/>
                <w:sz w:val="18"/>
              </w:rPr>
              <w:t>Role</w:t>
            </w:r>
          </w:p>
        </w:tc>
      </w:tr>
      <w:tr>
        <w:tc>
          <w:tcPr>
            <w:tcW w:type="dxa" w:w="2448"/>
            <w:vAlign w:val="top"/>
          </w:tcPr>
          <w:p>
            <w:r/>
            <w:r>
              <w:rPr>
                <w:rFonts w:ascii="Times New Roman" w:hAnsi="Times New Roman"/>
                <w:b w:val="0"/>
                <w:sz w:val="18"/>
              </w:rPr>
              <w:t>subject</w:t>
            </w:r>
          </w:p>
        </w:tc>
        <w:tc>
          <w:tcPr>
            <w:tcW w:type="dxa" w:w="7920"/>
            <w:vAlign w:val="top"/>
          </w:tcPr>
          <w:p>
            <w:r/>
            <w:r>
              <w:rPr>
                <w:rFonts w:ascii="Times New Roman" w:hAnsi="Times New Roman"/>
                <w:b w:val="0"/>
                <w:sz w:val="18"/>
              </w:rPr>
              <w:t>The entity whose authority is evaluated.</w:t>
            </w:r>
          </w:p>
        </w:tc>
      </w:tr>
      <w:tr>
        <w:tc>
          <w:tcPr>
            <w:tcW w:type="dxa" w:w="2448"/>
            <w:vAlign w:val="top"/>
          </w:tcPr>
          <w:p>
            <w:r/>
            <w:r>
              <w:rPr>
                <w:rFonts w:ascii="Times New Roman" w:hAnsi="Times New Roman"/>
                <w:b w:val="0"/>
                <w:sz w:val="18"/>
              </w:rPr>
              <w:t>artifact</w:t>
            </w:r>
          </w:p>
        </w:tc>
        <w:tc>
          <w:tcPr>
            <w:tcW w:type="dxa" w:w="7920"/>
            <w:vAlign w:val="top"/>
          </w:tcPr>
          <w:p>
            <w:r/>
            <w:r>
              <w:rPr>
                <w:rFonts w:ascii="Times New Roman" w:hAnsi="Times New Roman"/>
                <w:b w:val="0"/>
                <w:sz w:val="18"/>
              </w:rPr>
              <w:t>The protected object, objective, or authority-relevant target.</w:t>
            </w:r>
          </w:p>
        </w:tc>
      </w:tr>
      <w:tr>
        <w:tc>
          <w:tcPr>
            <w:tcW w:type="dxa" w:w="2448"/>
            <w:vAlign w:val="top"/>
          </w:tcPr>
          <w:p>
            <w:r/>
            <w:r>
              <w:rPr>
                <w:rFonts w:ascii="Times New Roman" w:hAnsi="Times New Roman"/>
                <w:b w:val="0"/>
                <w:sz w:val="18"/>
              </w:rPr>
              <w:t>control_state</w:t>
            </w:r>
          </w:p>
        </w:tc>
        <w:tc>
          <w:tcPr>
            <w:tcW w:type="dxa" w:w="7920"/>
            <w:vAlign w:val="top"/>
          </w:tcPr>
          <w:p>
            <w:r>
              <w:t>Authority-relevant state required to decide the exact transition, including commit/effect/ordering/consumption facts when applicable; omitted required state yields UNAVAILABLE rather than an implicit new coordinate.</w:t>
            </w:r>
          </w:p>
        </w:tc>
      </w:tr>
      <w:tr>
        <w:tc>
          <w:tcPr>
            <w:tcW w:type="dxa" w:w="2448"/>
            <w:vAlign w:val="top"/>
          </w:tcPr>
          <w:p>
            <w:r/>
            <w:r>
              <w:rPr>
                <w:rFonts w:ascii="Times New Roman" w:hAnsi="Times New Roman"/>
                <w:b w:val="0"/>
                <w:sz w:val="18"/>
              </w:rPr>
              <w:t>identity_basis</w:t>
            </w:r>
          </w:p>
        </w:tc>
        <w:tc>
          <w:tcPr>
            <w:tcW w:type="dxa" w:w="7920"/>
            <w:vAlign w:val="top"/>
          </w:tcPr>
          <w:p>
            <w:r/>
            <w:r>
              <w:rPr>
                <w:rFonts w:ascii="Times New Roman" w:hAnsi="Times New Roman"/>
                <w:b w:val="0"/>
                <w:sz w:val="18"/>
              </w:rPr>
              <w:t>The basis on which subject identity is established.</w:t>
            </w:r>
          </w:p>
        </w:tc>
      </w:tr>
      <w:tr>
        <w:tc>
          <w:tcPr>
            <w:tcW w:type="dxa" w:w="2448"/>
            <w:vAlign w:val="top"/>
          </w:tcPr>
          <w:p>
            <w:r/>
            <w:r>
              <w:rPr>
                <w:rFonts w:ascii="Times New Roman" w:hAnsi="Times New Roman"/>
                <w:b w:val="0"/>
                <w:sz w:val="18"/>
              </w:rPr>
              <w:t>boundary_epoch</w:t>
            </w:r>
          </w:p>
        </w:tc>
        <w:tc>
          <w:tcPr>
            <w:tcW w:type="dxa" w:w="7920"/>
            <w:vAlign w:val="top"/>
          </w:tcPr>
          <w:p>
            <w:r/>
            <w:r>
              <w:rPr>
                <w:rFonts w:ascii="Times New Roman" w:hAnsi="Times New Roman"/>
                <w:b w:val="0"/>
                <w:sz w:val="18"/>
              </w:rPr>
              <w:t>The authority-relevant structural boundary context.</w:t>
            </w:r>
          </w:p>
        </w:tc>
      </w:tr>
      <w:tr>
        <w:tc>
          <w:tcPr>
            <w:tcW w:type="dxa" w:w="2448"/>
            <w:vAlign w:val="top"/>
          </w:tcPr>
          <w:p>
            <w:r/>
            <w:r>
              <w:rPr>
                <w:rFonts w:ascii="Times New Roman" w:hAnsi="Times New Roman"/>
                <w:b w:val="0"/>
                <w:sz w:val="18"/>
              </w:rPr>
              <w:t>decision</w:t>
            </w:r>
          </w:p>
        </w:tc>
        <w:tc>
          <w:tcPr>
            <w:tcW w:type="dxa" w:w="7920"/>
            <w:vAlign w:val="top"/>
          </w:tcPr>
          <w:p>
            <w:r/>
            <w:r>
              <w:rPr>
                <w:rFonts w:ascii="Times New Roman" w:hAnsi="Times New Roman"/>
                <w:b w:val="0"/>
                <w:sz w:val="18"/>
              </w:rPr>
              <w:t>AUTHORIZED, DENIED, or UNAVAILABLE.</w:t>
            </w:r>
          </w:p>
        </w:tc>
      </w:tr>
    </w:tbl>
    <w:p>
      <w:pPr>
        <w:spacing w:after="40"/>
      </w:pPr>
    </w:p>
    <w:p>
      <w:pPr>
        <w:pStyle w:val="Heading2"/>
      </w:pPr>
      <w:r>
        <w:rPr>
          <w:rFonts w:ascii="Times New Roman" w:hAnsi="Times New Roman"/>
        </w:rPr>
        <w:t>4.1 Outcomes</w:t>
      </w:r>
    </w:p>
    <w:p>
      <w:pPr>
        <w:pStyle w:val="BodyText"/>
        <w:spacing w:after="80"/>
      </w:pPr>
      <w:r>
        <w:rPr>
          <w:rFonts w:ascii="Times New Roman" w:hAnsi="Times New Roman"/>
          <w:b w:val="0"/>
          <w:i w:val="0"/>
        </w:rPr>
        <w:t>AUTHORIZED means that the authority requirements of the stated model are satisfied by admitted evidence for the evaluated state. DENIED means that available evidence positively establishes that the requested authority should not be granted. UNAVAILABLE means that the evidence necessary to establish the requested authority decision safely is missing, stale, ambiguous, conflicting, insufficiently bound, unverifiable, or otherwise outside the conditions required by the model.</w:t>
      </w:r>
    </w:p>
    <w:p>
      <w:pPr>
        <w:spacing w:before="80" w:after="120"/>
        <w:jc w:val="center"/>
      </w:pPr>
      <w:r>
        <w:rPr>
          <w:rFonts w:ascii="Times New Roman" w:hAnsi="Times New Roman"/>
          <w:b/>
          <w:sz w:val="22"/>
        </w:rPr>
        <w:t>DENIED != UNAVAILABLE</w:t>
      </w:r>
    </w:p>
    <w:p>
      <w:pPr>
        <w:pStyle w:val="Heading2"/>
      </w:pPr>
      <w:r>
        <w:rPr>
          <w:rFonts w:ascii="Times New Roman" w:hAnsi="Times New Roman"/>
        </w:rPr>
        <w:t>4.2 Evidence Is Not the Tuple</w:t>
      </w:r>
    </w:p>
    <w:p>
      <w:pPr>
        <w:pStyle w:val="BodyText"/>
        <w:spacing w:after="80"/>
      </w:pPr>
      <w:r>
        <w:rPr>
          <w:rFonts w:ascii="Times New Roman" w:hAnsi="Times New Roman"/>
          <w:b w:val="0"/>
          <w:i w:val="0"/>
        </w:rPr>
        <w:t>Human approvals, grants, commitments, successor relationships, verifier checkpoints, witness statements, anchors, connectors, credentials, and execution events may be required evidence without becoming new tuple coordinates. This distinction keeps the public model frozen while allowing evidence discipline to become stricter.</w:t>
      </w:r>
    </w:p>
    <w:p>
      <w:pPr>
        <w:pStyle w:val="Heading2"/>
      </w:pPr>
      <w:r>
        <w:rPr>
          <w:rFonts w:ascii="Times New Roman" w:hAnsi="Times New Roman"/>
        </w:rPr>
        <w:t>4.3 Authority Consumption</w:t>
      </w:r>
    </w:p>
    <w:p>
      <w:pPr>
        <w:pStyle w:val="BodyText"/>
        <w:spacing w:after="80"/>
      </w:pPr>
      <w:r>
        <w:rPr>
          <w:rFonts w:ascii="Times New Roman" w:hAnsi="Times New Roman"/>
          <w:b w:val="0"/>
          <w:i w:val="0"/>
        </w:rPr>
        <w:t>A decision can be evaluated at one point and consumed later. A stored AUTHORIZED result is therefore not sufficient by itself to establish later execution authority. The evidence dependencies that justified the earlier decision must remain applicable or be re-established at the authority-consuming event.</w:t>
      </w:r>
    </w:p>
    <w:p>
      <w:pPr>
        <w:pStyle w:val="Heading2"/>
      </w:pPr>
      <w:r>
        <w:rPr>
          <w:rFonts w:ascii="Times New Roman" w:hAnsi="Times New Roman"/>
        </w:rPr>
        <w:t>4.4 Local Heads and Event Applicability</w:t>
      </w:r>
    </w:p>
    <w:p>
      <w:pPr>
        <w:pStyle w:val="BodyText"/>
        <w:spacing w:after="80"/>
      </w:pPr>
      <w:r>
        <w:rPr>
          <w:rFonts w:ascii="Times New Roman" w:hAnsi="Times New Roman"/>
          <w:b w:val="0"/>
          <w:i w:val="0"/>
        </w:rPr>
        <w:t>Composite systems can maintain local authority heads for approval, delegation, policy, tools, verifier state, anchors, witnesses, and control planes. Each head can be locally valid while the set is globally stale. The model therefore distinguishes local currentness from applicability to the protected execution.</w:t>
      </w:r>
    </w:p>
    <w:p>
      <w:pPr>
        <w:spacing w:before="80" w:after="120"/>
        <w:jc w:val="center"/>
      </w:pPr>
      <w:r>
        <w:rPr>
          <w:rFonts w:ascii="Times New Roman" w:hAnsi="Times New Roman"/>
          <w:b/>
          <w:sz w:val="22"/>
        </w:rPr>
        <w:t>Local currentness does not imply globally current authority.</w:t>
      </w:r>
    </w:p>
    <w:p>
      <w:pPr>
        <w:pStyle w:val="Heading1"/>
      </w:pPr>
      <w:r>
        <w:rPr>
          <w:rFonts w:ascii="Times New Roman" w:hAnsi="Times New Roman"/>
        </w:rPr>
        <w:t>5. Authority Lab</w:t>
      </w:r>
    </w:p>
    <w:p>
      <w:pPr>
        <w:pStyle w:val="BodyText"/>
        <w:spacing w:after="80"/>
      </w:pPr>
      <w:r>
        <w:t>Authority Lab is an executable deterministic falsification harness. Its primary experimental object is a canonical JSON fixture representing authority-relevant state, admitted evidence, mutation history, and expected behavior. In the frozen v1 research state the loader is authority_lab/runner.py::load_fixture, the oracle is authority_lab/oracle.py::evaluate, canonical digest construction is authority_lab/oracle.py::_canonical_digest, and fixtures reside under cases/authority_lab. Protected commitment and anchor state are represented by trusted_commitment_state.json and trusted_anchor_state.json where applicable.</w:t>
      </w:r>
    </w:p>
    <w:p>
      <w:pPr>
        <w:pStyle w:val="BodyText"/>
      </w:pPr>
      <w:r>
        <w:t>Canonicalization uses deterministic JSON serialization for the modeled fields and domain-separated SHA-256 digests. The fixture schema is authority-lab-v1. The runner rejects malformed fixture state rather than allowing fixture expectations to redefine oracle-owned relationships. The frozen release corpus is LAB-V0-001..012 plus LAB-V1-013..466. Exact schema details and field requirements are recorded in the frozen fixture/canonicalization documentation.</w:t>
      </w:r>
    </w:p>
    <w:p>
      <w:pPr>
        <w:pStyle w:val="Heading2"/>
      </w:pPr>
      <w:r>
        <w:rPr>
          <w:rFonts w:ascii="Times New Roman" w:hAnsi="Times New Roman"/>
        </w:rPr>
        <w:t>5.1 Deterministic Oracle</w:t>
      </w:r>
    </w:p>
    <w:p>
      <w:pPr>
        <w:pStyle w:val="BodyText"/>
        <w:spacing w:after="80"/>
      </w:pPr>
      <w:r>
        <w:t>The oracle independently evaluates authority evidence and returns AUTHORIZED, DENIED, or UNAVAILABLE. Determinism matters because it makes failures transferable, repair effects attributable, and disagreement inspectable. The frozen v1 release includes explicit repeated-run evidence over identical canonical input.</w:t>
      </w:r>
    </w:p>
    <w:p>
      <w:pPr>
        <w:pStyle w:val="BodyText"/>
      </w:pPr>
      <w:r>
        <w:t>Determinism evidence: AuthorityLabTests.test_identical_canonical_input_replays_deterministically evaluates the same protected composite-positive input five times and requires identical verdict/reason output. Oracle-independence evidence includes AuthorityLabTests.test_wrong_expectation_does_not_change_actual, AuthorityLabTests.test_expected_outcome_remains_outside_v1_oracle_input, and AuthorityLabTests.test_labels_titles_and_expectation_do_not_change_oracle. A targeted oracle-independence/determinism run passed 3/3; the frozen public suite passed 260/260.</w:t>
      </w:r>
    </w:p>
    <w:p>
      <w:pPr>
        <w:pStyle w:val="Heading2"/>
      </w:pPr>
      <w:r>
        <w:rPr>
          <w:rFonts w:ascii="Times New Roman" w:hAnsi="Times New Roman"/>
        </w:rPr>
        <w:t>5.2 Oracle Independence</w:t>
      </w:r>
    </w:p>
    <w:p>
      <w:pPr>
        <w:pStyle w:val="BodyText"/>
        <w:spacing w:after="80"/>
      </w:pPr>
      <w:r>
        <w:t>Fixture expectations do not determine the oracle verdict. The oracle fixes the actual authority outcome before comparing it with the fixture expectation. A deliberately incorrect expected answer leaves the oracle result unchanged and produces CASE_MISMATCH. This separates an oracle decision from a test expectation and makes disagreement evidence rather than a mechanism for changing the result.</w:t>
      </w:r>
    </w:p>
    <w:p>
      <w:pPr>
        <w:pStyle w:val="Heading2"/>
      </w:pPr>
      <w:r>
        <w:rPr>
          <w:rFonts w:ascii="Times New Roman" w:hAnsi="Times New Roman"/>
        </w:rPr>
        <w:t>5.3 Positive, Negative, and Epistemic Controls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16"/>
            <w:vAlign w:val="top"/>
            <w:shd w:fill="D9E1F2"/>
          </w:tcPr>
          <w:p>
            <w:r/>
            <w:r>
              <w:rPr>
                <w:rFonts w:ascii="Times New Roman" w:hAnsi="Times New Roman"/>
                <w:b/>
                <w:sz w:val="18"/>
              </w:rPr>
              <w:t>Control</w:t>
            </w:r>
          </w:p>
        </w:tc>
        <w:tc>
          <w:tcPr>
            <w:tcW w:type="dxa" w:w="2304"/>
            <w:vAlign w:val="top"/>
            <w:shd w:fill="D9E1F2"/>
          </w:tcPr>
          <w:p>
            <w:r/>
            <w:r>
              <w:rPr>
                <w:rFonts w:ascii="Times New Roman" w:hAnsi="Times New Roman"/>
                <w:b/>
                <w:sz w:val="18"/>
              </w:rPr>
              <w:t>Expected outcome</w:t>
            </w:r>
          </w:p>
        </w:tc>
        <w:tc>
          <w:tcPr>
            <w:tcW w:type="dxa" w:w="6048"/>
            <w:vAlign w:val="top"/>
            <w:shd w:fill="D9E1F2"/>
          </w:tcPr>
          <w:p>
            <w:r/>
            <w:r>
              <w:rPr>
                <w:rFonts w:ascii="Times New Roman" w:hAnsi="Times New Roman"/>
                <w:b/>
                <w:sz w:val="18"/>
              </w:rPr>
              <w:t>Purpose</w:t>
            </w:r>
          </w:p>
        </w:tc>
      </w:tr>
      <w:tr>
        <w:tc>
          <w:tcPr>
            <w:tcW w:type="dxa" w:w="2016"/>
            <w:vAlign w:val="top"/>
          </w:tcPr>
          <w:p>
            <w:r/>
            <w:r>
              <w:rPr>
                <w:rFonts w:ascii="Times New Roman" w:hAnsi="Times New Roman"/>
                <w:b w:val="0"/>
                <w:sz w:val="18"/>
              </w:rPr>
              <w:t>Positive</w:t>
            </w:r>
          </w:p>
        </w:tc>
        <w:tc>
          <w:tcPr>
            <w:tcW w:type="dxa" w:w="2304"/>
            <w:vAlign w:val="top"/>
          </w:tcPr>
          <w:p>
            <w:r/>
            <w:r>
              <w:rPr>
                <w:rFonts w:ascii="Times New Roman" w:hAnsi="Times New Roman"/>
                <w:b w:val="0"/>
                <w:sz w:val="18"/>
              </w:rPr>
              <w:t>AUTHORIZED</w:t>
            </w:r>
          </w:p>
        </w:tc>
        <w:tc>
          <w:tcPr>
            <w:tcW w:type="dxa" w:w="6048"/>
            <w:vAlign w:val="top"/>
          </w:tcPr>
          <w:p>
            <w:r/>
            <w:r>
              <w:rPr>
                <w:rFonts w:ascii="Times New Roman" w:hAnsi="Times New Roman"/>
                <w:b w:val="0"/>
                <w:sz w:val="18"/>
              </w:rPr>
              <w:t>Shows legitimate authority remains reachable.</w:t>
            </w:r>
          </w:p>
        </w:tc>
      </w:tr>
      <w:tr>
        <w:tc>
          <w:tcPr>
            <w:tcW w:type="dxa" w:w="2016"/>
            <w:vAlign w:val="top"/>
          </w:tcPr>
          <w:p>
            <w:r/>
            <w:r>
              <w:rPr>
                <w:rFonts w:ascii="Times New Roman" w:hAnsi="Times New Roman"/>
                <w:b w:val="0"/>
                <w:sz w:val="18"/>
              </w:rPr>
              <w:t>Negative</w:t>
            </w:r>
          </w:p>
        </w:tc>
        <w:tc>
          <w:tcPr>
            <w:tcW w:type="dxa" w:w="2304"/>
            <w:vAlign w:val="top"/>
          </w:tcPr>
          <w:p>
            <w:r/>
            <w:r>
              <w:rPr>
                <w:rFonts w:ascii="Times New Roman" w:hAnsi="Times New Roman"/>
                <w:b w:val="0"/>
                <w:sz w:val="18"/>
              </w:rPr>
              <w:t>DENIED</w:t>
            </w:r>
          </w:p>
        </w:tc>
        <w:tc>
          <w:tcPr>
            <w:tcW w:type="dxa" w:w="6048"/>
            <w:vAlign w:val="top"/>
          </w:tcPr>
          <w:p>
            <w:r/>
            <w:r>
              <w:rPr>
                <w:rFonts w:ascii="Times New Roman" w:hAnsi="Times New Roman"/>
                <w:b w:val="0"/>
                <w:sz w:val="18"/>
              </w:rPr>
              <w:t>Shows evidence can positively establish impermissibility.</w:t>
            </w:r>
          </w:p>
        </w:tc>
      </w:tr>
      <w:tr>
        <w:tc>
          <w:tcPr>
            <w:tcW w:type="dxa" w:w="2016"/>
            <w:vAlign w:val="top"/>
          </w:tcPr>
          <w:p>
            <w:r/>
            <w:r>
              <w:rPr>
                <w:rFonts w:ascii="Times New Roman" w:hAnsi="Times New Roman"/>
                <w:b w:val="0"/>
                <w:sz w:val="18"/>
              </w:rPr>
              <w:t>Epistemic</w:t>
            </w:r>
          </w:p>
        </w:tc>
        <w:tc>
          <w:tcPr>
            <w:tcW w:type="dxa" w:w="2304"/>
            <w:vAlign w:val="top"/>
          </w:tcPr>
          <w:p>
            <w:r/>
            <w:r>
              <w:rPr>
                <w:rFonts w:ascii="Times New Roman" w:hAnsi="Times New Roman"/>
                <w:b w:val="0"/>
                <w:sz w:val="18"/>
              </w:rPr>
              <w:t>UNAVAILABLE</w:t>
            </w:r>
          </w:p>
        </w:tc>
        <w:tc>
          <w:tcPr>
            <w:tcW w:type="dxa" w:w="6048"/>
            <w:vAlign w:val="top"/>
          </w:tcPr>
          <w:p>
            <w:r/>
            <w:r>
              <w:rPr>
                <w:rFonts w:ascii="Times New Roman" w:hAnsi="Times New Roman"/>
                <w:b w:val="0"/>
                <w:sz w:val="18"/>
              </w:rPr>
              <w:t>Shows uncertainty is not promoted to permission.</w:t>
            </w:r>
          </w:p>
        </w:tc>
      </w:tr>
    </w:tbl>
    <w:p>
      <w:pPr>
        <w:spacing w:after="40"/>
      </w:pPr>
    </w:p>
    <w:p>
      <w:pPr>
        <w:pStyle w:val="Heading2"/>
      </w:pPr>
      <w:r>
        <w:rPr>
          <w:rFonts w:ascii="Times New Roman" w:hAnsi="Times New Roman"/>
        </w:rPr>
        <w:t>5.4 Exact-State Review</w:t>
      </w:r>
    </w:p>
    <w:p>
      <w:pPr>
        <w:pStyle w:val="BodyText"/>
        <w:spacing w:after="80"/>
      </w:pPr>
      <w:r>
        <w:rPr>
          <w:rFonts w:ascii="Times New Roman" w:hAnsi="Times New Roman"/>
          <w:b w:val="0"/>
          <w:i w:val="0"/>
        </w:rPr>
        <w:t>Repository state is part of experimental identity. A hostile review tied to one exact commit does not automatically transfer to a later commit. Publication evidence should preserve repository, immutable commit or release identifier, relevant parent where meaningful, clean worktree state, commands, test output, and hostile-review result.</w:t>
      </w:r>
    </w:p>
    <w:p>
      <w:pPr>
        <w:pStyle w:val="Heading1"/>
      </w:pPr>
      <w:r>
        <w:rPr>
          <w:rFonts w:ascii="Times New Roman" w:hAnsi="Times New Roman"/>
        </w:rPr>
        <w:t>6. Falsification Methodology</w:t>
      </w:r>
    </w:p>
    <w:p>
      <w:pPr>
        <w:pStyle w:val="BodyText"/>
        <w:spacing w:after="80"/>
      </w:pPr>
      <w:r>
        <w:rPr>
          <w:rFonts w:ascii="Times New Roman" w:hAnsi="Times New Roman"/>
          <w:b w:val="0"/>
          <w:i w:val="0"/>
        </w:rPr>
        <w:t>The experimental progression is: valid baseline -&gt; authority-relevant mutation -&gt; candidate counterexample -&gt; deterministic reproducer -&gt; normative classification -&gt; repair design -&gt; hostile design review -&gt; implementation -&gt; regression -&gt; positive control -&gt; exact-state checkpoint.</w:t>
      </w:r>
    </w:p>
    <w:p>
      <w:pPr>
        <w:pStyle w:val="Heading2"/>
      </w:pPr>
      <w:r>
        <w:rPr>
          <w:rFonts w:ascii="Times New Roman" w:hAnsi="Times New Roman"/>
        </w:rPr>
        <w:t>6.1 Start Valid, Then Mutate Authority</w:t>
      </w:r>
    </w:p>
    <w:p>
      <w:pPr>
        <w:pStyle w:val="BodyText"/>
        <w:spacing w:after="80"/>
      </w:pPr>
      <w:r>
        <w:rPr>
          <w:rFonts w:ascii="Times New Roman" w:hAnsi="Times New Roman"/>
          <w:b w:val="0"/>
          <w:i w:val="0"/>
        </w:rPr>
        <w:t>Where possible, investigation begins from a legitimate AUTHORIZED path. A minimal mutation changes an authority-relevant dependency while preserving unrelated state. High-value mutations preserve enough superficial continuity that a weak implementation is tempted to reuse earlier authority.</w:t>
      </w:r>
    </w:p>
    <w:p>
      <w:pPr>
        <w:pStyle w:val="Heading2"/>
      </w:pPr>
      <w:r>
        <w:rPr>
          <w:rFonts w:ascii="Times New Roman" w:hAnsi="Times New Roman"/>
        </w:rPr>
        <w:t>6.2 Preserve Original Observed Behavior</w:t>
      </w:r>
    </w:p>
    <w:p>
      <w:pPr>
        <w:pStyle w:val="BodyText"/>
        <w:spacing w:after="80"/>
      </w:pPr>
      <w:r>
        <w:rPr>
          <w:rFonts w:ascii="Times New Roman" w:hAnsi="Times New Roman"/>
          <w:b w:val="0"/>
          <w:i w:val="0"/>
        </w:rPr>
        <w:t>When a mutated fixture remains AUTHORIZED despite a required DENIED or UNAVAILABLE result, the original permissive behavior is preserved as evidence. It is not rewritten away by changing fixture expectations. The historical state explains why the repair exists and what regression would recreate.</w:t>
      </w:r>
    </w:p>
    <w:p>
      <w:pPr>
        <w:pStyle w:val="Heading2"/>
      </w:pPr>
      <w:r>
        <w:rPr>
          <w:rFonts w:ascii="Times New Roman" w:hAnsi="Times New Roman"/>
        </w:rPr>
        <w:t>6.3 Separate Fixture Defect, Oracle Defect, and Model Defect</w:t>
      </w:r>
    </w:p>
    <w:p>
      <w:pPr>
        <w:pStyle w:val="BodyText"/>
        <w:spacing w:after="80"/>
      </w:pPr>
      <w:r>
        <w:rPr>
          <w:rFonts w:ascii="Times New Roman" w:hAnsi="Times New Roman"/>
          <w:b w:val="0"/>
          <w:i w:val="0"/>
        </w:rPr>
        <w:t>An unexpected result is not automatically an implementation counterexample. The investigation must establish that the fixture is well formed, the mutation is in scope, the normative result follows from the stated model or an explicit reviewed requirement, and the observed behavior is reproducible.</w:t>
      </w:r>
    </w:p>
    <w:p>
      <w:pPr>
        <w:pStyle w:val="Heading2"/>
      </w:pPr>
      <w:r>
        <w:rPr>
          <w:rFonts w:ascii="Times New Roman" w:hAnsi="Times New Roman"/>
        </w:rPr>
        <w:t>6.4 Repair and Attack the Repair</w:t>
      </w:r>
    </w:p>
    <w:p>
      <w:pPr>
        <w:pStyle w:val="BodyText"/>
        <w:spacing w:after="80"/>
      </w:pPr>
      <w:r>
        <w:rPr>
          <w:rFonts w:ascii="Times New Roman" w:hAnsi="Times New Roman"/>
          <w:b w:val="0"/>
          <w:i w:val="0"/>
        </w:rPr>
        <w:t>A repair is derived from the broken authority assumption, not from the literal fixture bytes. After implementation, the original counterexample becomes a permanent regression fixture and related variants attempt to bypass the repair. A valid positive path must remain AUTHORIZED.</w:t>
      </w:r>
    </w:p>
    <w:p>
      <w:pPr>
        <w:pStyle w:val="Heading1"/>
      </w:pPr>
      <w:r>
        <w:rPr>
          <w:rFonts w:ascii="Times New Roman" w:hAnsi="Times New Roman"/>
        </w:rPr>
        <w:t>7. Counterexample Classes</w:t>
      </w:r>
    </w:p>
    <w:p>
      <w:pPr>
        <w:pStyle w:val="BodyText"/>
        <w:spacing w:after="80"/>
      </w:pPr>
      <w:r>
        <w:t>The investigated classes are analytical families with explicit evidence maturity. At the reviewed v1 freeze, objective binding, mutation-registry closure, observation completeness, shutdown/successor continuity, commitment replay/equivocation, verifier rollback/split-brain, source independence, control-plane independence, delegation continuity, human-approval continuity, tool/execution-target continuity, T3 execution-event convergence, and Composite adversarial continuity each reached Level 7 under the paper's evidence ladder. Level 7 is an evidence-maturity state, not a security rating.</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376"/>
            <w:vAlign w:val="top"/>
            <w:shd w:fill="D9E1F2"/>
          </w:tcPr>
          <w:p>
            <w:r/>
            <w:r>
              <w:rPr>
                <w:rFonts w:ascii="Times New Roman" w:hAnsi="Times New Roman"/>
                <w:b/>
                <w:sz w:val="16"/>
              </w:rPr>
              <w:t>Class</w:t>
            </w:r>
          </w:p>
        </w:tc>
        <w:tc>
          <w:tcPr>
            <w:tcW w:type="dxa" w:w="4680"/>
            <w:vAlign w:val="top"/>
            <w:shd w:fill="D9E1F2"/>
          </w:tcPr>
          <w:p>
            <w:r/>
            <w:r>
              <w:rPr>
                <w:rFonts w:ascii="Times New Roman" w:hAnsi="Times New Roman"/>
                <w:b/>
                <w:sz w:val="16"/>
              </w:rPr>
              <w:t>Representative failure</w:t>
            </w:r>
          </w:p>
        </w:tc>
        <w:tc>
          <w:tcPr>
            <w:tcW w:type="dxa" w:w="3312"/>
            <w:vAlign w:val="top"/>
            <w:shd w:fill="D9E1F2"/>
          </w:tcPr>
          <w:p>
            <w:r/>
            <w:r>
              <w:rPr>
                <w:rFonts w:ascii="Times New Roman" w:hAnsi="Times New Roman"/>
                <w:b/>
                <w:sz w:val="16"/>
              </w:rPr>
              <w:t>Repair direction</w:t>
            </w:r>
          </w:p>
        </w:tc>
      </w:tr>
      <w:tr>
        <w:tc>
          <w:tcPr>
            <w:tcW w:type="dxa" w:w="2376"/>
            <w:vAlign w:val="top"/>
          </w:tcPr>
          <w:p>
            <w:r/>
            <w:r>
              <w:rPr>
                <w:rFonts w:ascii="Times New Roman" w:hAnsi="Times New Roman"/>
                <w:b w:val="0"/>
                <w:sz w:val="16"/>
              </w:rPr>
              <w:t>Objective binding</w:t>
            </w:r>
          </w:p>
        </w:tc>
        <w:tc>
          <w:tcPr>
            <w:tcW w:type="dxa" w:w="4680"/>
            <w:vAlign w:val="top"/>
          </w:tcPr>
          <w:p>
            <w:r/>
            <w:r>
              <w:rPr>
                <w:rFonts w:ascii="Times New Roman" w:hAnsi="Times New Roman"/>
                <w:b w:val="0"/>
                <w:sz w:val="16"/>
              </w:rPr>
              <w:t>Authority for one objective or artifact is reused for another.</w:t>
            </w:r>
          </w:p>
        </w:tc>
        <w:tc>
          <w:tcPr>
            <w:tcW w:type="dxa" w:w="3312"/>
            <w:vAlign w:val="top"/>
          </w:tcPr>
          <w:p>
            <w:r/>
            <w:r>
              <w:rPr>
                <w:rFonts w:ascii="Times New Roman" w:hAnsi="Times New Roman"/>
                <w:b w:val="0"/>
                <w:sz w:val="16"/>
              </w:rPr>
              <w:t>Canonical objective/artifact binding.</w:t>
            </w:r>
          </w:p>
        </w:tc>
      </w:tr>
      <w:tr>
        <w:tc>
          <w:tcPr>
            <w:tcW w:type="dxa" w:w="2376"/>
            <w:vAlign w:val="top"/>
          </w:tcPr>
          <w:p>
            <w:r/>
            <w:r>
              <w:rPr>
                <w:rFonts w:ascii="Times New Roman" w:hAnsi="Times New Roman"/>
                <w:b w:val="0"/>
                <w:sz w:val="16"/>
              </w:rPr>
              <w:t>Mutation-registry closure</w:t>
            </w:r>
          </w:p>
        </w:tc>
        <w:tc>
          <w:tcPr>
            <w:tcW w:type="dxa" w:w="4680"/>
            <w:vAlign w:val="top"/>
          </w:tcPr>
          <w:p>
            <w:r/>
            <w:r>
              <w:rPr>
                <w:rFonts w:ascii="Times New Roman" w:hAnsi="Times New Roman"/>
                <w:b w:val="0"/>
                <w:sz w:val="16"/>
              </w:rPr>
              <w:t>An authority-relevant transition occurs outside the observed mutation surface.</w:t>
            </w:r>
          </w:p>
        </w:tc>
        <w:tc>
          <w:tcPr>
            <w:tcW w:type="dxa" w:w="3312"/>
            <w:vAlign w:val="top"/>
          </w:tcPr>
          <w:p>
            <w:r/>
            <w:r>
              <w:rPr>
                <w:rFonts w:ascii="Times New Roman" w:hAnsi="Times New Roman"/>
                <w:b w:val="0"/>
                <w:sz w:val="16"/>
              </w:rPr>
              <w:t>Closure or safe UNAVAILABLE.</w:t>
            </w:r>
          </w:p>
        </w:tc>
      </w:tr>
      <w:tr>
        <w:tc>
          <w:tcPr>
            <w:tcW w:type="dxa" w:w="2376"/>
            <w:vAlign w:val="top"/>
          </w:tcPr>
          <w:p>
            <w:r/>
            <w:r>
              <w:rPr>
                <w:rFonts w:ascii="Times New Roman" w:hAnsi="Times New Roman"/>
                <w:b w:val="0"/>
                <w:sz w:val="16"/>
              </w:rPr>
              <w:t>Observation completeness</w:t>
            </w:r>
          </w:p>
        </w:tc>
        <w:tc>
          <w:tcPr>
            <w:tcW w:type="dxa" w:w="4680"/>
            <w:vAlign w:val="top"/>
          </w:tcPr>
          <w:p>
            <w:r/>
            <w:r>
              <w:rPr>
                <w:rFonts w:ascii="Times New Roman" w:hAnsi="Times New Roman"/>
                <w:b w:val="0"/>
                <w:sz w:val="16"/>
              </w:rPr>
              <w:t>An incomplete observation is treated as complete state.</w:t>
            </w:r>
          </w:p>
        </w:tc>
        <w:tc>
          <w:tcPr>
            <w:tcW w:type="dxa" w:w="3312"/>
            <w:vAlign w:val="top"/>
          </w:tcPr>
          <w:p>
            <w:r/>
            <w:r>
              <w:rPr>
                <w:rFonts w:ascii="Times New Roman" w:hAnsi="Times New Roman"/>
                <w:b w:val="0"/>
                <w:sz w:val="16"/>
              </w:rPr>
              <w:t>Completeness/admission evidence.</w:t>
            </w:r>
          </w:p>
        </w:tc>
      </w:tr>
      <w:tr>
        <w:tc>
          <w:tcPr>
            <w:tcW w:type="dxa" w:w="2376"/>
            <w:vAlign w:val="top"/>
          </w:tcPr>
          <w:p>
            <w:r/>
            <w:r>
              <w:rPr>
                <w:rFonts w:ascii="Times New Roman" w:hAnsi="Times New Roman"/>
                <w:b w:val="0"/>
                <w:sz w:val="16"/>
              </w:rPr>
              <w:t>Shutdown/successor ABA</w:t>
            </w:r>
          </w:p>
        </w:tc>
        <w:tc>
          <w:tcPr>
            <w:tcW w:type="dxa" w:w="4680"/>
            <w:vAlign w:val="top"/>
          </w:tcPr>
          <w:p>
            <w:r/>
            <w:r>
              <w:rPr>
                <w:rFonts w:ascii="Times New Roman" w:hAnsi="Times New Roman"/>
                <w:b w:val="0"/>
                <w:sz w:val="16"/>
              </w:rPr>
              <w:t>Visible identity returns after a discontinuity and inherits old authority.</w:t>
            </w:r>
          </w:p>
        </w:tc>
        <w:tc>
          <w:tcPr>
            <w:tcW w:type="dxa" w:w="3312"/>
            <w:vAlign w:val="top"/>
          </w:tcPr>
          <w:p>
            <w:r/>
            <w:r>
              <w:rPr>
                <w:rFonts w:ascii="Times New Roman" w:hAnsi="Times New Roman"/>
                <w:b w:val="0"/>
                <w:sz w:val="16"/>
              </w:rPr>
              <w:t>Successor lineage and boundary epoch.</w:t>
            </w:r>
          </w:p>
        </w:tc>
      </w:tr>
      <w:tr>
        <w:tc>
          <w:tcPr>
            <w:tcW w:type="dxa" w:w="2376"/>
            <w:vAlign w:val="top"/>
          </w:tcPr>
          <w:p>
            <w:r/>
            <w:r>
              <w:rPr>
                <w:rFonts w:ascii="Times New Roman" w:hAnsi="Times New Roman"/>
                <w:b w:val="0"/>
                <w:sz w:val="16"/>
              </w:rPr>
              <w:t>Commitment replay/equivocation</w:t>
            </w:r>
          </w:p>
        </w:tc>
        <w:tc>
          <w:tcPr>
            <w:tcW w:type="dxa" w:w="4680"/>
            <w:vAlign w:val="top"/>
          </w:tcPr>
          <w:p>
            <w:r/>
            <w:r>
              <w:rPr>
                <w:rFonts w:ascii="Times New Roman" w:hAnsi="Times New Roman"/>
                <w:b w:val="0"/>
                <w:sz w:val="16"/>
              </w:rPr>
              <w:t>Authentic commitments are replayed or conflicting states coexist.</w:t>
            </w:r>
          </w:p>
        </w:tc>
        <w:tc>
          <w:tcPr>
            <w:tcW w:type="dxa" w:w="3312"/>
            <w:vAlign w:val="top"/>
          </w:tcPr>
          <w:p>
            <w:r/>
            <w:r>
              <w:rPr>
                <w:rFonts w:ascii="Times New Roman" w:hAnsi="Times New Roman"/>
                <w:b w:val="0"/>
                <w:sz w:val="16"/>
              </w:rPr>
              <w:t>Freshness, uniqueness, anti-replay.</w:t>
            </w:r>
          </w:p>
        </w:tc>
      </w:tr>
      <w:tr>
        <w:tc>
          <w:tcPr>
            <w:tcW w:type="dxa" w:w="2376"/>
            <w:vAlign w:val="top"/>
          </w:tcPr>
          <w:p>
            <w:r/>
            <w:r>
              <w:rPr>
                <w:rFonts w:ascii="Times New Roman" w:hAnsi="Times New Roman"/>
                <w:b w:val="0"/>
                <w:sz w:val="16"/>
              </w:rPr>
              <w:t>Verifier rollback/split-brain</w:t>
            </w:r>
          </w:p>
        </w:tc>
        <w:tc>
          <w:tcPr>
            <w:tcW w:type="dxa" w:w="4680"/>
            <w:vAlign w:val="top"/>
          </w:tcPr>
          <w:p>
            <w:r/>
            <w:r>
              <w:rPr>
                <w:rFonts w:ascii="Times New Roman" w:hAnsi="Times New Roman"/>
                <w:b w:val="0"/>
                <w:sz w:val="16"/>
              </w:rPr>
              <w:t>Authority history moves backward or diverges.</w:t>
            </w:r>
          </w:p>
        </w:tc>
        <w:tc>
          <w:tcPr>
            <w:tcW w:type="dxa" w:w="3312"/>
            <w:vAlign w:val="top"/>
          </w:tcPr>
          <w:p>
            <w:r/>
            <w:r>
              <w:rPr>
                <w:rFonts w:ascii="Times New Roman" w:hAnsi="Times New Roman"/>
                <w:b w:val="0"/>
                <w:sz w:val="16"/>
              </w:rPr>
              <w:t>Non-rollbackable durable history.</w:t>
            </w:r>
          </w:p>
        </w:tc>
      </w:tr>
      <w:tr>
        <w:tc>
          <w:tcPr>
            <w:tcW w:type="dxa" w:w="2376"/>
            <w:vAlign w:val="top"/>
          </w:tcPr>
          <w:p>
            <w:r/>
            <w:r>
              <w:rPr>
                <w:rFonts w:ascii="Times New Roman" w:hAnsi="Times New Roman"/>
                <w:b w:val="0"/>
                <w:sz w:val="16"/>
              </w:rPr>
              <w:t>Anchor/source independence</w:t>
            </w:r>
          </w:p>
        </w:tc>
        <w:tc>
          <w:tcPr>
            <w:tcW w:type="dxa" w:w="4680"/>
            <w:vAlign w:val="top"/>
          </w:tcPr>
          <w:p>
            <w:r/>
            <w:r>
              <w:rPr>
                <w:rFonts w:ascii="Times New Roman" w:hAnsi="Times New Roman"/>
                <w:b w:val="0"/>
                <w:sz w:val="16"/>
              </w:rPr>
              <w:t>Multiple facts share one stale or compromised root.</w:t>
            </w:r>
          </w:p>
        </w:tc>
        <w:tc>
          <w:tcPr>
            <w:tcW w:type="dxa" w:w="3312"/>
            <w:vAlign w:val="top"/>
          </w:tcPr>
          <w:p>
            <w:r/>
            <w:r>
              <w:rPr>
                <w:rFonts w:ascii="Times New Roman" w:hAnsi="Times New Roman"/>
                <w:b w:val="0"/>
                <w:sz w:val="16"/>
              </w:rPr>
              <w:t>Provenance-aware independence.</w:t>
            </w:r>
          </w:p>
        </w:tc>
      </w:tr>
      <w:tr>
        <w:tc>
          <w:tcPr>
            <w:tcW w:type="dxa" w:w="2376"/>
            <w:vAlign w:val="top"/>
          </w:tcPr>
          <w:p>
            <w:r/>
            <w:r>
              <w:rPr>
                <w:rFonts w:ascii="Times New Roman" w:hAnsi="Times New Roman"/>
                <w:b w:val="0"/>
                <w:sz w:val="16"/>
              </w:rPr>
              <w:t>Control-plane false independence</w:t>
            </w:r>
          </w:p>
        </w:tc>
        <w:tc>
          <w:tcPr>
            <w:tcW w:type="dxa" w:w="4680"/>
            <w:vAlign w:val="top"/>
          </w:tcPr>
          <w:p>
            <w:r/>
            <w:r>
              <w:rPr>
                <w:rFonts w:ascii="Times New Roman" w:hAnsi="Times New Roman"/>
                <w:b w:val="0"/>
                <w:sz w:val="16"/>
              </w:rPr>
              <w:t>Separate controls share hidden control or collusion.</w:t>
            </w:r>
          </w:p>
        </w:tc>
        <w:tc>
          <w:tcPr>
            <w:tcW w:type="dxa" w:w="3312"/>
            <w:vAlign w:val="top"/>
          </w:tcPr>
          <w:p>
            <w:r/>
            <w:r>
              <w:rPr>
                <w:rFonts w:ascii="Times New Roman" w:hAnsi="Times New Roman"/>
                <w:b w:val="0"/>
                <w:sz w:val="16"/>
              </w:rPr>
              <w:t>Dependency-aware control-plane evidence.</w:t>
            </w:r>
          </w:p>
        </w:tc>
      </w:tr>
      <w:tr>
        <w:tc>
          <w:tcPr>
            <w:tcW w:type="dxa" w:w="2376"/>
            <w:vAlign w:val="top"/>
          </w:tcPr>
          <w:p>
            <w:r/>
            <w:r>
              <w:rPr>
                <w:rFonts w:ascii="Times New Roman" w:hAnsi="Times New Roman"/>
                <w:b w:val="0"/>
                <w:sz w:val="16"/>
              </w:rPr>
              <w:t>Delegation laundering</w:t>
            </w:r>
          </w:p>
        </w:tc>
        <w:tc>
          <w:tcPr>
            <w:tcW w:type="dxa" w:w="4680"/>
            <w:vAlign w:val="top"/>
          </w:tcPr>
          <w:p>
            <w:r/>
            <w:r>
              <w:rPr>
                <w:rFonts w:ascii="Times New Roman" w:hAnsi="Times New Roman"/>
                <w:b w:val="0"/>
                <w:sz w:val="16"/>
              </w:rPr>
              <w:t>Downstream authority exceeds or disconnects from its root grant.</w:t>
            </w:r>
          </w:p>
        </w:tc>
        <w:tc>
          <w:tcPr>
            <w:tcW w:type="dxa" w:w="3312"/>
            <w:vAlign w:val="top"/>
          </w:tcPr>
          <w:p>
            <w:r/>
            <w:r>
              <w:rPr>
                <w:rFonts w:ascii="Times New Roman" w:hAnsi="Times New Roman"/>
                <w:b w:val="0"/>
                <w:sz w:val="16"/>
              </w:rPr>
              <w:t>Grant lineage, scope preservation, event applicability.</w:t>
            </w:r>
          </w:p>
        </w:tc>
      </w:tr>
      <w:tr>
        <w:tc>
          <w:tcPr>
            <w:tcW w:type="dxa" w:w="2376"/>
            <w:vAlign w:val="top"/>
          </w:tcPr>
          <w:p>
            <w:r/>
            <w:r>
              <w:rPr>
                <w:rFonts w:ascii="Times New Roman" w:hAnsi="Times New Roman"/>
                <w:b w:val="0"/>
                <w:sz w:val="16"/>
              </w:rPr>
              <w:t>Human approval continuity</w:t>
            </w:r>
          </w:p>
        </w:tc>
        <w:tc>
          <w:tcPr>
            <w:tcW w:type="dxa" w:w="4680"/>
            <w:vAlign w:val="top"/>
          </w:tcPr>
          <w:p>
            <w:r/>
            <w:r>
              <w:rPr>
                <w:rFonts w:ascii="Times New Roman" w:hAnsi="Times New Roman"/>
                <w:b w:val="0"/>
                <w:sz w:val="16"/>
              </w:rPr>
              <w:t>Real approval is replayed, transferred, or consumed by another effect.</w:t>
            </w:r>
          </w:p>
        </w:tc>
        <w:tc>
          <w:tcPr>
            <w:tcW w:type="dxa" w:w="3312"/>
            <w:vAlign w:val="top"/>
          </w:tcPr>
          <w:p>
            <w:r/>
            <w:r>
              <w:rPr>
                <w:rFonts w:ascii="Times New Roman" w:hAnsi="Times New Roman"/>
                <w:b w:val="0"/>
                <w:sz w:val="16"/>
              </w:rPr>
              <w:t>Approval-to-effect/event binding.</w:t>
            </w:r>
          </w:p>
        </w:tc>
      </w:tr>
      <w:tr>
        <w:tc>
          <w:tcPr>
            <w:tcW w:type="dxa" w:w="2376"/>
            <w:vAlign w:val="top"/>
          </w:tcPr>
          <w:p>
            <w:r/>
            <w:r>
              <w:rPr>
                <w:rFonts w:ascii="Times New Roman" w:hAnsi="Times New Roman"/>
                <w:b w:val="0"/>
                <w:sz w:val="16"/>
              </w:rPr>
              <w:t>Tool/execution-target continuity</w:t>
            </w:r>
          </w:p>
        </w:tc>
        <w:tc>
          <w:tcPr>
            <w:tcW w:type="dxa" w:w="4680"/>
            <w:vAlign w:val="top"/>
          </w:tcPr>
          <w:p>
            <w:r/>
            <w:r>
              <w:rPr>
                <w:rFonts w:ascii="Times New Roman" w:hAnsi="Times New Roman"/>
                <w:b w:val="0"/>
                <w:sz w:val="16"/>
              </w:rPr>
              <w:t>A logical tool remains authorized while connector, backend, credential, or target changes.</w:t>
            </w:r>
          </w:p>
        </w:tc>
        <w:tc>
          <w:tcPr>
            <w:tcW w:type="dxa" w:w="3312"/>
            <w:vAlign w:val="top"/>
          </w:tcPr>
          <w:p>
            <w:r/>
            <w:r>
              <w:rPr>
                <w:rFonts w:ascii="Times New Roman" w:hAnsi="Times New Roman"/>
                <w:b w:val="0"/>
                <w:sz w:val="16"/>
              </w:rPr>
              <w:t>Canonical terminal target binding.</w:t>
            </w:r>
          </w:p>
        </w:tc>
      </w:tr>
      <w:tr>
        <w:tc>
          <w:tcPr>
            <w:tcW w:type="dxa" w:w="2376"/>
            <w:vAlign w:val="top"/>
          </w:tcPr>
          <w:p>
            <w:r/>
            <w:r>
              <w:rPr>
                <w:rFonts w:ascii="Times New Roman" w:hAnsi="Times New Roman"/>
                <w:b w:val="0"/>
                <w:sz w:val="16"/>
              </w:rPr>
              <w:t>Temporal composition</w:t>
            </w:r>
          </w:p>
        </w:tc>
        <w:tc>
          <w:tcPr>
            <w:tcW w:type="dxa" w:w="4680"/>
            <w:vAlign w:val="top"/>
          </w:tcPr>
          <w:p>
            <w:r/>
            <w:r>
              <w:rPr>
                <w:rFonts w:ascii="Times New Roman" w:hAnsi="Times New Roman"/>
                <w:b w:val="0"/>
                <w:sz w:val="16"/>
              </w:rPr>
              <w:t>Locally current authority heads refer to different execution events.</w:t>
            </w:r>
          </w:p>
        </w:tc>
        <w:tc>
          <w:tcPr>
            <w:tcW w:type="dxa" w:w="3312"/>
            <w:vAlign w:val="top"/>
          </w:tcPr>
          <w:p>
            <w:r/>
            <w:r>
              <w:rPr>
                <w:rFonts w:ascii="Times New Roman" w:hAnsi="Times New Roman"/>
                <w:b w:val="0"/>
                <w:sz w:val="16"/>
              </w:rPr>
              <w:t>Common-event convergence.</w:t>
            </w:r>
          </w:p>
        </w:tc>
      </w:tr>
    </w:tbl>
    <w:p>
      <w:pPr>
        <w:spacing w:after="40"/>
      </w:pPr>
    </w:p>
    <w:p>
      <w:pPr>
        <w:pStyle w:val="Heading2"/>
      </w:pPr>
      <w:r>
        <w:rPr>
          <w:rFonts w:ascii="Times New Roman" w:hAnsi="Times New Roman"/>
        </w:rPr>
        <w:t>7.1 Cross-Class Pattern</w:t>
      </w:r>
    </w:p>
    <w:p>
      <w:pPr>
        <w:pStyle w:val="BodyText"/>
        <w:spacing w:after="80"/>
      </w:pPr>
      <w:r>
        <w:rPr>
          <w:rFonts w:ascii="Times New Roman" w:hAnsi="Times New Roman"/>
          <w:b w:val="0"/>
          <w:i w:val="0"/>
        </w:rPr>
        <w:t>Across these classes, a state transition occurs after evidence was established. The system retains the evidence and the capability to act, then assumes the evidence still applies. The transition may be semantic, temporal, identity-related, boundary-related, observational, infrastructural, or compositional. The recurring failure is inherited authority without demonstrated continuity.</w:t>
      </w:r>
    </w:p>
    <w:p>
      <w:pPr>
        <w:pStyle w:val="Heading1"/>
      </w:pPr>
      <w:r>
        <w:rPr>
          <w:rFonts w:ascii="Times New Roman" w:hAnsi="Times New Roman"/>
        </w:rPr>
        <w:t>8. Repair Classes</w:t>
      </w:r>
    </w:p>
    <w:p>
      <w:pPr>
        <w:pStyle w:val="BodyText"/>
        <w:spacing w:after="80"/>
      </w:pPr>
      <w:r>
        <w:rPr>
          <w:rFonts w:ascii="Times New Roman" w:hAnsi="Times New Roman"/>
          <w:b w:val="0"/>
          <w:i w:val="0"/>
        </w:rPr>
        <w:t>Authority-continuity counterexamples repeatedly expose a smaller set of architectural problems. The repair classes below are not universal security laws. They are patterns derived from reproduced failures and reviewed design responses. A repair pattern is experimentally supported only where corresponding implementation, regression fixtures, positive controls, and exact-state review exist; otherwise it remains a normative design requirement.</w:t>
      </w:r>
    </w:p>
    <w:p>
      <w:pPr>
        <w:pStyle w:val="BodyText"/>
        <w:spacing w:after="80"/>
        <w:jc w:val="center"/>
      </w:pPr>
      <w:r>
        <w:rPr>
          <w:rFonts w:ascii="Times New Roman" w:hAnsi="Times New Roman"/>
          <w:b w:val="0"/>
          <w:i/>
        </w:rPr>
        <w:t>Authority continuity is not persistence of authorization; it is the persistence or re-establishment of the evidence required to justify authorization.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384"/>
            <w:vAlign w:val="top"/>
            <w:shd w:fill="D9E1F2"/>
          </w:tcPr>
          <w:p>
            <w:r/>
            <w:r>
              <w:rPr>
                <w:rFonts w:ascii="Times New Roman" w:hAnsi="Times New Roman"/>
                <w:b/>
                <w:sz w:val="17"/>
              </w:rPr>
              <w:t>Repair class</w:t>
            </w:r>
          </w:p>
        </w:tc>
        <w:tc>
          <w:tcPr>
            <w:tcW w:type="dxa" w:w="6984"/>
            <w:vAlign w:val="top"/>
            <w:shd w:fill="D9E1F2"/>
          </w:tcPr>
          <w:p>
            <w:r/>
            <w:r>
              <w:rPr>
                <w:rFonts w:ascii="Times New Roman" w:hAnsi="Times New Roman"/>
                <w:b/>
                <w:sz w:val="17"/>
              </w:rPr>
              <w:t>Core requirement</w:t>
            </w:r>
          </w:p>
        </w:tc>
      </w:tr>
      <w:tr>
        <w:tc>
          <w:tcPr>
            <w:tcW w:type="dxa" w:w="3384"/>
            <w:vAlign w:val="top"/>
          </w:tcPr>
          <w:p>
            <w:r/>
            <w:r>
              <w:rPr>
                <w:rFonts w:ascii="Times New Roman" w:hAnsi="Times New Roman"/>
                <w:b w:val="0"/>
                <w:sz w:val="17"/>
              </w:rPr>
              <w:t>Canonical binding</w:t>
            </w:r>
          </w:p>
        </w:tc>
        <w:tc>
          <w:tcPr>
            <w:tcW w:type="dxa" w:w="6984"/>
            <w:vAlign w:val="top"/>
          </w:tcPr>
          <w:p>
            <w:r/>
            <w:r>
              <w:rPr>
                <w:rFonts w:ascii="Times New Roman" w:hAnsi="Times New Roman"/>
                <w:b w:val="0"/>
                <w:sz w:val="17"/>
              </w:rPr>
              <w:t>Bind authority to the canonical subject, artifact, grant, effect, target, or event identity that matters.</w:t>
            </w:r>
          </w:p>
        </w:tc>
      </w:tr>
      <w:tr>
        <w:tc>
          <w:tcPr>
            <w:tcW w:type="dxa" w:w="3384"/>
            <w:vAlign w:val="top"/>
          </w:tcPr>
          <w:p>
            <w:r/>
            <w:r>
              <w:rPr>
                <w:rFonts w:ascii="Times New Roman" w:hAnsi="Times New Roman"/>
                <w:b w:val="0"/>
                <w:sz w:val="17"/>
              </w:rPr>
              <w:t>Closure</w:t>
            </w:r>
          </w:p>
        </w:tc>
        <w:tc>
          <w:tcPr>
            <w:tcW w:type="dxa" w:w="6984"/>
            <w:vAlign w:val="top"/>
          </w:tcPr>
          <w:p>
            <w:r/>
            <w:r>
              <w:rPr>
                <w:rFonts w:ascii="Times New Roman" w:hAnsi="Times New Roman"/>
                <w:b w:val="0"/>
                <w:sz w:val="17"/>
              </w:rPr>
              <w:t>Prevent authority-relevant transitions from occurring outside the evidence surface while old authority remains consumable.</w:t>
            </w:r>
          </w:p>
        </w:tc>
      </w:tr>
      <w:tr>
        <w:tc>
          <w:tcPr>
            <w:tcW w:type="dxa" w:w="3384"/>
            <w:vAlign w:val="top"/>
          </w:tcPr>
          <w:p>
            <w:r/>
            <w:r>
              <w:rPr>
                <w:rFonts w:ascii="Times New Roman" w:hAnsi="Times New Roman"/>
                <w:b w:val="0"/>
                <w:sz w:val="17"/>
              </w:rPr>
              <w:t>Explicit lineage</w:t>
            </w:r>
          </w:p>
        </w:tc>
        <w:tc>
          <w:tcPr>
            <w:tcW w:type="dxa" w:w="6984"/>
            <w:vAlign w:val="top"/>
          </w:tcPr>
          <w:p>
            <w:r/>
            <w:r>
              <w:rPr>
                <w:rFonts w:ascii="Times New Roman" w:hAnsi="Times New Roman"/>
                <w:b w:val="0"/>
                <w:sz w:val="17"/>
              </w:rPr>
              <w:t>Preserve auditable origin across delegation, succession, restart, and derived state.</w:t>
            </w:r>
          </w:p>
        </w:tc>
      </w:tr>
      <w:tr>
        <w:tc>
          <w:tcPr>
            <w:tcW w:type="dxa" w:w="3384"/>
            <w:vAlign w:val="top"/>
          </w:tcPr>
          <w:p>
            <w:r/>
            <w:r>
              <w:rPr>
                <w:rFonts w:ascii="Times New Roman" w:hAnsi="Times New Roman"/>
                <w:b w:val="0"/>
                <w:sz w:val="17"/>
              </w:rPr>
              <w:t>Non-rollbackable authority-relevant history</w:t>
            </w:r>
          </w:p>
        </w:tc>
        <w:tc>
          <w:tcPr>
            <w:tcW w:type="dxa" w:w="6984"/>
            <w:vAlign w:val="top"/>
          </w:tcPr>
          <w:p>
            <w:r/>
            <w:r>
              <w:rPr>
                <w:rFonts w:ascii="Times New Roman" w:hAnsi="Times New Roman"/>
                <w:b w:val="0"/>
                <w:sz w:val="17"/>
              </w:rPr>
              <w:t>Prevent disappearance of history from recreating obsolete authority; this does not require all state to be numerically monotonic.</w:t>
            </w:r>
          </w:p>
        </w:tc>
      </w:tr>
      <w:tr>
        <w:tc>
          <w:tcPr>
            <w:tcW w:type="dxa" w:w="3384"/>
            <w:vAlign w:val="top"/>
          </w:tcPr>
          <w:p>
            <w:r/>
            <w:r>
              <w:rPr>
                <w:rFonts w:ascii="Times New Roman" w:hAnsi="Times New Roman"/>
                <w:b w:val="0"/>
                <w:sz w:val="17"/>
              </w:rPr>
              <w:t>Provenance-aware independence</w:t>
            </w:r>
          </w:p>
        </w:tc>
        <w:tc>
          <w:tcPr>
            <w:tcW w:type="dxa" w:w="6984"/>
            <w:vAlign w:val="top"/>
          </w:tcPr>
          <w:p>
            <w:r/>
            <w:r>
              <w:rPr>
                <w:rFonts w:ascii="Times New Roman" w:hAnsi="Times New Roman"/>
                <w:b w:val="0"/>
                <w:sz w:val="17"/>
              </w:rPr>
              <w:t>Treat independence as an evidence property, not a count of interfaces or messages.</w:t>
            </w:r>
          </w:p>
        </w:tc>
      </w:tr>
      <w:tr>
        <w:tc>
          <w:tcPr>
            <w:tcW w:type="dxa" w:w="3384"/>
            <w:vAlign w:val="top"/>
          </w:tcPr>
          <w:p>
            <w:r/>
            <w:r>
              <w:rPr>
                <w:rFonts w:ascii="Times New Roman" w:hAnsi="Times New Roman"/>
                <w:b w:val="0"/>
                <w:sz w:val="17"/>
              </w:rPr>
              <w:t>Fail-closed uncertainty</w:t>
            </w:r>
          </w:p>
        </w:tc>
        <w:tc>
          <w:tcPr>
            <w:tcW w:type="dxa" w:w="6984"/>
            <w:vAlign w:val="top"/>
          </w:tcPr>
          <w:p>
            <w:r/>
            <w:r>
              <w:rPr>
                <w:rFonts w:ascii="Times New Roman" w:hAnsi="Times New Roman"/>
                <w:b w:val="0"/>
                <w:sz w:val="17"/>
              </w:rPr>
              <w:t>Missing required evidence yields UNAVAILABLE rather than permission.</w:t>
            </w:r>
          </w:p>
        </w:tc>
      </w:tr>
      <w:tr>
        <w:tc>
          <w:tcPr>
            <w:tcW w:type="dxa" w:w="3384"/>
            <w:vAlign w:val="top"/>
          </w:tcPr>
          <w:p>
            <w:r/>
            <w:r>
              <w:rPr>
                <w:rFonts w:ascii="Times New Roman" w:hAnsi="Times New Roman"/>
                <w:b w:val="0"/>
                <w:sz w:val="17"/>
              </w:rPr>
              <w:t>Exact effect binding</w:t>
            </w:r>
          </w:p>
        </w:tc>
        <w:tc>
          <w:tcPr>
            <w:tcW w:type="dxa" w:w="6984"/>
            <w:vAlign w:val="top"/>
          </w:tcPr>
          <w:p>
            <w:r/>
            <w:r>
              <w:rPr>
                <w:rFonts w:ascii="Times New Roman" w:hAnsi="Times New Roman"/>
                <w:b w:val="0"/>
                <w:sz w:val="17"/>
              </w:rPr>
              <w:t>Bind upstream authority to the terminal effect that consumes it.</w:t>
            </w:r>
          </w:p>
        </w:tc>
      </w:tr>
      <w:tr>
        <w:tc>
          <w:tcPr>
            <w:tcW w:type="dxa" w:w="3384"/>
            <w:vAlign w:val="top"/>
          </w:tcPr>
          <w:p>
            <w:r/>
            <w:r>
              <w:rPr>
                <w:rFonts w:ascii="Times New Roman" w:hAnsi="Times New Roman"/>
                <w:b w:val="0"/>
                <w:sz w:val="17"/>
              </w:rPr>
              <w:t>Boundary/epoch binding</w:t>
            </w:r>
          </w:p>
        </w:tc>
        <w:tc>
          <w:tcPr>
            <w:tcW w:type="dxa" w:w="6984"/>
            <w:vAlign w:val="top"/>
          </w:tcPr>
          <w:p>
            <w:r/>
            <w:r>
              <w:rPr>
                <w:rFonts w:ascii="Times New Roman" w:hAnsi="Times New Roman"/>
                <w:b w:val="0"/>
                <w:sz w:val="17"/>
              </w:rPr>
              <w:t>Require continuity evidence across structural discontinuities.</w:t>
            </w:r>
          </w:p>
        </w:tc>
      </w:tr>
      <w:tr>
        <w:tc>
          <w:tcPr>
            <w:tcW w:type="dxa" w:w="3384"/>
            <w:vAlign w:val="top"/>
          </w:tcPr>
          <w:p>
            <w:r/>
            <w:r>
              <w:rPr>
                <w:rFonts w:ascii="Times New Roman" w:hAnsi="Times New Roman"/>
                <w:b w:val="0"/>
                <w:sz w:val="17"/>
              </w:rPr>
              <w:t>Anti-replay binding</w:t>
            </w:r>
          </w:p>
        </w:tc>
        <w:tc>
          <w:tcPr>
            <w:tcW w:type="dxa" w:w="6984"/>
            <w:vAlign w:val="top"/>
          </w:tcPr>
          <w:p>
            <w:r/>
            <w:r>
              <w:rPr>
                <w:rFonts w:ascii="Times New Roman" w:hAnsi="Times New Roman"/>
                <w:b w:val="0"/>
                <w:sz w:val="17"/>
              </w:rPr>
              <w:t>Distinguish authenticity from current applicability.</w:t>
            </w:r>
          </w:p>
        </w:tc>
      </w:tr>
      <w:tr>
        <w:tc>
          <w:tcPr>
            <w:tcW w:type="dxa" w:w="3384"/>
            <w:vAlign w:val="top"/>
          </w:tcPr>
          <w:p>
            <w:r/>
            <w:r>
              <w:rPr>
                <w:rFonts w:ascii="Times New Roman" w:hAnsi="Times New Roman"/>
                <w:b w:val="0"/>
                <w:sz w:val="17"/>
              </w:rPr>
              <w:t>Durable consumption</w:t>
            </w:r>
          </w:p>
        </w:tc>
        <w:tc>
          <w:tcPr>
            <w:tcW w:type="dxa" w:w="6984"/>
            <w:vAlign w:val="top"/>
          </w:tcPr>
          <w:p>
            <w:r/>
            <w:r>
              <w:rPr>
                <w:rFonts w:ascii="Times New Roman" w:hAnsi="Times New Roman"/>
                <w:b w:val="0"/>
                <w:sz w:val="17"/>
              </w:rPr>
              <w:t>Preserve the fact that one-use authority has already been consumed.</w:t>
            </w:r>
          </w:p>
        </w:tc>
      </w:tr>
      <w:tr>
        <w:tc>
          <w:tcPr>
            <w:tcW w:type="dxa" w:w="3384"/>
            <w:vAlign w:val="top"/>
          </w:tcPr>
          <w:p>
            <w:r/>
            <w:r>
              <w:rPr>
                <w:rFonts w:ascii="Times New Roman" w:hAnsi="Times New Roman"/>
                <w:b w:val="0"/>
                <w:sz w:val="17"/>
              </w:rPr>
              <w:t>Common-event convergence</w:t>
            </w:r>
          </w:p>
        </w:tc>
        <w:tc>
          <w:tcPr>
            <w:tcW w:type="dxa" w:w="6984"/>
            <w:vAlign w:val="top"/>
          </w:tcPr>
          <w:p>
            <w:r/>
            <w:r>
              <w:rPr>
                <w:rFonts w:ascii="Times New Roman" w:hAnsi="Times New Roman"/>
                <w:b w:val="0"/>
                <w:sz w:val="17"/>
              </w:rPr>
              <w:t>Require all mandatory authority evidence to apply to the same protected execution event.</w:t>
            </w:r>
          </w:p>
        </w:tc>
      </w:tr>
      <w:tr>
        <w:tc>
          <w:tcPr>
            <w:tcW w:type="dxa" w:w="3384"/>
            <w:vAlign w:val="top"/>
          </w:tcPr>
          <w:p>
            <w:r/>
            <w:r>
              <w:rPr>
                <w:rFonts w:ascii="Times New Roman" w:hAnsi="Times New Roman"/>
                <w:b w:val="0"/>
                <w:sz w:val="17"/>
              </w:rPr>
              <w:t>Composite repair</w:t>
            </w:r>
          </w:p>
        </w:tc>
        <w:tc>
          <w:tcPr>
            <w:tcW w:type="dxa" w:w="6984"/>
            <w:vAlign w:val="top"/>
          </w:tcPr>
          <w:p>
            <w:r/>
            <w:r>
              <w:rPr>
                <w:rFonts w:ascii="Times New Roman" w:hAnsi="Times New Roman"/>
                <w:b w:val="0"/>
                <w:sz w:val="17"/>
              </w:rPr>
              <w:t>Evaluate whether individually correct controls are jointly applicable to the same execution.</w:t>
            </w:r>
          </w:p>
        </w:tc>
      </w:tr>
    </w:tbl>
    <w:p>
      <w:pPr>
        <w:spacing w:after="40"/>
      </w:pPr>
    </w:p>
    <w:p>
      <w:pPr>
        <w:pStyle w:val="Heading2"/>
      </w:pPr>
      <w:r>
        <w:rPr>
          <w:rFonts w:ascii="Times New Roman" w:hAnsi="Times New Roman"/>
        </w:rPr>
        <w:t>8.1 Canonical Binding</w:t>
      </w:r>
    </w:p>
    <w:p>
      <w:pPr>
        <w:pStyle w:val="BodyText"/>
        <w:spacing w:after="80"/>
      </w:pPr>
      <w:r>
        <w:rPr>
          <w:rFonts w:ascii="Times New Roman" w:hAnsi="Times New Roman"/>
          <w:b w:val="0"/>
          <w:i w:val="0"/>
        </w:rPr>
        <w:t>Authority should bind to the exact object whose identity matters to the decision. Weak designs often bind authority to a proxy - for example, approval to a workflow when the relevant requirement is approval of a protected effect, or tool authorization to a logical tool name when the authority-sensitive target is the resolved execution target.</w:t>
      </w:r>
    </w:p>
    <w:p>
      <w:pPr>
        <w:pStyle w:val="BodyText"/>
        <w:spacing w:after="80"/>
      </w:pPr>
      <w:r>
        <w:rPr>
          <w:rFonts w:ascii="Times New Roman" w:hAnsi="Times New Roman"/>
          <w:b w:val="0"/>
          <w:i w:val="0"/>
        </w:rPr>
        <w:t>General principle: if two states should not share authority, they must not collapse to the same authority binding. Binding is only useful if the bound identifier itself is trustworthy and stable; a perfectly bound false identity remains false evidence.</w:t>
      </w:r>
    </w:p>
    <w:p>
      <w:pPr>
        <w:pStyle w:val="Heading2"/>
      </w:pPr>
      <w:r>
        <w:rPr>
          <w:rFonts w:ascii="Times New Roman" w:hAnsi="Times New Roman"/>
        </w:rPr>
        <w:t>8.2 Closure Over Authority-Relevant Mutation</w:t>
      </w:r>
    </w:p>
    <w:p>
      <w:pPr>
        <w:pStyle w:val="BodyText"/>
        <w:spacing w:after="80"/>
      </w:pPr>
      <w:r>
        <w:rPr>
          <w:rFonts w:ascii="Times New Roman" w:hAnsi="Times New Roman"/>
          <w:b w:val="0"/>
          <w:i w:val="0"/>
        </w:rPr>
        <w:t>If an unobserved transition can change whether authority remains valid, the authority model is not closed over its relevant mutation surface. An authority-relevant transition must either be represented in the admitted evidence surface or force a state in which authority cannot safely be established. Closure is stronger than logging: old authority must not remain consumable across an invisible authority-relevant transition.</w:t>
      </w:r>
    </w:p>
    <w:p>
      <w:pPr>
        <w:pStyle w:val="BodyText"/>
        <w:spacing w:after="80"/>
      </w:pPr>
      <w:r>
        <w:rPr>
          <w:rFonts w:ascii="Times New Roman" w:hAnsi="Times New Roman"/>
          <w:b w:val="0"/>
          <w:i w:val="0"/>
        </w:rPr>
        <w:t>Closure is always relative to a stated model. Ground Truth does not prove that all physically possible authority-relevant mutations have been modeled; it tests whether the declared mutation surface behaves consistently.</w:t>
      </w:r>
    </w:p>
    <w:p>
      <w:pPr>
        <w:pStyle w:val="Heading2"/>
      </w:pPr>
      <w:r>
        <w:rPr>
          <w:rFonts w:ascii="Times New Roman" w:hAnsi="Times New Roman"/>
        </w:rPr>
        <w:t>8.3 Explicit Lineage</w:t>
      </w:r>
    </w:p>
    <w:p>
      <w:pPr>
        <w:pStyle w:val="BodyText"/>
        <w:spacing w:after="80"/>
      </w:pPr>
      <w:r>
        <w:rPr>
          <w:rFonts w:ascii="Times New Roman" w:hAnsi="Times New Roman"/>
          <w:b w:val="0"/>
          <w:i w:val="0"/>
        </w:rPr>
        <w:t>Authority that survives transformation must preserve evidence of where it came from. This is especially important across delegation, succession, restart, re-entry, derived artifacts, control-plane transitions, and authority-root changes. A terminal agent should not inherit authority solely because the final edge of a chain is authentic; the lineage must justify the resulting terminal authority.</w:t>
      </w:r>
    </w:p>
    <w:p>
      <w:pPr>
        <w:pStyle w:val="BodyText"/>
        <w:spacing w:after="80"/>
      </w:pPr>
      <w:r>
        <w:rPr>
          <w:rFonts w:ascii="Times New Roman" w:hAnsi="Times New Roman"/>
          <w:b w:val="0"/>
          <w:i w:val="0"/>
        </w:rPr>
        <w:t>Lineage establishes continuity only relative to the roots and transitions accepted by the model. If the root itself is false, compromised, or misidentified, lineage alone cannot recover external truth.</w:t>
      </w:r>
    </w:p>
    <w:p>
      <w:pPr>
        <w:pStyle w:val="Heading2"/>
      </w:pPr>
      <w:r>
        <w:rPr>
          <w:rFonts w:ascii="Times New Roman" w:hAnsi="Times New Roman"/>
        </w:rPr>
        <w:t>8.4 Non-Rollbackable Authority-Relevant History</w:t>
      </w:r>
    </w:p>
    <w:p>
      <w:pPr>
        <w:pStyle w:val="BodyText"/>
        <w:spacing w:after="80"/>
      </w:pPr>
      <w:r>
        <w:rPr>
          <w:rFonts w:ascii="Times New Roman" w:hAnsi="Times New Roman"/>
          <w:b w:val="0"/>
          <w:i w:val="0"/>
        </w:rPr>
        <w:t>The requirement is not that all authority state be numerically monotonic. Revocations, replacements, supersession, policy changes, and boundary transitions can change semantics. The requirement is that authority-relevant history whose disappearance would recreate obsolete authority cannot silently move backward.</w:t>
      </w:r>
    </w:p>
    <w:p>
      <w:pPr>
        <w:pStyle w:val="BodyText"/>
        <w:spacing w:after="80"/>
      </w:pPr>
      <w:r>
        <w:rPr>
          <w:rFonts w:ascii="Times New Roman" w:hAnsi="Times New Roman"/>
          <w:b w:val="0"/>
          <w:i w:val="0"/>
        </w:rPr>
        <w:t>Examples include consumed approvals, replay-prevention state, verifier history, revocations, successor epochs, commitment sequence state, and durable checkpoints. Ground Truth does not prescribe one universal persistence mechanism; the semantic requirement is that authority-invalidating history must not disappear in a way that recreates prior authority.</w:t>
      </w:r>
    </w:p>
    <w:p>
      <w:pPr>
        <w:pStyle w:val="Heading2"/>
      </w:pPr>
      <w:r>
        <w:rPr>
          <w:rFonts w:ascii="Times New Roman" w:hAnsi="Times New Roman"/>
        </w:rPr>
        <w:t>8.5 Provenance and Source Independence</w:t>
      </w:r>
    </w:p>
    <w:p>
      <w:pPr>
        <w:pStyle w:val="BodyText"/>
        <w:spacing w:after="80"/>
      </w:pPr>
      <w:r>
        <w:rPr>
          <w:rFonts w:ascii="Times New Roman" w:hAnsi="Times New Roman"/>
          <w:b w:val="0"/>
          <w:i w:val="0"/>
        </w:rPr>
        <w:t>Multiplicity does not establish independence. Several authority signals can still reduce to one effective source if they share an authority root, control plane, signer, witness lineage, acquisition path, or rollback domain. Where policy depends on independence, evidence must include enough provenance to evaluate that independence.</w:t>
      </w:r>
    </w:p>
    <w:p>
      <w:pPr>
        <w:pStyle w:val="BodyText"/>
        <w:spacing w:after="80"/>
      </w:pPr>
      <w:r>
        <w:rPr>
          <w:rFonts w:ascii="Times New Roman" w:hAnsi="Times New Roman"/>
          <w:b w:val="0"/>
          <w:i w:val="0"/>
        </w:rPr>
        <w:t>Ground Truth cannot detect hidden shared control if the dependency is absent from admitted evidence. This remains an explicit residual trust boundary.</w:t>
      </w:r>
    </w:p>
    <w:p>
      <w:pPr>
        <w:pStyle w:val="Heading2"/>
      </w:pPr>
      <w:r>
        <w:rPr>
          <w:rFonts w:ascii="Times New Roman" w:hAnsi="Times New Roman"/>
        </w:rPr>
        <w:t>8.6 Fail-Closed Uncertainty</w:t>
      </w:r>
    </w:p>
    <w:p>
      <w:pPr>
        <w:spacing w:before="80" w:after="120"/>
        <w:jc w:val="center"/>
      </w:pPr>
      <w:r>
        <w:rPr>
          <w:rFonts w:ascii="Times New Roman" w:hAnsi="Times New Roman"/>
          <w:b/>
          <w:sz w:val="22"/>
        </w:rPr>
        <w:t>MissingRequiredEvidence =&gt; UNAVAILABLE</w:t>
      </w:r>
    </w:p>
    <w:p>
      <w:pPr>
        <w:pStyle w:val="BodyText"/>
        <w:spacing w:after="80"/>
      </w:pPr>
      <w:r>
        <w:rPr>
          <w:rFonts w:ascii="Times New Roman" w:hAnsi="Times New Roman"/>
          <w:b w:val="0"/>
          <w:i w:val="0"/>
        </w:rPr>
        <w:t>Ground Truth rejects the inference NoProofOfDenial =&gt; AUTHORIZED. Missing, stale, conflicting, ambiguous, or otherwise insufficient authority evidence must not be converted into permission. Preserving UNAVAILABLE avoids manufacturing authority from uncertainty while also distinguishing uncertainty from positive denial.</w:t>
      </w:r>
    </w:p>
    <w:p>
      <w:pPr>
        <w:pStyle w:val="Heading2"/>
      </w:pPr>
      <w:r>
        <w:rPr>
          <w:rFonts w:ascii="Times New Roman" w:hAnsi="Times New Roman"/>
        </w:rPr>
        <w:t>8.7 Exact Effect Binding</w:t>
      </w:r>
    </w:p>
    <w:p>
      <w:pPr>
        <w:pStyle w:val="BodyText"/>
        <w:spacing w:after="80"/>
      </w:pPr>
      <w:r>
        <w:rPr>
          <w:rFonts w:ascii="Times New Roman" w:hAnsi="Times New Roman"/>
          <w:b w:val="0"/>
          <w:i w:val="0"/>
        </w:rPr>
        <w:t>Human approvals, delegations, policies, and tool authorizations often describe intent at a higher level than the terminal effect. If planning, connector resolution, backend selection, or resource mutation changes authority-relevant meaning, upstream authority must remain bound to the actual protected effect rather than merely to an intermediate abstraction.</w:t>
      </w:r>
    </w:p>
    <w:p>
      <w:pPr>
        <w:pStyle w:val="Heading2"/>
      </w:pPr>
      <w:r>
        <w:rPr>
          <w:rFonts w:ascii="Times New Roman" w:hAnsi="Times New Roman"/>
        </w:rPr>
        <w:t>8.8 Boundary and Epoch Binding</w:t>
      </w:r>
    </w:p>
    <w:p>
      <w:pPr>
        <w:pStyle w:val="BodyText"/>
        <w:spacing w:after="80"/>
      </w:pPr>
      <w:r>
        <w:rPr>
          <w:rFonts w:ascii="Times New Roman" w:hAnsi="Times New Roman"/>
          <w:b w:val="0"/>
          <w:i w:val="0"/>
        </w:rPr>
        <w:t>Structural discontinuities such as restart, successor replacement, trust-domain transition, re-entry, authority-root change, or control-plane replacement must not be treated as ordinary continuation. Authority crossing such a discontinuity requires evidence that continuity remains valid across the boundary. A correct repair must still permit legitimate successor transitions; otherwise it degenerates into blanket refusal.</w:t>
      </w:r>
    </w:p>
    <w:p>
      <w:pPr>
        <w:pStyle w:val="Heading2"/>
      </w:pPr>
      <w:r>
        <w:rPr>
          <w:rFonts w:ascii="Times New Roman" w:hAnsi="Times New Roman"/>
        </w:rPr>
        <w:t>8.9 Anti-Replay Binding</w:t>
      </w:r>
    </w:p>
    <w:p>
      <w:pPr>
        <w:pStyle w:val="BodyText"/>
        <w:spacing w:after="80"/>
      </w:pPr>
      <w:r>
        <w:rPr>
          <w:rFonts w:ascii="Times New Roman" w:hAnsi="Times New Roman"/>
          <w:b w:val="0"/>
          <w:i w:val="0"/>
        </w:rPr>
        <w:t>Authenticity answers whether evidence was genuinely produced; replay resistance answers whether that evidence remains applicable now. Replay-resistant authority evidence can require binding to an epoch, nonce, sequence, objective, subject, effect, validity interval, or execution event. The mechanism can vary; the property is that previously consumed or expired evidence cannot later be accepted as fresh authority.</w:t>
      </w:r>
    </w:p>
    <w:p>
      <w:pPr>
        <w:pStyle w:val="Heading2"/>
      </w:pPr>
      <w:r>
        <w:rPr>
          <w:rFonts w:ascii="Times New Roman" w:hAnsi="Times New Roman"/>
        </w:rPr>
        <w:t>8.10 Durable Consumption State</w:t>
      </w:r>
    </w:p>
    <w:p>
      <w:pPr>
        <w:pStyle w:val="BodyText"/>
        <w:spacing w:after="80"/>
      </w:pPr>
      <w:r>
        <w:rPr>
          <w:rFonts w:ascii="Times New Roman" w:hAnsi="Times New Roman"/>
          <w:b w:val="0"/>
          <w:i w:val="0"/>
        </w:rPr>
        <w:t>Some authority objects are consumable. Once a one-time approval, delegation, nonce, replay token, or execution authorization is consumed, that fact becomes authority-relevant state. If a restart or rollback forgets consumption, stale evidence can become usable again. Durable consumption therefore depends on preserving the fact of consumption across all transitions relevant to later authorization.</w:t>
      </w:r>
    </w:p>
    <w:p>
      <w:pPr>
        <w:pStyle w:val="Heading2"/>
      </w:pPr>
      <w:r>
        <w:rPr>
          <w:rFonts w:ascii="Times New Roman" w:hAnsi="Times New Roman"/>
        </w:rPr>
        <w:t>8.11 Common-Event Convergence</w:t>
      </w:r>
    </w:p>
    <w:p>
      <w:pPr>
        <w:pStyle w:val="BodyText"/>
        <w:spacing w:after="80"/>
      </w:pPr>
      <w:r>
        <w:rPr>
          <w:rFonts w:ascii="Times New Roman" w:hAnsi="Times New Roman"/>
          <w:b w:val="0"/>
          <w:i w:val="0"/>
        </w:rPr>
        <w:t>Common-event convergence is the key repair pattern emerging from temporal composition. Local freshness is insufficient when authority-bearing components refer to different execution histories. The stronger requirement is that every authority component required for a protected effect establish applicability to the same authority-consuming event.</w:t>
      </w:r>
    </w:p>
    <w:p>
      <w:pPr>
        <w:spacing w:before="80" w:after="120"/>
        <w:jc w:val="center"/>
      </w:pPr>
      <w:r>
        <w:rPr>
          <w:rFonts w:ascii="Times New Roman" w:hAnsi="Times New Roman"/>
          <w:b/>
          <w:sz w:val="22"/>
        </w:rPr>
        <w:t>AUTHORIZED(T) =&gt; for every required H_i: Current(H_i) AND Applies(H_i, T)</w:t>
      </w:r>
    </w:p>
    <w:p>
      <w:pPr>
        <w:spacing w:before="80" w:after="120"/>
        <w:jc w:val="center"/>
      </w:pPr>
      <w:r>
        <w:rPr>
          <w:rFonts w:ascii="Times New Roman" w:hAnsi="Times New Roman"/>
          <w:b/>
          <w:sz w:val="22"/>
        </w:rPr>
        <w:t>Local currentness does not imply globally current authority.</w:t>
      </w:r>
    </w:p>
    <w:p>
      <w:pPr>
        <w:pStyle w:val="BodyText"/>
        <w:spacing w:after="80"/>
      </w:pPr>
      <w:r>
        <w:rPr>
          <w:rFonts w:ascii="Times New Roman" w:hAnsi="Times New Roman"/>
          <w:b w:val="0"/>
          <w:i w:val="0"/>
        </w:rPr>
        <w:t>Common-event convergence differs from continuous authorization. It does not require every subsystem to continuously recompute authority. It requires that, when a protected effect is about to consume authority, the evidence required by policy be shown to apply to the same authority-consuming execution event.</w:t>
      </w:r>
    </w:p>
    <w:p>
      <w:pPr>
        <w:pStyle w:val="BodyText"/>
      </w:pPr>
      <w:r>
        <w:t>T3 evidence status: counterexample reproduced; design reviewed; implementation completed at 4e1eae61136fdda078c5e38f71e0f62f83fa92f9 (parent 74fba1f8fd537afb59996662affe1df64457d530); 411 prior fixtures migrated with zero prior expected-outcome changes; LAB-V1-412..443 added; 443/443 Authority Lab fixtures and 257/257 public tests passed; focused exact-head tests passed 7/7. Exact hostile verdict: PASS — NO REPRODUCIBLE IN-SCOPE CROSS-LAYER TEMPORAL-COMPOSITION OR STALE-EXECUTION BYPASS FOUND.</w:t>
      </w:r>
    </w:p>
    <w:p>
      <w:pPr>
        <w:pStyle w:val="Heading2"/>
      </w:pPr>
      <w:r>
        <w:rPr>
          <w:rFonts w:ascii="Times New Roman" w:hAnsi="Times New Roman"/>
        </w:rPr>
        <w:t>8.12 Composite Repair</w:t>
      </w:r>
    </w:p>
    <w:p>
      <w:pPr>
        <w:pStyle w:val="BodyText"/>
        <w:spacing w:after="80"/>
      </w:pPr>
      <w:r>
        <w:rPr>
          <w:rFonts w:ascii="Times New Roman" w:hAnsi="Times New Roman"/>
          <w:b w:val="0"/>
          <w:i w:val="0"/>
        </w:rPr>
        <w:t>Individually repaired authority modules do not automatically compose into globally correct authority. Composite repair introduces a higher-level requirement: the subject, artifact, lineage, boundary, target, provenance, and temporal evidence accepted by the local controls must remain jointly applicable to the same protected execution.</w:t>
      </w:r>
    </w:p>
    <w:p>
      <w:pPr>
        <w:pStyle w:val="Heading2"/>
      </w:pPr>
      <w:r>
        <w:rPr>
          <w:rFonts w:ascii="Times New Roman" w:hAnsi="Times New Roman"/>
        </w:rPr>
        <w:t>8.13 Positive Reachability as a Repair Constraint</w:t>
      </w:r>
    </w:p>
    <w:p>
      <w:pPr>
        <w:pStyle w:val="BodyText"/>
        <w:spacing w:after="80"/>
      </w:pPr>
      <w:r>
        <w:rPr>
          <w:rFonts w:ascii="Times New Roman" w:hAnsi="Times New Roman"/>
          <w:b w:val="0"/>
          <w:i w:val="0"/>
        </w:rPr>
        <w:t>The goal is not to transform every AUTHORIZED path into DENIED or UNAVAILABLE. A valid repair must reject or suspend invalid authority while preserving legitimate AUTHORIZED execution when all required evidence is present and applicable. Every repair should therefore be paired with adversarial fixtures and positive controls.</w:t>
      </w:r>
    </w:p>
    <w:p>
      <w:pPr>
        <w:pStyle w:val="Heading2"/>
      </w:pPr>
      <w:r>
        <w:rPr>
          <w:rFonts w:ascii="Times New Roman" w:hAnsi="Times New Roman"/>
        </w:rPr>
        <w:t>8.14 Repair Evidence Ladder</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152"/>
            <w:vAlign w:val="top"/>
            <w:shd w:fill="D9E1F2"/>
          </w:tcPr>
          <w:p>
            <w:r/>
            <w:r>
              <w:rPr>
                <w:rFonts w:ascii="Times New Roman" w:hAnsi="Times New Roman"/>
                <w:b/>
                <w:sz w:val="18"/>
              </w:rPr>
              <w:t>Level</w:t>
            </w:r>
          </w:p>
        </w:tc>
        <w:tc>
          <w:tcPr>
            <w:tcW w:type="dxa" w:w="9216"/>
            <w:vAlign w:val="top"/>
            <w:shd w:fill="D9E1F2"/>
          </w:tcPr>
          <w:p>
            <w:r/>
            <w:r>
              <w:rPr>
                <w:rFonts w:ascii="Times New Roman" w:hAnsi="Times New Roman"/>
                <w:b/>
                <w:sz w:val="18"/>
              </w:rPr>
              <w:t>Evidence state</w:t>
            </w:r>
          </w:p>
        </w:tc>
      </w:tr>
      <w:tr>
        <w:tc>
          <w:tcPr>
            <w:tcW w:type="dxa" w:w="1152"/>
            <w:vAlign w:val="top"/>
          </w:tcPr>
          <w:p>
            <w:r/>
            <w:r>
              <w:rPr>
                <w:rFonts w:ascii="Times New Roman" w:hAnsi="Times New Roman"/>
                <w:b w:val="0"/>
                <w:sz w:val="18"/>
              </w:rPr>
              <w:t>1</w:t>
            </w:r>
          </w:p>
        </w:tc>
        <w:tc>
          <w:tcPr>
            <w:tcW w:type="dxa" w:w="9216"/>
            <w:vAlign w:val="top"/>
          </w:tcPr>
          <w:p>
            <w:r/>
            <w:r>
              <w:rPr>
                <w:rFonts w:ascii="Times New Roman" w:hAnsi="Times New Roman"/>
                <w:b w:val="0"/>
                <w:sz w:val="18"/>
              </w:rPr>
              <w:t>Counterexample demonstrated</w:t>
            </w:r>
          </w:p>
        </w:tc>
      </w:tr>
      <w:tr>
        <w:tc>
          <w:tcPr>
            <w:tcW w:type="dxa" w:w="1152"/>
            <w:vAlign w:val="top"/>
          </w:tcPr>
          <w:p>
            <w:r/>
            <w:r>
              <w:rPr>
                <w:rFonts w:ascii="Times New Roman" w:hAnsi="Times New Roman"/>
                <w:b w:val="0"/>
                <w:sz w:val="18"/>
              </w:rPr>
              <w:t>2</w:t>
            </w:r>
          </w:p>
        </w:tc>
        <w:tc>
          <w:tcPr>
            <w:tcW w:type="dxa" w:w="9216"/>
            <w:vAlign w:val="top"/>
          </w:tcPr>
          <w:p>
            <w:r/>
            <w:r>
              <w:rPr>
                <w:rFonts w:ascii="Times New Roman" w:hAnsi="Times New Roman"/>
                <w:b w:val="0"/>
                <w:sz w:val="18"/>
              </w:rPr>
              <w:t>Repair requirement derived</w:t>
            </w:r>
          </w:p>
        </w:tc>
      </w:tr>
      <w:tr>
        <w:tc>
          <w:tcPr>
            <w:tcW w:type="dxa" w:w="1152"/>
            <w:vAlign w:val="top"/>
          </w:tcPr>
          <w:p>
            <w:r/>
            <w:r>
              <w:rPr>
                <w:rFonts w:ascii="Times New Roman" w:hAnsi="Times New Roman"/>
                <w:b w:val="0"/>
                <w:sz w:val="18"/>
              </w:rPr>
              <w:t>3</w:t>
            </w:r>
          </w:p>
        </w:tc>
        <w:tc>
          <w:tcPr>
            <w:tcW w:type="dxa" w:w="9216"/>
            <w:vAlign w:val="top"/>
          </w:tcPr>
          <w:p>
            <w:r/>
            <w:r>
              <w:rPr>
                <w:rFonts w:ascii="Times New Roman" w:hAnsi="Times New Roman"/>
                <w:b w:val="0"/>
                <w:sz w:val="18"/>
              </w:rPr>
              <w:t>Hostile-reviewed design</w:t>
            </w:r>
          </w:p>
        </w:tc>
      </w:tr>
      <w:tr>
        <w:tc>
          <w:tcPr>
            <w:tcW w:type="dxa" w:w="1152"/>
            <w:vAlign w:val="top"/>
          </w:tcPr>
          <w:p>
            <w:r/>
            <w:r>
              <w:rPr>
                <w:rFonts w:ascii="Times New Roman" w:hAnsi="Times New Roman"/>
                <w:b w:val="0"/>
                <w:sz w:val="18"/>
              </w:rPr>
              <w:t>4</w:t>
            </w:r>
          </w:p>
        </w:tc>
        <w:tc>
          <w:tcPr>
            <w:tcW w:type="dxa" w:w="9216"/>
            <w:vAlign w:val="top"/>
          </w:tcPr>
          <w:p>
            <w:r/>
            <w:r>
              <w:rPr>
                <w:rFonts w:ascii="Times New Roman" w:hAnsi="Times New Roman"/>
                <w:b w:val="0"/>
                <w:sz w:val="18"/>
              </w:rPr>
              <w:t>Implementation exists</w:t>
            </w:r>
          </w:p>
        </w:tc>
      </w:tr>
      <w:tr>
        <w:tc>
          <w:tcPr>
            <w:tcW w:type="dxa" w:w="1152"/>
            <w:vAlign w:val="top"/>
          </w:tcPr>
          <w:p>
            <w:r/>
            <w:r>
              <w:rPr>
                <w:rFonts w:ascii="Times New Roman" w:hAnsi="Times New Roman"/>
                <w:b w:val="0"/>
                <w:sz w:val="18"/>
              </w:rPr>
              <w:t>5</w:t>
            </w:r>
          </w:p>
        </w:tc>
        <w:tc>
          <w:tcPr>
            <w:tcW w:type="dxa" w:w="9216"/>
            <w:vAlign w:val="top"/>
          </w:tcPr>
          <w:p>
            <w:r/>
            <w:r>
              <w:rPr>
                <w:rFonts w:ascii="Times New Roman" w:hAnsi="Times New Roman"/>
                <w:b w:val="0"/>
                <w:sz w:val="18"/>
              </w:rPr>
              <w:t>Adversarial regression evidence</w:t>
            </w:r>
          </w:p>
        </w:tc>
      </w:tr>
      <w:tr>
        <w:tc>
          <w:tcPr>
            <w:tcW w:type="dxa" w:w="1152"/>
            <w:vAlign w:val="top"/>
          </w:tcPr>
          <w:p>
            <w:r/>
            <w:r>
              <w:rPr>
                <w:rFonts w:ascii="Times New Roman" w:hAnsi="Times New Roman"/>
                <w:b w:val="0"/>
                <w:sz w:val="18"/>
              </w:rPr>
              <w:t>6</w:t>
            </w:r>
          </w:p>
        </w:tc>
        <w:tc>
          <w:tcPr>
            <w:tcW w:type="dxa" w:w="9216"/>
            <w:vAlign w:val="top"/>
          </w:tcPr>
          <w:p>
            <w:r/>
            <w:r>
              <w:rPr>
                <w:rFonts w:ascii="Times New Roman" w:hAnsi="Times New Roman"/>
                <w:b w:val="0"/>
                <w:sz w:val="18"/>
              </w:rPr>
              <w:t>Positive AUTHORIZED reachability preserved</w:t>
            </w:r>
          </w:p>
        </w:tc>
      </w:tr>
      <w:tr>
        <w:tc>
          <w:tcPr>
            <w:tcW w:type="dxa" w:w="1152"/>
            <w:vAlign w:val="top"/>
          </w:tcPr>
          <w:p>
            <w:r/>
            <w:r>
              <w:rPr>
                <w:rFonts w:ascii="Times New Roman" w:hAnsi="Times New Roman"/>
                <w:b w:val="0"/>
                <w:sz w:val="18"/>
              </w:rPr>
              <w:t>7</w:t>
            </w:r>
          </w:p>
        </w:tc>
        <w:tc>
          <w:tcPr>
            <w:tcW w:type="dxa" w:w="9216"/>
            <w:vAlign w:val="top"/>
          </w:tcPr>
          <w:p>
            <w:r/>
            <w:r>
              <w:rPr>
                <w:rFonts w:ascii="Times New Roman" w:hAnsi="Times New Roman"/>
                <w:b w:val="0"/>
                <w:sz w:val="18"/>
              </w:rPr>
              <w:t>Exact-state hostile review</w:t>
            </w:r>
          </w:p>
        </w:tc>
      </w:tr>
    </w:tbl>
    <w:p>
      <w:pPr>
        <w:spacing w:after="40"/>
      </w:pPr>
    </w:p>
    <w:p>
      <w:pPr>
        <w:pStyle w:val="BodyText"/>
        <w:spacing w:after="80"/>
      </w:pPr>
      <w:r>
        <w:rPr>
          <w:rFonts w:ascii="Times New Roman" w:hAnsi="Times New Roman"/>
          <w:b w:val="0"/>
          <w:i w:val="0"/>
        </w:rPr>
        <w:t>These levels describe evidence maturity, not security quality, severity, or ranking.</w:t>
      </w:r>
    </w:p>
    <w:p>
      <w:pPr>
        <w:pStyle w:val="BodyText"/>
      </w:pPr>
      <w:r>
        <w:t>Verified frozen-v1 evidence levels: objective binding - 7; mutation closure - 7; observation completeness - 7; shutdown/successor - 7; commitment replay/equivocation - 7; verifier rollback - 7; source independence - 7; control-plane independence - 7; delegation - 7; human approval - 7; tool/execution-target - 7; T3 convergence - 7; Composite continuity - 7. These levels record the furthest completed evidence step for each class and must not be interpreted as comparative security scores.</w:t>
      </w:r>
    </w:p>
    <w:p>
      <w:pPr>
        <w:pStyle w:val="Heading2"/>
      </w:pPr>
      <w:r>
        <w:rPr>
          <w:rFonts w:ascii="Times New Roman" w:hAnsi="Times New Roman"/>
        </w:rPr>
        <w:t>8.15 Section Synthesis</w:t>
      </w:r>
    </w:p>
    <w:p>
      <w:pPr>
        <w:spacing w:before="80" w:after="120"/>
        <w:jc w:val="center"/>
      </w:pPr>
      <w:r>
        <w:rPr>
          <w:rFonts w:ascii="Times New Roman" w:hAnsi="Times New Roman"/>
          <w:b/>
          <w:sz w:val="22"/>
        </w:rPr>
        <w:t>All authority-bearing evidence consumed by an effect must converge on the same protected execution event.</w:t>
      </w:r>
    </w:p>
    <w:p>
      <w:pPr>
        <w:pStyle w:val="BodyText"/>
        <w:spacing w:after="80"/>
      </w:pPr>
      <w:r>
        <w:rPr>
          <w:rFonts w:ascii="Times New Roman" w:hAnsi="Times New Roman"/>
          <w:b w:val="0"/>
          <w:i w:val="0"/>
        </w:rPr>
        <w:t>This does not guarantee that admitted evidence is true, complete, or uncompromised. It establishes a narrower property: the system may not justify a present effect using authority evidence that belongs to a different subject, artifact, lineage, boundary, target, history, or execution event. Ground Truth treats that property as authority continuity.</w:t>
      </w:r>
    </w:p>
    <w:p>
      <w:pPr>
        <w:pStyle w:val="Heading1"/>
      </w:pPr>
      <w:r>
        <w:rPr>
          <w:rFonts w:ascii="Times New Roman" w:hAnsi="Times New Roman"/>
        </w:rPr>
        <w:t>9. Multi-Agent Delegation</w:t>
      </w:r>
    </w:p>
    <w:p>
      <w:pPr>
        <w:pStyle w:val="BodyText"/>
        <w:spacing w:after="80"/>
      </w:pPr>
      <w:r>
        <w:rPr>
          <w:rFonts w:ascii="Times New Roman" w:hAnsi="Times New Roman"/>
          <w:b w:val="0"/>
          <w:i w:val="0"/>
        </w:rPr>
        <w:t>Delegation allows authority to cross subjects. It therefore exposes the difference between valid local edges and valid terminal authority. A chain P -&gt; A -&gt; B is not sufficient merely because both edges are authentic; the terminal action must remain justified by the authority root and by every required constraint preserved along the chain.</w:t>
      </w:r>
    </w:p>
    <w:p>
      <w:pPr>
        <w:pStyle w:val="Heading2"/>
      </w:pPr>
      <w:r>
        <w:rPr>
          <w:rFonts w:ascii="Times New Roman" w:hAnsi="Times New Roman"/>
        </w:rPr>
        <w:t>9.1 Grant Identity and Scope</w:t>
      </w:r>
    </w:p>
    <w:p>
      <w:pPr>
        <w:pStyle w:val="BodyText"/>
        <w:spacing w:after="80"/>
      </w:pPr>
      <w:r>
        <w:rPr>
          <w:rFonts w:ascii="Times New Roman" w:hAnsi="Times New Roman"/>
          <w:b w:val="0"/>
          <w:i w:val="0"/>
        </w:rPr>
        <w:t>Delegation should preserve the identity of the root grant, allowed re-delegation, objective or artifact scope, subject lineage, boundary context, and temporal applicability. A downstream grant cannot manufacture authority absent from the upstream grant. Re-delegation is itself a permission and must not be inferred from mere ability to act.</w:t>
      </w:r>
    </w:p>
    <w:p>
      <w:pPr>
        <w:pStyle w:val="Heading2"/>
      </w:pPr>
      <w:r>
        <w:rPr>
          <w:rFonts w:ascii="Times New Roman" w:hAnsi="Times New Roman"/>
        </w:rPr>
        <w:t>9.2 Authority Laundering</w:t>
      </w:r>
    </w:p>
    <w:p>
      <w:pPr>
        <w:pStyle w:val="BodyText"/>
        <w:spacing w:after="80"/>
      </w:pPr>
      <w:r>
        <w:rPr>
          <w:rFonts w:ascii="Times New Roman" w:hAnsi="Times New Roman"/>
          <w:b w:val="0"/>
          <w:i w:val="0"/>
        </w:rPr>
        <w:t>Authority laundering occurs when an action that would not be authorized directly becomes apparently authorized after one or more transformations. Scope expansion, objective substitution, artifact substitution, boundary change, subject replacement, temporal drift, or loss of grant identity can each create this condition while every local record remains authentic.</w:t>
      </w:r>
    </w:p>
    <w:p>
      <w:pPr>
        <w:pStyle w:val="Heading2"/>
      </w:pPr>
      <w:r>
        <w:rPr>
          <w:rFonts w:ascii="Times New Roman" w:hAnsi="Times New Roman"/>
        </w:rPr>
        <w:t>9.3 Temporal Delegation</w:t>
      </w:r>
    </w:p>
    <w:p>
      <w:pPr>
        <w:pStyle w:val="BodyText"/>
        <w:spacing w:after="80"/>
      </w:pPr>
      <w:r>
        <w:rPr>
          <w:rFonts w:ascii="Times New Roman" w:hAnsi="Times New Roman"/>
          <w:b w:val="0"/>
          <w:i w:val="0"/>
        </w:rPr>
        <w:t>A delegation valid through event 2 does not authorize an effect at event 3 simply because the delegation record remains the subsystem's most recent valid head. Terminal authorization requires applicability to the event consuming the delegated authority.</w:t>
      </w:r>
    </w:p>
    <w:p>
      <w:pPr>
        <w:pStyle w:val="Heading2"/>
      </w:pPr>
      <w:r>
        <w:rPr>
          <w:rFonts w:ascii="Times New Roman" w:hAnsi="Times New Roman"/>
        </w:rPr>
        <w:t>9.4 Positive Control</w:t>
      </w:r>
    </w:p>
    <w:p>
      <w:pPr>
        <w:pStyle w:val="BodyText"/>
        <w:spacing w:after="80"/>
      </w:pPr>
      <w:r>
        <w:rPr>
          <w:rFonts w:ascii="Times New Roman" w:hAnsi="Times New Roman"/>
          <w:b w:val="0"/>
          <w:i w:val="0"/>
        </w:rPr>
        <w:t>A mature delegation repair must preserve a legitimate chain in which root grant, re-delegation permission, scope, subject lineage, boundary, and temporal applicability all reach the terminal effect.</w:t>
      </w:r>
    </w:p>
    <w:p>
      <w:pPr>
        <w:pStyle w:val="BodyText"/>
      </w:pPr>
      <w:r>
        <w:t>Reviewed delegation evidence reached Level 7. Hostile cases covered multi-agent delegation authority laundering, stale or transferred grant lineage, scope expansion, and execution-time applicability. The implemented repair requires the exact current grant path, scope, boundary, and effect relationship to remain established; missing continuity yields UNAVAILABLE and established revocation/prohibition yields DENIED. Positive controls preserve fresh, properly scoped delegation as AUTHORIZED.</w:t>
      </w:r>
    </w:p>
    <w:p>
      <w:pPr>
        <w:pStyle w:val="Heading1"/>
      </w:pPr>
      <w:r>
        <w:rPr>
          <w:rFonts w:ascii="Times New Roman" w:hAnsi="Times New Roman"/>
        </w:rPr>
        <w:t>10. Human Approval Continuity</w:t>
      </w:r>
    </w:p>
    <w:p>
      <w:pPr>
        <w:pStyle w:val="BodyText"/>
        <w:spacing w:after="80"/>
      </w:pPr>
      <w:r>
        <w:rPr>
          <w:rFonts w:ascii="Times New Roman" w:hAnsi="Times New Roman"/>
          <w:b w:val="0"/>
          <w:i w:val="0"/>
        </w:rPr>
        <w:t>Human approval is often treated as a high-confidence authorization signal. That confidence can obscure a continuity problem: the fact that a person genuinely approved something does not establish that the person approved the effect now being executed.</w:t>
      </w:r>
    </w:p>
    <w:p>
      <w:pPr>
        <w:spacing w:before="80" w:after="120"/>
        <w:jc w:val="center"/>
      </w:pPr>
      <w:r>
        <w:rPr>
          <w:rFonts w:ascii="Times New Roman" w:hAnsi="Times New Roman"/>
          <w:b/>
          <w:sz w:val="22"/>
        </w:rPr>
        <w:t>"A human approved something" is not the same as "a human approved this effect, by this actor, under this authority context, at this execution event."</w:t>
      </w:r>
    </w:p>
    <w:p>
      <w:pPr>
        <w:pStyle w:val="Heading2"/>
      </w:pPr>
      <w:r>
        <w:rPr>
          <w:rFonts w:ascii="Times New Roman" w:hAnsi="Times New Roman"/>
        </w:rPr>
        <w:t>10.1 Approval as Relational Evidence</w:t>
      </w:r>
    </w:p>
    <w:p>
      <w:pPr>
        <w:pStyle w:val="BodyText"/>
        <w:spacing w:after="80"/>
      </w:pPr>
      <w:r>
        <w:rPr>
          <w:rFonts w:ascii="Times New Roman" w:hAnsi="Times New Roman"/>
          <w:b w:val="0"/>
          <w:i w:val="0"/>
        </w:rPr>
        <w:t>Approval can need to bind to the approving principal, subject, objective, artifact, allowed effect, boundary, execution target, validity interval, and execution event. The precise set depends on the model and implementation; the essential requirement is that approval remain attributable to the protected effect actually being authorized.</w:t>
      </w:r>
    </w:p>
    <w:p>
      <w:pPr>
        <w:pStyle w:val="Heading2"/>
      </w:pPr>
      <w:r>
        <w:rPr>
          <w:rFonts w:ascii="Times New Roman" w:hAnsi="Times New Roman"/>
        </w:rPr>
        <w:t>10.2 Replay and Transfer</w:t>
      </w:r>
    </w:p>
    <w:p>
      <w:pPr>
        <w:pStyle w:val="BodyText"/>
        <w:spacing w:after="80"/>
      </w:pPr>
      <w:r>
        <w:rPr>
          <w:rFonts w:ascii="Times New Roman" w:hAnsi="Times New Roman"/>
          <w:b w:val="0"/>
          <w:i w:val="0"/>
        </w:rPr>
        <w:t>An authentic approval can become stale through replay or can be transferred across a different objective, artifact, agent, connector, account, or effect. Authenticity establishes origin; it does not establish present applicability. A stored approval object must therefore not operate as a bearer token for arbitrary later effects unless the policy explicitly defines it that way.</w:t>
      </w:r>
    </w:p>
    <w:p>
      <w:pPr>
        <w:pStyle w:val="Heading2"/>
      </w:pPr>
      <w:r>
        <w:rPr>
          <w:rFonts w:ascii="Times New Roman" w:hAnsi="Times New Roman"/>
        </w:rPr>
        <w:t>10.3 Approval and Effect Identity</w:t>
      </w:r>
    </w:p>
    <w:p>
      <w:pPr>
        <w:pStyle w:val="BodyText"/>
        <w:spacing w:after="80"/>
      </w:pPr>
      <w:r>
        <w:rPr>
          <w:rFonts w:ascii="Times New Roman" w:hAnsi="Times New Roman"/>
          <w:b w:val="0"/>
          <w:i w:val="0"/>
        </w:rPr>
        <w:t>Autonomous workflows often transform high-level intent into lower-level operations. Approval of an objective can be followed by planning, tool selection, connector resolution, backend selection, and terminal resource mutation. If those transformations materially change the protected effect, approval continuity must be re-established or the result must become DENIED or UNAVAILABLE according to the model.</w:t>
      </w:r>
    </w:p>
    <w:p>
      <w:pPr>
        <w:pStyle w:val="Heading2"/>
      </w:pPr>
      <w:r>
        <w:rPr>
          <w:rFonts w:ascii="Times New Roman" w:hAnsi="Times New Roman"/>
        </w:rPr>
        <w:t>10.4 Temporal Approval</w:t>
      </w:r>
    </w:p>
    <w:p>
      <w:pPr>
        <w:pStyle w:val="BodyText"/>
        <w:spacing w:after="80"/>
      </w:pPr>
      <w:r>
        <w:rPr>
          <w:rFonts w:ascii="Times New Roman" w:hAnsi="Times New Roman"/>
          <w:b w:val="0"/>
          <w:i w:val="0"/>
        </w:rPr>
        <w:t>An approval valid only through event 2 cannot justify a protected effect at event 3. A subsystem may still correctly report historical validity; the composition fails when historical validity is confused with applicability to the current authority-consuming event.</w:t>
      </w:r>
    </w:p>
    <w:p>
      <w:pPr>
        <w:pStyle w:val="Heading2"/>
      </w:pPr>
      <w:r>
        <w:rPr>
          <w:rFonts w:ascii="Times New Roman" w:hAnsi="Times New Roman"/>
        </w:rPr>
        <w:t>10.5 Human-in-the-Loop Implication</w:t>
      </w:r>
    </w:p>
    <w:p>
      <w:pPr>
        <w:pStyle w:val="BodyText"/>
        <w:spacing w:after="80"/>
      </w:pPr>
      <w:r>
        <w:rPr>
          <w:rFonts w:ascii="Times New Roman" w:hAnsi="Times New Roman"/>
          <w:b w:val="0"/>
          <w:i w:val="0"/>
        </w:rPr>
        <w:t>Human involvement does not remove the need for precise authority binding. Ambiguous approval can become more dangerous when downstream components over-trust its mere presence. Ground Truth therefore treats human approval as authority evidence that must be scoped and consumed, not as a universal override.</w:t>
      </w:r>
    </w:p>
    <w:p>
      <w:pPr>
        <w:pStyle w:val="Heading2"/>
      </w:pPr>
      <w:r>
        <w:rPr>
          <w:rFonts w:ascii="Times New Roman" w:hAnsi="Times New Roman"/>
        </w:rPr>
        <w:t>10.6 Evidence Required</w:t>
      </w:r>
    </w:p>
    <w:p>
      <w:pPr>
        <w:pStyle w:val="BodyText"/>
      </w:pPr>
      <w:r>
        <w:t>Reviewed human-approval continuity evidence reached Level 7. Hostile cases covered replay, transfer to a different effect or subject, approval aging, revocation, and approval that remained locally valid but did not apply to the terminal execution event. The repair binds approval identity and scope to the required effect/event context, preserves DENIED for established revocation, and uses UNAVAILABLE when required current applicability cannot be established. Fresh reapproval remains a positive AUTHORIZED path.</w:t>
      </w:r>
    </w:p>
    <w:p>
      <w:pPr>
        <w:pStyle w:val="Heading1"/>
      </w:pPr>
      <w:r>
        <w:rPr>
          <w:rFonts w:ascii="Times New Roman" w:hAnsi="Times New Roman"/>
        </w:rPr>
        <w:t>11. Tool and Execution-Target Continuity</w:t>
      </w:r>
    </w:p>
    <w:p>
      <w:pPr>
        <w:pStyle w:val="BodyText"/>
        <w:spacing w:after="80"/>
      </w:pPr>
      <w:r>
        <w:rPr>
          <w:rFonts w:ascii="Times New Roman" w:hAnsi="Times New Roman"/>
          <w:b w:val="0"/>
          <w:i w:val="0"/>
        </w:rPr>
        <w:t>Autonomous systems commonly authorize a logical tool while execution passes through several layers: tool abstraction -&gt; connector -&gt; backend or service -&gt; credential or account -&gt; terminal target. Authority can remain apparently valid at the logical layer while the real effect target changes below it.</w:t>
      </w:r>
    </w:p>
    <w:p>
      <w:pPr>
        <w:pStyle w:val="Heading2"/>
      </w:pPr>
      <w:r>
        <w:rPr>
          <w:rFonts w:ascii="Times New Roman" w:hAnsi="Times New Roman"/>
        </w:rPr>
        <w:t>11.1 Logical Tool Identity Is Insufficient</w:t>
      </w:r>
    </w:p>
    <w:p>
      <w:pPr>
        <w:pStyle w:val="BodyText"/>
        <w:spacing w:after="80"/>
      </w:pPr>
      <w:r>
        <w:rPr>
          <w:rFonts w:ascii="Times New Roman" w:hAnsi="Times New Roman"/>
          <w:b w:val="0"/>
          <w:i w:val="0"/>
        </w:rPr>
        <w:t>A tool name can remain constant while endpoint, connector, account, credential, permission set, region, tenant, or backend changes. If those properties are authority-relevant, authorization bound only to the logical tool is too weak.</w:t>
      </w:r>
    </w:p>
    <w:p>
      <w:pPr>
        <w:pStyle w:val="Heading2"/>
      </w:pPr>
      <w:r>
        <w:rPr>
          <w:rFonts w:ascii="Times New Roman" w:hAnsi="Times New Roman"/>
        </w:rPr>
        <w:t>11.2 Credential Continuity</w:t>
      </w:r>
    </w:p>
    <w:p>
      <w:pPr>
        <w:pStyle w:val="BodyText"/>
        <w:spacing w:after="80"/>
      </w:pPr>
      <w:r>
        <w:rPr>
          <w:rFonts w:ascii="Times New Roman" w:hAnsi="Times New Roman"/>
          <w:b w:val="0"/>
          <w:i w:val="0"/>
        </w:rPr>
        <w:t>A credential can remain technically valid after the authority for using it in the present context has changed. Credential possession establishes capability to authenticate; it does not by itself establish that the current subject, objective, boundary, and effect are authorized.</w:t>
      </w:r>
    </w:p>
    <w:p>
      <w:pPr>
        <w:pStyle w:val="Heading2"/>
      </w:pPr>
      <w:r>
        <w:rPr>
          <w:rFonts w:ascii="Times New Roman" w:hAnsi="Times New Roman"/>
        </w:rPr>
        <w:t>11.3 Permission Expansion and Backend Substitution</w:t>
      </w:r>
    </w:p>
    <w:p>
      <w:pPr>
        <w:pStyle w:val="BodyText"/>
        <w:spacing w:after="80"/>
      </w:pPr>
      <w:r>
        <w:rPr>
          <w:rFonts w:ascii="Times New Roman" w:hAnsi="Times New Roman"/>
          <w:b w:val="0"/>
          <w:i w:val="0"/>
        </w:rPr>
        <w:t>A connector can acquire broader permissions, or a logical operation can resolve to a backend with materially different effects. The authority system should bind the decision to the terminal effect identity required by policy and treat unresolved target identity as UNAVAILABLE rather than assuming equivalence.</w:t>
      </w:r>
    </w:p>
    <w:p>
      <w:pPr>
        <w:pStyle w:val="Heading2"/>
      </w:pPr>
      <w:r>
        <w:rPr>
          <w:rFonts w:ascii="Times New Roman" w:hAnsi="Times New Roman"/>
        </w:rPr>
        <w:t>11.4 Effect-Binding Chain</w:t>
      </w:r>
    </w:p>
    <w:p>
      <w:pPr>
        <w:pStyle w:val="BodyText"/>
        <w:spacing w:after="80"/>
      </w:pPr>
      <w:r>
        <w:rPr>
          <w:rFonts w:ascii="Times New Roman" w:hAnsi="Times New Roman"/>
          <w:b w:val="0"/>
          <w:i w:val="0"/>
        </w:rPr>
        <w:t>A robust authority chain should connect the upstream authorization object to the terminal effect actually executed. Intermediate components can remain implementation details only if they cannot alter authority-relevant meaning. Where they can, their identity or state becomes part of the evidence needed to establish the frozen model.</w:t>
      </w:r>
    </w:p>
    <w:p>
      <w:pPr>
        <w:pStyle w:val="Heading2"/>
      </w:pPr>
      <w:r>
        <w:rPr>
          <w:rFonts w:ascii="Times New Roman" w:hAnsi="Times New Roman"/>
        </w:rPr>
        <w:t>11.5 Evidence Required</w:t>
      </w:r>
    </w:p>
    <w:p>
      <w:pPr>
        <w:pStyle w:val="BodyText"/>
      </w:pPr>
      <w:r>
        <w:t>Reviewed tool/execution-target continuity evidence reached Level 7. Hostile cases covered logical-tool stability across connector substitution, backend change, credential hopping, permission expansion, and terminal-target change. The repair requires authority-relevant target and credential continuity through the protected execution. Exact authorized target continuity remains positively reachable; changed or unestablished target state fails closed.</w:t>
      </w:r>
    </w:p>
    <w:p>
      <w:pPr>
        <w:pStyle w:val="Heading1"/>
      </w:pPr>
      <w:r>
        <w:rPr>
          <w:rFonts w:ascii="Times New Roman" w:hAnsi="Times New Roman"/>
        </w:rPr>
        <w:t>12. Temporal Authority Convergence</w:t>
      </w:r>
    </w:p>
    <w:p>
      <w:pPr>
        <w:pStyle w:val="BodyText"/>
        <w:spacing w:after="80"/>
      </w:pPr>
      <w:r>
        <w:rPr>
          <w:rFonts w:ascii="Times New Roman" w:hAnsi="Times New Roman"/>
          <w:b w:val="0"/>
          <w:i w:val="0"/>
        </w:rPr>
        <w:t>Temporal authority convergence is the principal synthesis produced by the long-horizon counterexamples. It addresses a failure that ordinary freshness checks can miss: independently current authority components can still describe different execution histories.</w:t>
      </w:r>
    </w:p>
    <w:p>
      <w:pPr>
        <w:pStyle w:val="Heading2"/>
      </w:pPr>
      <w:r>
        <w:rPr>
          <w:rFonts w:ascii="Times New Roman" w:hAnsi="Times New Roman"/>
        </w:rPr>
        <w:t>12.1 Event Sequence</w:t>
      </w:r>
    </w:p>
    <w:p>
      <w:pPr>
        <w:pStyle w:val="BodyText"/>
        <w:spacing w:after="80"/>
      </w:pPr>
      <w:r>
        <w:rPr>
          <w:rFonts w:ascii="Times New Roman" w:hAnsi="Times New Roman"/>
          <w:b w:val="0"/>
          <w:i w:val="0"/>
        </w:rPr>
        <w:t>Consider an execution history T1 -&gt; T2 -&gt; T3. Human approval and delegation are valid only through T2. A protected tool effect occurs at T3. Each subsystem can retain its most recent internally valid record. If authorization asks only whether those records are locally current, the composite system can authorize T3 using authority that terminates at T2.</w:t>
      </w:r>
    </w:p>
    <w:p>
      <w:pPr>
        <w:pStyle w:val="Heading2"/>
      </w:pPr>
      <w:r>
        <w:rPr>
          <w:rFonts w:ascii="Times New Roman" w:hAnsi="Times New Roman"/>
        </w:rPr>
        <w:t>12.2 The Join Error</w:t>
      </w:r>
    </w:p>
    <w:p>
      <w:pPr>
        <w:pStyle w:val="BodyText"/>
        <w:spacing w:after="80"/>
      </w:pPr>
      <w:r>
        <w:rPr>
          <w:rFonts w:ascii="Times New Roman" w:hAnsi="Times New Roman"/>
          <w:b w:val="0"/>
          <w:i w:val="0"/>
        </w:rPr>
        <w:t>The defect is not necessarily a false local statement. Approval can truthfully report that an approval was valid. Delegation can truthfully report that a grant was valid. A verifier can truthfully report its local head. The invalid step is the join that treats those statements as authority for an execution to which they do not apply.</w:t>
      </w:r>
    </w:p>
    <w:p>
      <w:pPr>
        <w:spacing w:before="80" w:after="120"/>
        <w:jc w:val="center"/>
      </w:pPr>
      <w:r>
        <w:rPr>
          <w:rFonts w:ascii="Times New Roman" w:hAnsi="Times New Roman"/>
          <w:b/>
          <w:sz w:val="22"/>
        </w:rPr>
        <w:t>Local currentness does not imply globally current authority.</w:t>
      </w:r>
    </w:p>
    <w:p>
      <w:pPr>
        <w:pStyle w:val="Heading2"/>
      </w:pPr>
      <w:r>
        <w:rPr>
          <w:rFonts w:ascii="Times New Roman" w:hAnsi="Times New Roman"/>
        </w:rPr>
        <w:t>12.3 Canonical T3 Execution Event</w:t>
      </w:r>
    </w:p>
    <w:p>
      <w:pPr>
        <w:pStyle w:val="BodyText"/>
        <w:spacing w:after="80"/>
      </w:pPr>
      <w:r>
        <w:t>The implemented repair introduces one protected canonical T3_EXECUTION_EVENT as the common authority-consuming join point. Human approval, delegation, tool/connector state, policy, successor/boundary state, verifier state, anchors, witnesses, control-plane evidence, and the terminal effect bind or otherwise demonstrate applicability to that event where policy requires them.</w:t>
      </w:r>
    </w:p>
    <w:p>
      <w:pPr>
        <w:pStyle w:val="BodyText"/>
        <w:spacing w:after="80"/>
      </w:pPr>
      <w:r>
        <w:rPr>
          <w:rFonts w:ascii="Times New Roman" w:hAnsi="Times New Roman"/>
          <w:b w:val="0"/>
          <w:i w:val="0"/>
        </w:rPr>
        <w:t>T3_EXECUTION_EVENT does not create a seventh public tuple coordinate. It is evidence used to establish that the frozen authority requirements apply to the protected effect.</w:t>
      </w:r>
    </w:p>
    <w:p>
      <w:pPr>
        <w:pStyle w:val="Heading2"/>
      </w:pPr>
      <w:r>
        <w:rPr>
          <w:rFonts w:ascii="Times New Roman" w:hAnsi="Times New Roman"/>
        </w:rPr>
        <w:t>12.4 Not Continuous Authorization</w:t>
      </w:r>
    </w:p>
    <w:p>
      <w:pPr>
        <w:pStyle w:val="BodyText"/>
        <w:spacing w:after="80"/>
      </w:pPr>
      <w:r>
        <w:rPr>
          <w:rFonts w:ascii="Times New Roman" w:hAnsi="Times New Roman"/>
          <w:b w:val="0"/>
          <w:i w:val="0"/>
        </w:rPr>
        <w:t>Authority components can be evaluated asynchronously or cached. Common-event convergence requires only that, at the point authority is consumed, the system can establish that the mandatory evidence applies to the same protected execution.</w:t>
      </w:r>
    </w:p>
    <w:p>
      <w:pPr>
        <w:pStyle w:val="Heading2"/>
      </w:pPr>
      <w:r>
        <w:rPr>
          <w:rFonts w:ascii="Times New Roman" w:hAnsi="Times New Roman"/>
        </w:rPr>
        <w:t>12.5 Current Evidence Status</w:t>
      </w:r>
    </w:p>
    <w:p>
      <w:pPr>
        <w:pStyle w:val="BodyText"/>
        <w:spacing w:after="80"/>
      </w:pPr>
      <w:r>
        <w:t>The temporal finding progressed from a reproduced long-horizon counterexample to a reviewed common-event design and then to executable repair evidence. The repair does not assert continuous authorization; it establishes the applicability of required authority evidence at the protected execution event.</w:t>
      </w:r>
    </w:p>
    <w:p>
      <w:pPr>
        <w:pStyle w:val="BodyText"/>
      </w:pPr>
      <w:r>
        <w:t>Exact T3 checkpoint: branch fix/authority-lab-v1-t3-execution-event-convergence; HEAD 4e1eae61136fdda078c5e38f71e0f62f83fa92f9; parent 74fba1f8fd537afb59996662affe1df64457d530; new fixtures LAB-V1-412..443 (32); final T3 fixture count 443; 443/443 Authority Lab fixtures PASS; 257/257 public tests PASS; focused tests 7/7 PASS; zero prior expected-outcome changes. Verdict: PASS — NO REPRODUCIBLE IN-SCOPE CROSS-LAYER TEMPORAL-COMPOSITION OR STALE-EXECUTION BYPASS FOUND.</w:t>
      </w:r>
    </w:p>
    <w:p>
      <w:pPr>
        <w:pStyle w:val="Heading1"/>
      </w:pPr>
      <w:r>
        <w:rPr>
          <w:rFonts w:ascii="Times New Roman" w:hAnsi="Times New Roman"/>
        </w:rPr>
        <w:t>13. Composite Adversarial Control Continuity</w:t>
      </w:r>
    </w:p>
    <w:p>
      <w:pPr>
        <w:pStyle w:val="BodyText"/>
        <w:spacing w:after="80"/>
      </w:pPr>
      <w:r>
        <w:rPr>
          <w:rFonts w:ascii="Times New Roman" w:hAnsi="Times New Roman"/>
          <w:b w:val="0"/>
          <w:i w:val="0"/>
        </w:rPr>
        <w:t>Repairing individual authority modules is insufficient if their composition remains vulnerable. Composite testing asks whether individually acceptable controls are jointly applicable to the same terminal effect.</w:t>
      </w:r>
    </w:p>
    <w:p>
      <w:pPr>
        <w:pStyle w:val="Heading2"/>
      </w:pPr>
      <w:r>
        <w:rPr>
          <w:rFonts w:ascii="Times New Roman" w:hAnsi="Times New Roman"/>
        </w:rPr>
        <w:t>13.1 Locally Correct, Globally Invalid</w:t>
      </w:r>
    </w:p>
    <w:p>
      <w:pPr>
        <w:pStyle w:val="BodyText"/>
        <w:spacing w:after="80"/>
      </w:pPr>
      <w:r>
        <w:rPr>
          <w:rFonts w:ascii="Times New Roman" w:hAnsi="Times New Roman"/>
          <w:b w:val="0"/>
          <w:i w:val="0"/>
        </w:rPr>
        <w:t>A system can combine valid subject identity, valid approval, valid delegation, valid verifier state, valid connector state, and valid witnesses into an invalid authorization if those facts refer to different artifacts, boundaries, roots, targets, histories, or execution events. Composition therefore has its own attack surface.</w:t>
      </w:r>
    </w:p>
    <w:p>
      <w:pPr>
        <w:pStyle w:val="Heading2"/>
      </w:pPr>
      <w:r>
        <w:rPr>
          <w:rFonts w:ascii="Times New Roman" w:hAnsi="Times New Roman"/>
        </w:rPr>
        <w:t>13.2 Cross-Attack Synthesis</w:t>
      </w:r>
    </w:p>
    <w:p>
      <w:pPr>
        <w:pStyle w:val="BodyText"/>
        <w:spacing w:after="80"/>
      </w:pPr>
      <w:r>
        <w:rPr>
          <w:rFonts w:ascii="Times New Roman" w:hAnsi="Times New Roman"/>
          <w:b w:val="0"/>
          <w:i w:val="0"/>
        </w:rPr>
        <w:t>Composite fixtures should intentionally combine repaired classes: successor transitions with delegation, rollback with replay, approval with target substitution, source dependence with witness quorum, and temporal drift across multiple authority heads. Passing unit fixtures for each class is weaker evidence than surviving their adversarial composition.</w:t>
      </w:r>
    </w:p>
    <w:p>
      <w:pPr>
        <w:pStyle w:val="Heading2"/>
      </w:pPr>
      <w:r>
        <w:rPr>
          <w:rFonts w:ascii="Times New Roman" w:hAnsi="Times New Roman"/>
        </w:rPr>
        <w:t>13.3 Residual Correlation</w:t>
      </w:r>
    </w:p>
    <w:p>
      <w:pPr>
        <w:pStyle w:val="BodyText"/>
        <w:spacing w:after="80"/>
      </w:pPr>
      <w:r>
        <w:rPr>
          <w:rFonts w:ascii="Times New Roman" w:hAnsi="Times New Roman"/>
          <w:b w:val="0"/>
          <w:i w:val="0"/>
        </w:rPr>
        <w:t>Composite systems are particularly vulnerable to false independence. Multiple controls can fail together because they share the same source, clock, database, identity root, or control plane. The test corpus should therefore represent known dependency relationships and fail closed when required independence cannot be established.</w:t>
      </w:r>
    </w:p>
    <w:p>
      <w:pPr>
        <w:pStyle w:val="Heading2"/>
      </w:pPr>
      <w:r>
        <w:rPr>
          <w:rFonts w:ascii="Times New Roman" w:hAnsi="Times New Roman"/>
        </w:rPr>
        <w:t>13.4 Evidence Status</w:t>
      </w:r>
    </w:p>
    <w:p>
      <w:pPr>
        <w:pStyle w:val="BodyText"/>
      </w:pPr>
      <w:r>
        <w:t>Composite closure reached Level 7 on branch test/authority-lab-v1-composite-adversarial-continuity. Final HEAD 31d78aa158618ca8b72eb61e2f49b434e4319e9e (parent 406a37b4a0019a9eb9d8526b5d248dd1ebc6de20). LAB-V1-444..466 added 23 composite fixtures, bringing the corpus to 466. Public tests passed 259/259 at the Composite checkpoint; Authority Lab fixtures passed 466/466; focused Composite tests passed 2/2; relevant-family regression passed 7/7; eight direct hostile mutations failed closed; no executable Authority Lab code was changed by the Composite slice. Positive paths included fresh composite authority and recovery with current witness continuity. Verdict: PASS — NO REPRODUCIBLE IN-SCOPE COMPOSITE AUTHORITY-CONTINUITY COUNTEREXAMPLE FOUND.</w:t>
      </w:r>
    </w:p>
    <w:p>
      <w:pPr>
        <w:pStyle w:val="Heading1"/>
      </w:pPr>
      <w:r>
        <w:rPr>
          <w:rFonts w:ascii="Times New Roman" w:hAnsi="Times New Roman"/>
        </w:rPr>
        <w:t>14. Experimental Results</w:t>
      </w:r>
    </w:p>
    <w:p>
      <w:pPr>
        <w:pStyle w:val="BodyText"/>
        <w:spacing w:after="80"/>
      </w:pPr>
      <w:r>
        <w:t>The final reviewed freeze preserves the distinction between experimental evidence, normative requirements, repair evidence, and external assumptions. All numerical results below refer to exact Git states in the remotely inspectable reviewed v1 history. The freeze documentation commit records the frozen research HEAD separately so publication metadata is not conflated with the research result it describes.</w:t>
      </w:r>
    </w:p>
    <w:p>
      <w:pPr>
        <w:pStyle w:val="Heading2"/>
      </w:pPr>
      <w:r>
        <w:t>14.1 Reviewed Freeze State</w:t>
      </w:r>
    </w:p>
    <w:p>
      <w:pPr>
        <w:pStyle w:val="ListBullet"/>
        <w:spacing w:after="40"/>
      </w:pPr>
      <w:r>
        <w:t>Frozen contract: schema authority-lab-v1; exactly 6 tuple coordinates; exactly 6 invariants; exactly 3 outcomes.</w:t>
      </w:r>
    </w:p>
    <w:p>
      <w:pPr>
        <w:pStyle w:val="ListBullet"/>
        <w:spacing w:after="40"/>
      </w:pPr>
      <w:r>
        <w:t>Frozen corpus: LAB-V0-001..012 and LAB-V1-013..466; 466 total Authority Lab fixtures.</w:t>
      </w:r>
    </w:p>
    <w:p>
      <w:pPr>
        <w:pStyle w:val="ListBullet"/>
        <w:spacing w:after="40"/>
      </w:pPr>
      <w:r>
        <w:t>Frozen public regression suite: 260/260 PASS. Frozen Authority Lab corpus: 466/466 PASS.</w:t>
      </w:r>
    </w:p>
    <w:p>
      <w:pPr>
        <w:pStyle w:val="ListBullet"/>
        <w:spacing w:after="40"/>
      </w:pPr>
      <w:r>
        <w:t>Oracle independence: wrong expectations do not change the actual oracle verdict; CASE_MISMATCH records disagreement.</w:t>
      </w:r>
    </w:p>
    <w:p>
      <w:pPr>
        <w:pStyle w:val="ListBullet"/>
        <w:spacing w:after="40"/>
      </w:pPr>
      <w:r>
        <w:t>Determinism: identical canonical composite-positive input reproduced identical verdict/reason across five runs; targeted independence/determinism run 3/3 PASS.</w:t>
      </w:r>
    </w:p>
    <w:p>
      <w:pPr>
        <w:pStyle w:val="ListBullet"/>
        <w:spacing w:after="40"/>
      </w:pPr>
      <w:r>
        <w:t>T3 checkpoint: 4e1eae61136fdda078c5e38f71e0f62f83fa92f9; 443/443 fixtures; 257/257 public tests; focused 7/7 PASS.</w:t>
      </w:r>
    </w:p>
    <w:p>
      <w:pPr>
        <w:pStyle w:val="ListBullet"/>
        <w:spacing w:after="40"/>
      </w:pPr>
      <w:r>
        <w:t>Composite checkpoint: 31d78aa158618ca8b72eb61e2f49b434e4319e9e; 466/466 fixtures; 259/259 public tests; focused 2/2; relevant-family 7/7; hostile mutations 8/8 failed closed.</w:t>
      </w:r>
    </w:p>
    <w:p>
      <w:pPr>
        <w:pStyle w:val="ListBullet"/>
        <w:spacing w:after="40"/>
      </w:pPr>
      <w:r>
        <w:t>Research freeze: documentation commit 3d09acc804bc1271965696f2d9561143ca28b835 records frozen research HEAD 31d78aa158618ca8b72eb61e2f49b434e4319e9e. A test-only deterministic replay commit precedes the documentation freeze; no executable authority-model semantics changed during the freeze documentation step.</w:t>
      </w:r>
    </w:p>
    <w:p>
      <w:pPr>
        <w:pStyle w:val="Heading2"/>
      </w:pPr>
      <w:r>
        <w:t>14.2 Results Table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1944"/>
            <w:vAlign w:val="top"/>
            <w:shd w:fill="D9E1F2"/>
          </w:tcPr>
          <w:p>
            <w:r/>
            <w:r>
              <w:rPr>
                <w:rFonts w:ascii="Times New Roman" w:hAnsi="Times New Roman"/>
                <w:b/>
                <w:sz w:val="15"/>
              </w:rPr>
              <w:t>Failure class</w:t>
            </w:r>
          </w:p>
        </w:tc>
        <w:tc>
          <w:tcPr>
            <w:tcW w:type="dxa" w:w="1584"/>
            <w:vAlign w:val="top"/>
            <w:shd w:fill="D9E1F2"/>
          </w:tcPr>
          <w:p>
            <w:r/>
            <w:r>
              <w:rPr>
                <w:rFonts w:ascii="Times New Roman" w:hAnsi="Times New Roman"/>
                <w:b/>
                <w:sz w:val="15"/>
              </w:rPr>
              <w:t>Original observed</w:t>
            </w:r>
          </w:p>
        </w:tc>
        <w:tc>
          <w:tcPr>
            <w:tcW w:type="dxa" w:w="1584"/>
            <w:vAlign w:val="top"/>
            <w:shd w:fill="D9E1F2"/>
          </w:tcPr>
          <w:p>
            <w:r/>
            <w:r>
              <w:rPr>
                <w:rFonts w:ascii="Times New Roman" w:hAnsi="Times New Roman"/>
                <w:b/>
                <w:sz w:val="15"/>
              </w:rPr>
              <w:t>Normative required</w:t>
            </w:r>
          </w:p>
        </w:tc>
        <w:tc>
          <w:tcPr>
            <w:tcW w:type="dxa" w:w="1584"/>
            <w:vAlign w:val="top"/>
            <w:shd w:fill="D9E1F2"/>
          </w:tcPr>
          <w:p>
            <w:r/>
            <w:r>
              <w:rPr>
                <w:rFonts w:ascii="Times New Roman" w:hAnsi="Times New Roman"/>
                <w:b/>
                <w:sz w:val="15"/>
              </w:rPr>
              <w:t>Repaired observed</w:t>
            </w:r>
          </w:p>
        </w:tc>
        <w:tc>
          <w:tcPr>
            <w:tcW w:type="dxa" w:w="1224"/>
            <w:vAlign w:val="top"/>
            <w:shd w:fill="D9E1F2"/>
          </w:tcPr>
          <w:p>
            <w:r/>
            <w:r>
              <w:rPr>
                <w:rFonts w:ascii="Times New Roman" w:hAnsi="Times New Roman"/>
                <w:b/>
                <w:sz w:val="15"/>
              </w:rPr>
              <w:t>Evidence level</w:t>
            </w:r>
          </w:p>
        </w:tc>
        <w:tc>
          <w:tcPr>
            <w:tcW w:type="dxa" w:w="1800"/>
            <w:vAlign w:val="top"/>
            <w:shd w:fill="D9E1F2"/>
          </w:tcPr>
          <w:p>
            <w:r/>
            <w:r>
              <w:rPr>
                <w:rFonts w:ascii="Times New Roman" w:hAnsi="Times New Roman"/>
                <w:b/>
                <w:sz w:val="15"/>
              </w:rPr>
              <w:t>Exact artifact</w:t>
            </w:r>
          </w:p>
        </w:tc>
      </w:tr>
      <w:tr>
        <w:tc>
          <w:tcPr>
            <w:tcW w:type="dxa" w:w="1944"/>
            <w:vAlign w:val="top"/>
          </w:tcPr>
          <w:p>
            <w:r>
              <w:t>Objective binding</w:t>
            </w:r>
          </w:p>
        </w:tc>
        <w:tc>
          <w:tcPr>
            <w:tcW w:type="dxa" w:w="1584"/>
            <w:vAlign w:val="top"/>
          </w:tcPr>
          <w:p>
            <w:r>
              <w:t>Candidate evidence/contract could be correct for the wrong objective or context.</w:t>
            </w:r>
          </w:p>
        </w:tc>
        <w:tc>
          <w:tcPr>
            <w:tcW w:type="dxa" w:w="1584"/>
            <w:vAlign w:val="top"/>
          </w:tcPr>
          <w:p>
            <w:r>
              <w:t>Exact current authoritative objective-to-contract binding required.</w:t>
            </w:r>
          </w:p>
        </w:tc>
        <w:tc>
          <w:tcPr>
            <w:tcW w:type="dxa" w:w="1584"/>
            <w:vAlign w:val="top"/>
          </w:tcPr>
          <w:p>
            <w:r>
              <w:t>Wrong or unestablished binding fails closed; valid bound path remains AUTHORIZED.</w:t>
            </w:r>
          </w:p>
        </w:tc>
        <w:tc>
          <w:tcPr>
            <w:tcW w:type="dxa" w:w="1224"/>
            <w:vAlign w:val="top"/>
          </w:tcPr>
          <w:p>
            <w:r>
              <w:t>7</w:t>
            </w:r>
          </w:p>
        </w:tc>
        <w:tc>
          <w:tcPr>
            <w:tcW w:type="dxa" w:w="1800"/>
            <w:vAlign w:val="top"/>
          </w:tcPr>
          <w:p>
            <w:r>
              <w:t>Freeze evidence manifest GT-PAPER-005</w:t>
            </w:r>
          </w:p>
        </w:tc>
      </w:tr>
      <w:tr>
        <w:tc>
          <w:tcPr>
            <w:tcW w:type="dxa" w:w="1944"/>
            <w:vAlign w:val="top"/>
          </w:tcPr>
          <w:p>
            <w:r>
              <w:t>Mutation-registry closure</w:t>
            </w:r>
          </w:p>
        </w:tc>
        <w:tc>
          <w:tcPr>
            <w:tcW w:type="dxa" w:w="1584"/>
            <w:vAlign w:val="top"/>
          </w:tcPr>
          <w:p>
            <w:r>
              <w:t>Authority-relevant mutation could occur outside the observed mutation surface.</w:t>
            </w:r>
          </w:p>
        </w:tc>
        <w:tc>
          <w:tcPr>
            <w:tcW w:type="dxa" w:w="1584"/>
            <w:vAlign w:val="top"/>
          </w:tcPr>
          <w:p>
            <w:r>
              <w:t>Mutation surface must be closed or uncertainty must fail closed.</w:t>
            </w:r>
          </w:p>
        </w:tc>
        <w:tc>
          <w:tcPr>
            <w:tcW w:type="dxa" w:w="1584"/>
            <w:vAlign w:val="top"/>
          </w:tcPr>
          <w:p>
            <w:r>
              <w:t>Unregistered/ambiguous authority-relevant transition no longer inherits prior authority.</w:t>
            </w:r>
          </w:p>
        </w:tc>
        <w:tc>
          <w:tcPr>
            <w:tcW w:type="dxa" w:w="1224"/>
            <w:vAlign w:val="top"/>
          </w:tcPr>
          <w:p>
            <w:r>
              <w:t>7</w:t>
            </w:r>
          </w:p>
        </w:tc>
        <w:tc>
          <w:tcPr>
            <w:tcW w:type="dxa" w:w="1800"/>
            <w:vAlign w:val="top"/>
          </w:tcPr>
          <w:p>
            <w:r>
              <w:t>Freeze evidence manifest / mutation closure slice</w:t>
            </w:r>
          </w:p>
        </w:tc>
      </w:tr>
      <w:tr>
        <w:tc>
          <w:tcPr>
            <w:tcW w:type="dxa" w:w="1944"/>
            <w:vAlign w:val="top"/>
          </w:tcPr>
          <w:p>
            <w:r>
              <w:t>Observation completeness</w:t>
            </w:r>
          </w:p>
        </w:tc>
        <w:tc>
          <w:tcPr>
            <w:tcW w:type="dxa" w:w="1584"/>
            <w:vAlign w:val="top"/>
          </w:tcPr>
          <w:p>
            <w:r>
              <w:t>Incomplete observation could be treated as complete authority state.</w:t>
            </w:r>
          </w:p>
        </w:tc>
        <w:tc>
          <w:tcPr>
            <w:tcW w:type="dxa" w:w="1584"/>
            <w:vAlign w:val="top"/>
          </w:tcPr>
          <w:p>
            <w:r>
              <w:t>Admission/completeness must itself be established.</w:t>
            </w:r>
          </w:p>
        </w:tc>
        <w:tc>
          <w:tcPr>
            <w:tcW w:type="dxa" w:w="1584"/>
            <w:vAlign w:val="top"/>
          </w:tcPr>
          <w:p>
            <w:r>
              <w:t>Missing or unestablished required observation becomes UNAVAILABLE.</w:t>
            </w:r>
          </w:p>
        </w:tc>
        <w:tc>
          <w:tcPr>
            <w:tcW w:type="dxa" w:w="1224"/>
            <w:vAlign w:val="top"/>
          </w:tcPr>
          <w:p>
            <w:r>
              <w:t>7</w:t>
            </w:r>
          </w:p>
        </w:tc>
        <w:tc>
          <w:tcPr>
            <w:tcW w:type="dxa" w:w="1800"/>
            <w:vAlign w:val="top"/>
          </w:tcPr>
          <w:p>
            <w:r>
              <w:t>Freeze evidence manifest GT-PAPER-006</w:t>
            </w:r>
          </w:p>
        </w:tc>
      </w:tr>
      <w:tr>
        <w:tc>
          <w:tcPr>
            <w:tcW w:type="dxa" w:w="1944"/>
            <w:vAlign w:val="top"/>
          </w:tcPr>
          <w:p>
            <w:r>
              <w:t>Shutdown/successor ABA</w:t>
            </w:r>
          </w:p>
        </w:tc>
        <w:tc>
          <w:tcPr>
            <w:tcW w:type="dxa" w:w="1584"/>
            <w:vAlign w:val="top"/>
          </w:tcPr>
          <w:p>
            <w:r>
              <w:t>Restored visible identity could inherit predecessor authority after discontinuity.</w:t>
            </w:r>
          </w:p>
        </w:tc>
        <w:tc>
          <w:tcPr>
            <w:tcW w:type="dxa" w:w="1584"/>
            <w:vAlign w:val="top"/>
          </w:tcPr>
          <w:p>
            <w:r>
              <w:t>Successor/restart authority must be path-sensitive, not endpoint-only.</w:t>
            </w:r>
          </w:p>
        </w:tc>
        <w:tc>
          <w:tcPr>
            <w:tcW w:type="dxa" w:w="1584"/>
            <w:vAlign w:val="top"/>
          </w:tcPr>
          <w:p>
            <w:r>
              <w:t>ABA/re-entry without exact continuity fails closed; valid successor path remains reachable.</w:t>
            </w:r>
          </w:p>
        </w:tc>
        <w:tc>
          <w:tcPr>
            <w:tcW w:type="dxa" w:w="1224"/>
            <w:vAlign w:val="top"/>
          </w:tcPr>
          <w:p>
            <w:r>
              <w:t>7</w:t>
            </w:r>
          </w:p>
        </w:tc>
        <w:tc>
          <w:tcPr>
            <w:tcW w:type="dxa" w:w="1800"/>
            <w:vAlign w:val="top"/>
          </w:tcPr>
          <w:p>
            <w:r>
              <w:t>Freeze evidence manifest GT-PAPER-007</w:t>
            </w:r>
          </w:p>
        </w:tc>
      </w:tr>
      <w:tr>
        <w:tc>
          <w:tcPr>
            <w:tcW w:type="dxa" w:w="1944"/>
            <w:vAlign w:val="top"/>
          </w:tcPr>
          <w:p>
            <w:r>
              <w:t>Commitment replay/equivocation</w:t>
            </w:r>
          </w:p>
        </w:tc>
        <w:tc>
          <w:tcPr>
            <w:tcW w:type="dxa" w:w="1584"/>
            <w:vAlign w:val="top"/>
          </w:tcPr>
          <w:p>
            <w:r>
              <w:t>Authentic old/conflicting commitments could be reused as current evidence.</w:t>
            </w:r>
          </w:p>
        </w:tc>
        <w:tc>
          <w:tcPr>
            <w:tcW w:type="dxa" w:w="1584"/>
            <w:vAlign w:val="top"/>
          </w:tcPr>
          <w:p>
            <w:r>
              <w:t>Commitments require exact freshness, lineage, and conflict handling.</w:t>
            </w:r>
          </w:p>
        </w:tc>
        <w:tc>
          <w:tcPr>
            <w:tcW w:type="dxa" w:w="1584"/>
            <w:vAlign w:val="top"/>
          </w:tcPr>
          <w:p>
            <w:r>
              <w:t>Replay/equivocation paths fail closed; current committed path remains reachable.</w:t>
            </w:r>
          </w:p>
        </w:tc>
        <w:tc>
          <w:tcPr>
            <w:tcW w:type="dxa" w:w="1224"/>
            <w:vAlign w:val="top"/>
          </w:tcPr>
          <w:p>
            <w:r>
              <w:t>7</w:t>
            </w:r>
          </w:p>
        </w:tc>
        <w:tc>
          <w:tcPr>
            <w:tcW w:type="dxa" w:w="1800"/>
            <w:vAlign w:val="top"/>
          </w:tcPr>
          <w:p>
            <w:r>
              <w:t>Freeze evidence manifest GT-PAPER-008</w:t>
            </w:r>
          </w:p>
        </w:tc>
      </w:tr>
      <w:tr>
        <w:tc>
          <w:tcPr>
            <w:tcW w:type="dxa" w:w="1944"/>
            <w:vAlign w:val="top"/>
          </w:tcPr>
          <w:p>
            <w:r>
              <w:t>Verifier rollback/split-brain</w:t>
            </w:r>
          </w:p>
        </w:tc>
        <w:tc>
          <w:tcPr>
            <w:tcW w:type="dxa" w:w="1584"/>
            <w:vAlign w:val="top"/>
          </w:tcPr>
          <w:p>
            <w:r>
              <w:t>Verifier state could regress or diverge while appearing locally valid.</w:t>
            </w:r>
          </w:p>
        </w:tc>
        <w:tc>
          <w:tcPr>
            <w:tcW w:type="dxa" w:w="1584"/>
            <w:vAlign w:val="top"/>
          </w:tcPr>
          <w:p>
            <w:r>
              <w:t>Current verifier authority must be anchored to non-rolled-back evidence.</w:t>
            </w:r>
          </w:p>
        </w:tc>
        <w:tc>
          <w:tcPr>
            <w:tcW w:type="dxa" w:w="1584"/>
            <w:vAlign w:val="top"/>
          </w:tcPr>
          <w:p>
            <w:r>
              <w:t>Rollback/split-brain without current anchor evidence fails closed.</w:t>
            </w:r>
          </w:p>
        </w:tc>
        <w:tc>
          <w:tcPr>
            <w:tcW w:type="dxa" w:w="1224"/>
            <w:vAlign w:val="top"/>
          </w:tcPr>
          <w:p>
            <w:r>
              <w:t>7</w:t>
            </w:r>
          </w:p>
        </w:tc>
        <w:tc>
          <w:tcPr>
            <w:tcW w:type="dxa" w:w="1800"/>
            <w:vAlign w:val="top"/>
          </w:tcPr>
          <w:p>
            <w:r>
              <w:t>Freeze evidence manifest GT-PAPER-009</w:t>
            </w:r>
          </w:p>
        </w:tc>
      </w:tr>
      <w:tr>
        <w:tc>
          <w:tcPr>
            <w:tcW w:type="dxa" w:w="1944"/>
            <w:vAlign w:val="top"/>
          </w:tcPr>
          <w:p>
            <w:r>
              <w:t>Anchor/source independence</w:t>
            </w:r>
          </w:p>
        </w:tc>
        <w:tc>
          <w:tcPr>
            <w:tcW w:type="dxa" w:w="1584"/>
            <w:vAlign w:val="top"/>
          </w:tcPr>
          <w:p>
            <w:r>
              <w:t>Several records could share one stale/common source.</w:t>
            </w:r>
          </w:p>
        </w:tc>
        <w:tc>
          <w:tcPr>
            <w:tcW w:type="dxa" w:w="1584"/>
            <w:vAlign w:val="top"/>
          </w:tcPr>
          <w:p>
            <w:r>
              <w:t>Independence is a provenance/control property, not multiplicity.</w:t>
            </w:r>
          </w:p>
        </w:tc>
        <w:tc>
          <w:tcPr>
            <w:tcW w:type="dxa" w:w="1584"/>
            <w:vAlign w:val="top"/>
          </w:tcPr>
          <w:p>
            <w:r>
              <w:t>Correlated sources cannot substitute for required independence.</w:t>
            </w:r>
          </w:p>
        </w:tc>
        <w:tc>
          <w:tcPr>
            <w:tcW w:type="dxa" w:w="1224"/>
            <w:vAlign w:val="top"/>
          </w:tcPr>
          <w:p>
            <w:r>
              <w:t>7</w:t>
            </w:r>
          </w:p>
        </w:tc>
        <w:tc>
          <w:tcPr>
            <w:tcW w:type="dxa" w:w="1800"/>
            <w:vAlign w:val="top"/>
          </w:tcPr>
          <w:p>
            <w:r>
              <w:t>Freeze evidence manifest GT-PAPER-010</w:t>
            </w:r>
          </w:p>
        </w:tc>
      </w:tr>
      <w:tr>
        <w:tc>
          <w:tcPr>
            <w:tcW w:type="dxa" w:w="1944"/>
            <w:vAlign w:val="top"/>
          </w:tcPr>
          <w:p>
            <w:r>
              <w:t>Control-plane independence</w:t>
            </w:r>
          </w:p>
        </w:tc>
        <w:tc>
          <w:tcPr>
            <w:tcW w:type="dxa" w:w="1584"/>
            <w:vAlign w:val="top"/>
          </w:tcPr>
          <w:p>
            <w:r>
              <w:t>Nominally separate controls could share hidden authority/control domain.</w:t>
            </w:r>
          </w:p>
        </w:tc>
        <w:tc>
          <w:tcPr>
            <w:tcW w:type="dxa" w:w="1584"/>
            <w:vAlign w:val="top"/>
          </w:tcPr>
          <w:p>
            <w:r>
              <w:t>Control-domain independence must be established where required.</w:t>
            </w:r>
          </w:p>
        </w:tc>
        <w:tc>
          <w:tcPr>
            <w:tcW w:type="dxa" w:w="1584"/>
            <w:vAlign w:val="top"/>
          </w:tcPr>
          <w:p>
            <w:r>
              <w:t>False independence/collusion represented in-model fails closed.</w:t>
            </w:r>
          </w:p>
        </w:tc>
        <w:tc>
          <w:tcPr>
            <w:tcW w:type="dxa" w:w="1224"/>
            <w:vAlign w:val="top"/>
          </w:tcPr>
          <w:p>
            <w:r>
              <w:t>7</w:t>
            </w:r>
          </w:p>
        </w:tc>
        <w:tc>
          <w:tcPr>
            <w:tcW w:type="dxa" w:w="1800"/>
            <w:vAlign w:val="top"/>
          </w:tcPr>
          <w:p>
            <w:r>
              <w:t>Freeze evidence manifest GT-PAPER-011</w:t>
            </w:r>
          </w:p>
        </w:tc>
      </w:tr>
      <w:tr>
        <w:tc>
          <w:tcPr>
            <w:tcW w:type="dxa" w:w="1944"/>
            <w:vAlign w:val="top"/>
          </w:tcPr>
          <w:p>
            <w:r>
              <w:t>Delegation laundering</w:t>
            </w:r>
          </w:p>
        </w:tc>
        <w:tc>
          <w:tcPr>
            <w:tcW w:type="dxa" w:w="1584"/>
            <w:vAlign w:val="top"/>
          </w:tcPr>
          <w:p>
            <w:r>
              <w:t>Authentic local grant edges could compose into wider terminal authority.</w:t>
            </w:r>
          </w:p>
        </w:tc>
        <w:tc>
          <w:tcPr>
            <w:tcW w:type="dxa" w:w="1584"/>
            <w:vAlign w:val="top"/>
          </w:tcPr>
          <w:p>
            <w:r>
              <w:t>Exact grant lineage, scope, boundary, and event applicability required.</w:t>
            </w:r>
          </w:p>
        </w:tc>
        <w:tc>
          <w:tcPr>
            <w:tcW w:type="dxa" w:w="1584"/>
            <w:vAlign w:val="top"/>
          </w:tcPr>
          <w:p>
            <w:r>
              <w:t>Stale/transferred/laundered delegation fails closed; fresh scoped path AUTHORIZED.</w:t>
            </w:r>
          </w:p>
        </w:tc>
        <w:tc>
          <w:tcPr>
            <w:tcW w:type="dxa" w:w="1224"/>
            <w:vAlign w:val="top"/>
          </w:tcPr>
          <w:p>
            <w:r>
              <w:t>7</w:t>
            </w:r>
          </w:p>
        </w:tc>
        <w:tc>
          <w:tcPr>
            <w:tcW w:type="dxa" w:w="1800"/>
            <w:vAlign w:val="top"/>
          </w:tcPr>
          <w:p>
            <w:r>
              <w:t>Freeze evidence manifest GT-PAPER-012</w:t>
            </w:r>
          </w:p>
        </w:tc>
      </w:tr>
      <w:tr>
        <w:tc>
          <w:tcPr>
            <w:tcW w:type="dxa" w:w="1944"/>
            <w:vAlign w:val="top"/>
          </w:tcPr>
          <w:p>
            <w:r>
              <w:t>Human approval continuity</w:t>
            </w:r>
          </w:p>
        </w:tc>
        <w:tc>
          <w:tcPr>
            <w:tcW w:type="dxa" w:w="1584"/>
            <w:vAlign w:val="top"/>
          </w:tcPr>
          <w:p>
            <w:r>
              <w:t>Real approval could be replayed/transferred to another effect or later event.</w:t>
            </w:r>
          </w:p>
        </w:tc>
        <w:tc>
          <w:tcPr>
            <w:tcW w:type="dxa" w:w="1584"/>
            <w:vAlign w:val="top"/>
          </w:tcPr>
          <w:p>
            <w:r>
              <w:t>Approval must remain current and applicable to the exact protected effect/event.</w:t>
            </w:r>
          </w:p>
        </w:tc>
        <w:tc>
          <w:tcPr>
            <w:tcW w:type="dxa" w:w="1584"/>
            <w:vAlign w:val="top"/>
          </w:tcPr>
          <w:p>
            <w:r>
              <w:t>Revoked approval DENIED; missing/stale applicability UNAVAILABLE; fresh approval AUTHORIZED.</w:t>
            </w:r>
          </w:p>
        </w:tc>
        <w:tc>
          <w:tcPr>
            <w:tcW w:type="dxa" w:w="1224"/>
            <w:vAlign w:val="top"/>
          </w:tcPr>
          <w:p>
            <w:r>
              <w:t>7</w:t>
            </w:r>
          </w:p>
        </w:tc>
        <w:tc>
          <w:tcPr>
            <w:tcW w:type="dxa" w:w="1800"/>
            <w:vAlign w:val="top"/>
          </w:tcPr>
          <w:p>
            <w:r>
              <w:t>Freeze evidence manifest GT-PAPER-013</w:t>
            </w:r>
          </w:p>
        </w:tc>
      </w:tr>
      <w:tr>
        <w:tc>
          <w:tcPr>
            <w:tcW w:type="dxa" w:w="1944"/>
            <w:vAlign w:val="top"/>
          </w:tcPr>
          <w:p>
            <w:r>
              <w:t>Tool/backend continuity</w:t>
            </w:r>
          </w:p>
        </w:tc>
        <w:tc>
          <w:tcPr>
            <w:tcW w:type="dxa" w:w="1584"/>
            <w:vAlign w:val="top"/>
          </w:tcPr>
          <w:p>
            <w:r>
              <w:t>Logical tool could remain constant while connector/backend/credential/target changed.</w:t>
            </w:r>
          </w:p>
        </w:tc>
        <w:tc>
          <w:tcPr>
            <w:tcW w:type="dxa" w:w="1584"/>
            <w:vAlign w:val="top"/>
          </w:tcPr>
          <w:p>
            <w:r>
              <w:t>Authority must bind to terminal authority-relevant execution target.</w:t>
            </w:r>
          </w:p>
        </w:tc>
        <w:tc>
          <w:tcPr>
            <w:tcW w:type="dxa" w:w="1584"/>
            <w:vAlign w:val="top"/>
          </w:tcPr>
          <w:p>
            <w:r>
              <w:t>Substitution fails closed; exact current target remains AUTHORIZED.</w:t>
            </w:r>
          </w:p>
        </w:tc>
        <w:tc>
          <w:tcPr>
            <w:tcW w:type="dxa" w:w="1224"/>
            <w:vAlign w:val="top"/>
          </w:tcPr>
          <w:p>
            <w:r>
              <w:t>7</w:t>
            </w:r>
          </w:p>
        </w:tc>
        <w:tc>
          <w:tcPr>
            <w:tcW w:type="dxa" w:w="1800"/>
            <w:vAlign w:val="top"/>
          </w:tcPr>
          <w:p>
            <w:r>
              <w:t>Freeze evidence manifest GT-PAPER-014</w:t>
            </w:r>
          </w:p>
        </w:tc>
      </w:tr>
      <w:tr>
        <w:tc>
          <w:tcPr>
            <w:tcW w:type="dxa" w:w="1944"/>
            <w:vAlign w:val="top"/>
          </w:tcPr>
          <w:p>
            <w:r>
              <w:t>T3 convergence</w:t>
            </w:r>
          </w:p>
        </w:tc>
        <w:tc>
          <w:tcPr>
            <w:tcW w:type="dxa" w:w="1584"/>
            <w:vAlign w:val="top"/>
          </w:tcPr>
          <w:p>
            <w:r>
              <w:t>Individually current authority heads could refer to different execution events.</w:t>
            </w:r>
          </w:p>
        </w:tc>
        <w:tc>
          <w:tcPr>
            <w:tcW w:type="dxa" w:w="1584"/>
            <w:vAlign w:val="top"/>
          </w:tcPr>
          <w:p>
            <w:r>
              <w:t>Required authority evidence must converge on one protected T3 execution event.</w:t>
            </w:r>
          </w:p>
        </w:tc>
        <w:tc>
          <w:tcPr>
            <w:tcW w:type="dxa" w:w="1584"/>
            <w:vAlign w:val="top"/>
          </w:tcPr>
          <w:p>
            <w:r>
              <w:t>Stale/mismatched event paths fail closed; fresh converged path AUTHORIZED.</w:t>
            </w:r>
          </w:p>
        </w:tc>
        <w:tc>
          <w:tcPr>
            <w:tcW w:type="dxa" w:w="1224"/>
            <w:vAlign w:val="top"/>
          </w:tcPr>
          <w:p>
            <w:r>
              <w:t>7</w:t>
            </w:r>
          </w:p>
        </w:tc>
        <w:tc>
          <w:tcPr>
            <w:tcW w:type="dxa" w:w="1800"/>
            <w:vAlign w:val="top"/>
          </w:tcPr>
          <w:p>
            <w:r>
              <w:t>Exact head: Section 12.5</w:t>
            </w:r>
          </w:p>
        </w:tc>
      </w:tr>
      <w:tr>
        <w:tc>
          <w:tcPr>
            <w:tcW w:type="dxa" w:w="1944"/>
            <w:vAlign w:val="top"/>
          </w:tcPr>
          <w:p>
            <w:r>
              <w:t>Composite continuity</w:t>
            </w:r>
          </w:p>
        </w:tc>
        <w:tc>
          <w:tcPr>
            <w:tcW w:type="dxa" w:w="1584"/>
            <w:vAlign w:val="top"/>
          </w:tcPr>
          <w:p>
            <w:r>
              <w:t>Individually repaired controls could compose into an invalid terminal authorization.</w:t>
            </w:r>
          </w:p>
        </w:tc>
        <w:tc>
          <w:tcPr>
            <w:tcW w:type="dxa" w:w="1584"/>
            <w:vAlign w:val="top"/>
          </w:tcPr>
          <w:p>
            <w:r>
              <w:t>Joint applicability must survive adversarial composition.</w:t>
            </w:r>
          </w:p>
        </w:tc>
        <w:tc>
          <w:tcPr>
            <w:tcW w:type="dxa" w:w="1584"/>
            <w:vAlign w:val="top"/>
          </w:tcPr>
          <w:p>
            <w:r>
              <w:t>No reproducible in-scope composite bypass found at reviewed exact state; positive composite paths preserved.</w:t>
            </w:r>
          </w:p>
        </w:tc>
        <w:tc>
          <w:tcPr>
            <w:tcW w:type="dxa" w:w="1224"/>
            <w:vAlign w:val="top"/>
          </w:tcPr>
          <w:p>
            <w:r>
              <w:t>7</w:t>
            </w:r>
          </w:p>
        </w:tc>
        <w:tc>
          <w:tcPr>
            <w:tcW w:type="dxa" w:w="1800"/>
            <w:vAlign w:val="top"/>
          </w:tcPr>
          <w:p>
            <w:r>
              <w:t>Exact head: Section 13.4</w:t>
            </w:r>
          </w:p>
        </w:tc>
      </w:tr>
    </w:tbl>
    <w:p>
      <w:pPr>
        <w:spacing w:after="40"/>
      </w:pPr>
    </w:p>
    <w:p>
      <w:pPr>
        <w:pStyle w:val="Heading2"/>
      </w:pPr>
      <w:r>
        <w:rPr>
          <w:rFonts w:ascii="Times New Roman" w:hAnsi="Times New Roman"/>
        </w:rPr>
        <w:t>14.3 Interpretation</w:t>
      </w:r>
    </w:p>
    <w:p>
      <w:pPr>
        <w:pStyle w:val="BodyText"/>
        <w:spacing w:after="80"/>
      </w:pPr>
      <w:r>
        <w:rPr>
          <w:rFonts w:ascii="Times New Roman" w:hAnsi="Times New Roman"/>
          <w:b w:val="0"/>
          <w:i w:val="0"/>
        </w:rPr>
        <w:t>The results should be interpreted as a record of falsification pressure, not a leaderboard. A mature Level 7 repair means that a reproduced class progressed through exact-state hostile review while retaining positive reachability; it does not mean that the class is universally solved or that the system is secure against unknown variants.</w:t>
      </w:r>
    </w:p>
    <w:p>
      <w:pPr>
        <w:pStyle w:val="Heading2"/>
      </w:pPr>
      <w:r>
        <w:rPr>
          <w:rFonts w:ascii="Times New Roman" w:hAnsi="Times New Roman"/>
        </w:rPr>
        <w:t>14.4 Reporting Original and Repaired Behavior</w:t>
      </w:r>
    </w:p>
    <w:p>
      <w:pPr>
        <w:pStyle w:val="BodyText"/>
        <w:spacing w:after="80"/>
      </w:pPr>
      <w:r>
        <w:rPr>
          <w:rFonts w:ascii="Times New Roman" w:hAnsi="Times New Roman"/>
          <w:b w:val="0"/>
          <w:i w:val="0"/>
        </w:rPr>
        <w:t>The final results table preserves three distinct facts: original observed behavior, normatively required behavior, and repaired observed behavior. This prevents the final passing state from erasing the scientific value of the historical counterexample.</w:t>
      </w:r>
    </w:p>
    <w:p>
      <w:pPr>
        <w:pStyle w:val="Heading1"/>
      </w:pPr>
      <w:r>
        <w:rPr>
          <w:rFonts w:ascii="Times New Roman" w:hAnsi="Times New Roman"/>
        </w:rPr>
        <w:t>15. Related Work</w:t>
      </w:r>
    </w:p>
    <w:p>
      <w:pPr>
        <w:pStyle w:val="BodyText"/>
        <w:spacing w:after="80"/>
      </w:pPr>
      <w:r>
        <w:rPr>
          <w:rFonts w:ascii="Times New Roman" w:hAnsi="Times New Roman"/>
          <w:b w:val="0"/>
          <w:i w:val="0"/>
        </w:rPr>
        <w:t>Ground Truth sits at the intersection of authorization, usage control, delegation, provenance, distributed consistency, rollback resistance, and zero-trust architecture. It should therefore be positioned as a narrow compositional falsification framework rather than as the invention of continuing authorization or context-sensitive access control.</w:t>
      </w:r>
    </w:p>
    <w:p>
      <w:pPr>
        <w:pStyle w:val="Heading2"/>
      </w:pPr>
      <w:r>
        <w:rPr>
          <w:rFonts w:ascii="Times New Roman" w:hAnsi="Times New Roman"/>
        </w:rPr>
        <w:t>15.1 Zero Trust</w:t>
      </w:r>
    </w:p>
    <w:p>
      <w:pPr>
        <w:pStyle w:val="BodyText"/>
        <w:spacing w:after="80"/>
      </w:pPr>
      <w:r>
        <w:rPr>
          <w:rFonts w:ascii="Times New Roman" w:hAnsi="Times New Roman"/>
          <w:b w:val="0"/>
          <w:i w:val="0"/>
        </w:rPr>
        <w:t>NIST SP 800-207 rejects implicit trust based on network location and emphasizes authentication and authorization around users, devices, and protected resources [1]. Ground Truth is compatible with that direction but studies a narrower failure: whether the authority evidence consumed by a terminal effect remains jointly applicable after multi-step transitions. Common-event convergence should therefore not be presented as the invention of continuous verification.</w:t>
      </w:r>
    </w:p>
    <w:p>
      <w:pPr>
        <w:pStyle w:val="Heading2"/>
      </w:pPr>
      <w:r>
        <w:rPr>
          <w:rFonts w:ascii="Times New Roman" w:hAnsi="Times New Roman"/>
        </w:rPr>
        <w:t>15.2 Usage Control and Ongoing Authorization</w:t>
      </w:r>
    </w:p>
    <w:p>
      <w:pPr>
        <w:pStyle w:val="BodyText"/>
        <w:spacing w:after="80"/>
      </w:pPr>
      <w:r>
        <w:rPr>
          <w:rFonts w:ascii="Times New Roman" w:hAnsi="Times New Roman"/>
          <w:b w:val="0"/>
          <w:i w:val="0"/>
        </w:rPr>
        <w:t>The UCONABC model broadened access control to include ongoing controls, mutability, obligations, and conditions, recognizing that authorization for long-lived use can change after initial access [2]. Ground Truth shares the concern that authority is not necessarily a one-time decision. Its distinct emphasis is deterministic counterexample construction over evidence continuity and cross-layer composition at a protected execution event.</w:t>
      </w:r>
    </w:p>
    <w:p>
      <w:pPr>
        <w:pStyle w:val="Heading2"/>
      </w:pPr>
      <w:r>
        <w:rPr>
          <w:rFonts w:ascii="Times New Roman" w:hAnsi="Times New Roman"/>
        </w:rPr>
        <w:t>15.3 Consistent Authorization State</w:t>
      </w:r>
    </w:p>
    <w:p>
      <w:pPr>
        <w:pStyle w:val="BodyText"/>
        <w:spacing w:after="80"/>
      </w:pPr>
      <w:r>
        <w:rPr>
          <w:rFonts w:ascii="Times New Roman" w:hAnsi="Times New Roman"/>
          <w:b w:val="0"/>
          <w:i w:val="0"/>
        </w:rPr>
        <w:t>Google Zanzibar provides a large-scale authorization system whose decisions respect causal ordering amid changes to ACLs and object contents [3]. This work is directly relevant to stale authorization and consistency. Ground Truth is not a replacement for globally consistent authorization storage; it instead asks whether all evidence contributing to a protected autonomous execution refers to the authority context required for that effect.</w:t>
      </w:r>
    </w:p>
    <w:p>
      <w:pPr>
        <w:pStyle w:val="Heading2"/>
      </w:pPr>
      <w:r>
        <w:rPr>
          <w:rFonts w:ascii="Times New Roman" w:hAnsi="Times New Roman"/>
        </w:rPr>
        <w:t>15.4 Delegation and Attenuated Credentials</w:t>
      </w:r>
    </w:p>
    <w:p>
      <w:pPr>
        <w:pStyle w:val="BodyText"/>
        <w:spacing w:after="80"/>
      </w:pPr>
      <w:r>
        <w:rPr>
          <w:rFonts w:ascii="Times New Roman" w:hAnsi="Times New Roman"/>
          <w:b w:val="0"/>
          <w:i w:val="0"/>
        </w:rPr>
        <w:t>Macaroons provide decentralized authorization credentials with contextual caveats and attenuation, allowing authority to be restricted by context, principal, location, or purpose [4]. SPKI/SDSI similarly supports authorization and multi-stage delegation through certificate chains [5]. These systems demonstrate that delegation and contextual restriction are established areas. Ground Truth's delegation contribution is the falsification of continuity failures when authentic local grant edges do not compose into justified terminal authority.</w:t>
      </w:r>
    </w:p>
    <w:p>
      <w:pPr>
        <w:pStyle w:val="Heading2"/>
      </w:pPr>
      <w:r>
        <w:rPr>
          <w:rFonts w:ascii="Times New Roman" w:hAnsi="Times New Roman"/>
        </w:rPr>
        <w:t>15.5 Fine-Grained OAuth Authorization</w:t>
      </w:r>
    </w:p>
    <w:p>
      <w:pPr>
        <w:pStyle w:val="BodyText"/>
        <w:spacing w:after="80"/>
      </w:pPr>
      <w:r>
        <w:rPr>
          <w:rFonts w:ascii="Times New Roman" w:hAnsi="Times New Roman"/>
          <w:b w:val="0"/>
          <w:i w:val="0"/>
        </w:rPr>
        <w:t>OAuth 2.0 Rich Authorization Requests adds structured authorization_details so clients can express fine-grained authorization data beyond a flat scope string [6]. Ground Truth is complementary: detailed authorization intent still has to remain bound to the subject, effect, target, boundary, and execution event where it is consumed.</w:t>
      </w:r>
    </w:p>
    <w:p>
      <w:pPr>
        <w:pStyle w:val="Heading2"/>
      </w:pPr>
      <w:r>
        <w:rPr>
          <w:rFonts w:ascii="Times New Roman" w:hAnsi="Times New Roman"/>
        </w:rPr>
        <w:t>15.6 Provenance and Supply-Chain Integrity</w:t>
      </w:r>
    </w:p>
    <w:p>
      <w:pPr>
        <w:pStyle w:val="BodyText"/>
        <w:spacing w:after="80"/>
      </w:pPr>
      <w:r>
        <w:rPr>
          <w:rFonts w:ascii="Times New Roman" w:hAnsi="Times New Roman"/>
          <w:b w:val="0"/>
          <w:i w:val="0"/>
        </w:rPr>
        <w:t>in-toto verifies the integrity of a software supply chain across multiple actors and steps [7], while The Update Framework addresses rollback, freeze, mix-and-match, compromise, delegated trust, and expiration in software update systems [8]. These systems are useful analogues for lineage, rollback resistance, and explicit trust boundaries. Ground Truth applies similar falsification pressure to authority evidence in autonomous execution rather than to software artifacts alone.</w:t>
      </w:r>
    </w:p>
    <w:p>
      <w:pPr>
        <w:pStyle w:val="Heading2"/>
      </w:pPr>
      <w:r>
        <w:t>15.7 Contemporary Agent-Security Work</w:t>
      </w:r>
    </w:p>
    <w:p>
      <w:pPr>
        <w:pStyle w:val="BodyText"/>
        <w:spacing w:after="80"/>
      </w:pPr>
      <w:r>
        <w:t>Recent work further sharpens the composition problem. CONTINUITY studies authenticated security-context contracts across composed LLM-agent controls and effect-bound execution permits [9]. Exact checking for checkpoint, fork, restore, and merge operations formalizes what execution-history edits must preserve for safe continuation [10]. Experimental work on shutdown sabotage in multi-agent systems motivates defensive treatment of shutdown and successor transitions without implying that any specific deployed system is rogue [11]. A 2026 survey of authorization architectures for tool-using agents emphasizes identity, delegation, runtime enforcement, prompt-injection bypass, provenance, and accountability [12]. Ground Truth should therefore be read as a narrow deterministic falsification framework for authority continuity, not as a claim that authorization continuity or compositional agent security are unexplored fields.</w:t>
      </w:r>
    </w:p>
    <w:p>
      <w:pPr>
        <w:pStyle w:val="Heading1"/>
      </w:pPr>
      <w:r>
        <w:rPr>
          <w:rFonts w:ascii="Times New Roman" w:hAnsi="Times New Roman"/>
        </w:rPr>
        <w:t>16. Limitations</w:t>
      </w:r>
    </w:p>
    <w:p>
      <w:pPr>
        <w:pStyle w:val="Heading2"/>
      </w:pPr>
      <w:r>
        <w:rPr>
          <w:rFonts w:ascii="Times New Roman" w:hAnsi="Times New Roman"/>
        </w:rPr>
        <w:t>16.1 Model-Bounded Results</w:t>
      </w:r>
    </w:p>
    <w:p>
      <w:pPr>
        <w:pStyle w:val="BodyText"/>
        <w:spacing w:after="80"/>
      </w:pPr>
      <w:r>
        <w:rPr>
          <w:rFonts w:ascii="Times New Roman" w:hAnsi="Times New Roman"/>
          <w:b w:val="0"/>
          <w:i w:val="0"/>
        </w:rPr>
        <w:t>Authority Lab can only falsify behavior represented by its model and fixture corpus. Unknown authority-relevant dimensions can remain outside the test surface. A PASS therefore has no meaning beyond the declared model, assumptions, and tested mutations.</w:t>
      </w:r>
    </w:p>
    <w:p>
      <w:pPr>
        <w:pStyle w:val="Heading2"/>
      </w:pPr>
      <w:r>
        <w:rPr>
          <w:rFonts w:ascii="Times New Roman" w:hAnsi="Times New Roman"/>
        </w:rPr>
        <w:t>16.2 Consistent False Evidence</w:t>
      </w:r>
    </w:p>
    <w:p>
      <w:pPr>
        <w:pStyle w:val="BodyText"/>
        <w:spacing w:after="80"/>
      </w:pPr>
      <w:r>
        <w:rPr>
          <w:rFonts w:ascii="Times New Roman" w:hAnsi="Times New Roman"/>
          <w:b w:val="0"/>
          <w:i w:val="0"/>
        </w:rPr>
        <w:t>The lab cannot independently recover external truth when all admitted sources lie consistently and no contradictory or independently grounded evidence survives. Provenance checks can expose known common roots; they cannot guarantee the absence of hidden collusion.</w:t>
      </w:r>
    </w:p>
    <w:p>
      <w:pPr>
        <w:pStyle w:val="Heading2"/>
      </w:pPr>
      <w:r>
        <w:rPr>
          <w:rFonts w:ascii="Times New Roman" w:hAnsi="Times New Roman"/>
        </w:rPr>
        <w:t>16.3 Canonicalization and Oracle Trust</w:t>
      </w:r>
    </w:p>
    <w:p>
      <w:pPr>
        <w:pStyle w:val="BodyText"/>
        <w:spacing w:after="80"/>
      </w:pPr>
      <w:r>
        <w:rPr>
          <w:rFonts w:ascii="Times New Roman" w:hAnsi="Times New Roman"/>
          <w:b w:val="0"/>
          <w:i w:val="0"/>
        </w:rPr>
        <w:t>Canonicalization, parser behavior, oracle implementation, and any cryptographic or identity primitives relied upon by the experiment belong to the trusted computing base. A defect in those mechanisms can produce deterministic but incorrect results.</w:t>
      </w:r>
    </w:p>
    <w:p>
      <w:pPr>
        <w:pStyle w:val="Heading2"/>
      </w:pPr>
      <w:r>
        <w:rPr>
          <w:rFonts w:ascii="Times New Roman" w:hAnsi="Times New Roman"/>
        </w:rPr>
        <w:t>16.4 Fixture Abstraction</w:t>
      </w:r>
    </w:p>
    <w:p>
      <w:pPr>
        <w:pStyle w:val="BodyText"/>
        <w:spacing w:after="80"/>
      </w:pPr>
      <w:r>
        <w:rPr>
          <w:rFonts w:ascii="Times New Roman" w:hAnsi="Times New Roman"/>
          <w:b w:val="0"/>
          <w:i w:val="0"/>
        </w:rPr>
        <w:t>Synthetic fixtures isolate authority defects, but they are abstractions of production systems. A minimal reproducer can demonstrate a logical failure without proving that a particular production architecture is exploitable in the same way.</w:t>
      </w:r>
    </w:p>
    <w:p>
      <w:pPr>
        <w:pStyle w:val="Heading2"/>
      </w:pPr>
      <w:r>
        <w:rPr>
          <w:rFonts w:ascii="Times New Roman" w:hAnsi="Times New Roman"/>
        </w:rPr>
        <w:t>16.5 No Universal Safety Claim</w:t>
      </w:r>
    </w:p>
    <w:p>
      <w:pPr>
        <w:pStyle w:val="BodyText"/>
        <w:spacing w:after="80"/>
      </w:pPr>
      <w:r>
        <w:rPr>
          <w:rFonts w:ascii="Times New Roman" w:hAnsi="Times New Roman"/>
          <w:b w:val="0"/>
          <w:i w:val="0"/>
        </w:rPr>
        <w:t>AUTHORIZED does not mean safe, beneficial, correct, or truthful. Ground Truth evaluates authority evidence under a stated model; it does not determine whether the authorized objective is socially desirable or whether an autonomous plan is semantically correct.</w:t>
      </w:r>
    </w:p>
    <w:p>
      <w:pPr>
        <w:pStyle w:val="Heading2"/>
      </w:pPr>
      <w:r>
        <w:rPr>
          <w:rFonts w:ascii="Times New Roman" w:hAnsi="Times New Roman"/>
        </w:rPr>
        <w:t>16.6 Availability Trade-offs</w:t>
      </w:r>
    </w:p>
    <w:p>
      <w:pPr>
        <w:pStyle w:val="BodyText"/>
        <w:spacing w:after="80"/>
      </w:pPr>
      <w:r>
        <w:rPr>
          <w:rFonts w:ascii="Times New Roman" w:hAnsi="Times New Roman"/>
          <w:b w:val="0"/>
          <w:i w:val="0"/>
        </w:rPr>
        <w:t>Fail-closed UNAVAILABLE behavior can reduce availability, especially under partial failures or evidence delays. The paper treats availability and justified authority as separate properties and does not prescribe a universal policy for resolving that trade-off.</w:t>
      </w:r>
    </w:p>
    <w:p>
      <w:pPr>
        <w:pStyle w:val="Heading2"/>
      </w:pPr>
      <w:r>
        <w:rPr>
          <w:rFonts w:ascii="Times New Roman" w:hAnsi="Times New Roman"/>
        </w:rPr>
        <w:t>16.7 Temporal Event Definition</w:t>
      </w:r>
    </w:p>
    <w:p>
      <w:pPr>
        <w:pStyle w:val="BodyText"/>
        <w:spacing w:after="80"/>
      </w:pPr>
      <w:r>
        <w:rPr>
          <w:rFonts w:ascii="Times New Roman" w:hAnsi="Times New Roman"/>
          <w:b w:val="0"/>
          <w:i w:val="0"/>
        </w:rPr>
        <w:t>Common-event convergence depends on a defensible definition of the protected execution event. Some effects are atomic and easy to identify; others unfold over time or across systems. The current T3 design must therefore be understood as an explicit model boundary, not proof that every real-world effect has an obvious single event identity.</w:t>
      </w:r>
    </w:p>
    <w:p>
      <w:pPr>
        <w:pStyle w:val="Heading2"/>
      </w:pPr>
      <w:r>
        <w:t>16.8 Reproducibility and Exact-State Publication</w:t>
      </w:r>
    </w:p>
    <w:p>
      <w:pPr>
        <w:pStyle w:val="BodyText"/>
        <w:spacing w:after="80"/>
      </w:pPr>
      <w:r>
        <w:t>The reviewed v1 Git history, including the T3, Composite, deterministic-replay, and research-freeze checkpoints, is remotely inspectable in the public repository. Reproduction should therefore identify the exact commit under test rather than infer results from branch names or later documentation. The freeze documentation commit is 3d09acc804bc1271965696f2d9561143ca28b835; it records frozen research HEAD 31d78aa158618ca8b72eb61e2f49b434e4319e9e. Remote inspectability improves independent reproduction logistics but does not widen the meaning of PASS or alter the distinction among AUTHORIZED, DENIED, and UNAVAILABLE.</w:t>
      </w:r>
    </w:p>
    <w:p>
      <w:pPr>
        <w:pStyle w:val="Heading1"/>
      </w:pPr>
      <w:r>
        <w:rPr>
          <w:rFonts w:ascii="Times New Roman" w:hAnsi="Times New Roman"/>
        </w:rPr>
        <w:t>17. Discussion</w:t>
      </w:r>
    </w:p>
    <w:p>
      <w:pPr>
        <w:pStyle w:val="Heading2"/>
      </w:pPr>
      <w:r>
        <w:rPr>
          <w:rFonts w:ascii="Times New Roman" w:hAnsi="Times New Roman"/>
        </w:rPr>
        <w:t>17.1 Why Authority Continuity Matters for Autonomous Systems</w:t>
      </w:r>
    </w:p>
    <w:p>
      <w:pPr>
        <w:pStyle w:val="BodyText"/>
        <w:spacing w:after="80"/>
      </w:pPr>
      <w:r>
        <w:rPr>
          <w:rFonts w:ascii="Times New Roman" w:hAnsi="Times New Roman"/>
          <w:b w:val="0"/>
          <w:i w:val="0"/>
        </w:rPr>
        <w:t>Autonomous systems can retain state and act across long intervals without renewed human attention. A human approval, delegated task, connector session, or queued job can outlive the authority context in which it was created. As workflows become more distributed and asynchronous, the distance between initial intent and terminal effect can grow.</w:t>
      </w:r>
    </w:p>
    <w:p>
      <w:pPr>
        <w:pStyle w:val="Heading2"/>
      </w:pPr>
      <w:r>
        <w:rPr>
          <w:rFonts w:ascii="Times New Roman" w:hAnsi="Times New Roman"/>
        </w:rPr>
        <w:t>17.2 The Problem Is Not Merely Staleness</w:t>
      </w:r>
    </w:p>
    <w:p>
      <w:pPr>
        <w:pStyle w:val="BodyText"/>
        <w:spacing w:after="80"/>
      </w:pPr>
      <w:r>
        <w:rPr>
          <w:rFonts w:ascii="Times New Roman" w:hAnsi="Times New Roman"/>
          <w:b w:val="0"/>
          <w:i w:val="0"/>
        </w:rPr>
        <w:t>Staleness is only one manifestation. A fact can be fresh but applicable to the wrong subject, artifact, grant lineage, boundary, target, or event. Ground Truth therefore treats authority continuity as a binding and composition problem, not merely a timestamp problem.</w:t>
      </w:r>
    </w:p>
    <w:p>
      <w:pPr>
        <w:pStyle w:val="Heading2"/>
      </w:pPr>
      <w:r>
        <w:rPr>
          <w:rFonts w:ascii="Times New Roman" w:hAnsi="Times New Roman"/>
        </w:rPr>
        <w:t>17.3 DENIED and UNAVAILABLE as Separate Engineering States</w:t>
      </w:r>
    </w:p>
    <w:p>
      <w:pPr>
        <w:pStyle w:val="BodyText"/>
        <w:spacing w:after="80"/>
      </w:pPr>
      <w:r>
        <w:rPr>
          <w:rFonts w:ascii="Times New Roman" w:hAnsi="Times New Roman"/>
          <w:b w:val="0"/>
          <w:i w:val="0"/>
        </w:rPr>
        <w:t>Preserving UNAVAILABLE changes system design. A binary allow/deny API pressures missing information into one side. Three-way authority lets the system distinguish known impermissibility from inability to establish the evidence required for a decision. This distinction is especially useful in distributed systems where uncertainty is ordinary rather than exceptional.</w:t>
      </w:r>
    </w:p>
    <w:p>
      <w:pPr>
        <w:pStyle w:val="Heading2"/>
      </w:pPr>
      <w:r>
        <w:rPr>
          <w:rFonts w:ascii="Times New Roman" w:hAnsi="Times New Roman"/>
        </w:rPr>
        <w:t>17.4 Authority Evidence as a First-Class Artifact</w:t>
      </w:r>
    </w:p>
    <w:p>
      <w:pPr>
        <w:pStyle w:val="BodyText"/>
        <w:spacing w:after="80"/>
      </w:pPr>
      <w:r>
        <w:rPr>
          <w:rFonts w:ascii="Times New Roman" w:hAnsi="Times New Roman"/>
          <w:b w:val="0"/>
          <w:i w:val="0"/>
        </w:rPr>
        <w:t>One architectural implication is that authority evidence should be treated as a first-class artifact with identity, provenance, lineage, applicability, and consumption semantics. Systems that preserve only the final Boolean decision discard information needed to determine whether that decision remains valid after subsequent transitions.</w:t>
      </w:r>
    </w:p>
    <w:p>
      <w:pPr>
        <w:pStyle w:val="Heading2"/>
      </w:pPr>
      <w:r>
        <w:rPr>
          <w:rFonts w:ascii="Times New Roman" w:hAnsi="Times New Roman"/>
        </w:rPr>
        <w:t>17.5 Research Utility of Deterministic Counterexamples</w:t>
      </w:r>
    </w:p>
    <w:p>
      <w:pPr>
        <w:pStyle w:val="BodyText"/>
        <w:spacing w:after="80"/>
      </w:pPr>
      <w:r>
        <w:rPr>
          <w:rFonts w:ascii="Times New Roman" w:hAnsi="Times New Roman"/>
          <w:b w:val="0"/>
          <w:i w:val="0"/>
        </w:rPr>
        <w:t>The methodology converts architectural arguments into inspectable artifacts. A reviewer can disagree with the normative rule, fixture construction, oracle, or repair; each disagreement is localized. The value of the approach is not certainty, but inspectability and reproducibility.</w:t>
      </w:r>
    </w:p>
    <w:p>
      <w:pPr>
        <w:pStyle w:val="Heading2"/>
      </w:pPr>
      <w:r>
        <w:rPr>
          <w:rFonts w:ascii="Times New Roman" w:hAnsi="Times New Roman"/>
        </w:rPr>
        <w:t>17.6 Toward Execution-Centered Authorization</w:t>
      </w:r>
    </w:p>
    <w:p>
      <w:pPr>
        <w:pStyle w:val="BodyText"/>
        <w:spacing w:after="80"/>
      </w:pPr>
      <w:r>
        <w:rPr>
          <w:rFonts w:ascii="Times New Roman" w:hAnsi="Times New Roman"/>
          <w:b w:val="0"/>
          <w:i w:val="0"/>
        </w:rPr>
        <w:t>Common-event convergence suggests an execution-centered view of autonomous authorization. Instead of asking only whether each component possesses a valid local authorization state, the terminal decision asks whether the required evidence collectively justifies this effect now. Cached, delegated, asynchronous, and distributed controls can still be used if their applicability is demonstrated at consumption.</w:t>
      </w:r>
    </w:p>
    <w:p>
      <w:pPr>
        <w:pStyle w:val="Heading2"/>
      </w:pPr>
      <w:r>
        <w:rPr>
          <w:rFonts w:ascii="Times New Roman" w:hAnsi="Times New Roman"/>
        </w:rPr>
        <w:t>17.7 Future Work</w:t>
      </w:r>
    </w:p>
    <w:p>
      <w:pPr>
        <w:pStyle w:val="ListBullet"/>
        <w:spacing w:after="40"/>
      </w:pPr>
      <w:r>
        <w:t>Replicate the frozen corpus and hostile-review process independently from the exact remotely inspectable release state.</w:t>
      </w:r>
    </w:p>
    <w:p>
      <w:pPr>
        <w:pStyle w:val="ListBullet"/>
        <w:spacing w:after="40"/>
      </w:pPr>
      <w:r>
        <w:t>Study distributed definitions of a protected execution event for non-atomic and multi-stage effects.</w:t>
      </w:r>
    </w:p>
    <w:p>
      <w:pPr>
        <w:pStyle w:val="ListBullet"/>
        <w:spacing w:after="40"/>
      </w:pPr>
      <w:r>
        <w:t>Evaluate authority continuity in real agent frameworks, tool routers, connectors, and execution sandboxes without weakening the public/private disclosure boundary.</w:t>
      </w:r>
    </w:p>
    <w:p>
      <w:pPr>
        <w:pStyle w:val="ListBullet"/>
        <w:spacing w:after="40"/>
      </w:pPr>
      <w:r>
        <w:t>Evaluate runtime authority enforcement separately from the frozen research corpus, including protected side effects, durable authority state, and backend isolation.</w:t>
      </w:r>
    </w:p>
    <w:p>
      <w:pPr>
        <w:pStyle w:val="ListBullet"/>
        <w:spacing w:after="40"/>
      </w:pPr>
      <w:r>
        <w:t>Explore machine-readable evidence manifests that map terminal effects to the exact authority facts consumed.</w:t>
      </w:r>
    </w:p>
    <w:p>
      <w:pPr>
        <w:pStyle w:val="ListBullet"/>
        <w:spacing w:after="40"/>
      </w:pPr>
      <w:r>
        <w:t>Investigate formal models and mechanized proofs that complement, rather than replace, deterministic falsification.</w:t>
      </w:r>
    </w:p>
    <w:p>
      <w:pPr>
        <w:pStyle w:val="ListBullet"/>
        <w:spacing w:after="40"/>
      </w:pPr>
      <w:r>
        <w:t>Archive release artifacts with immutable paper-to-fixture mappings and, where useful, DOI/preprint identifiers.</w:t>
      </w:r>
    </w:p>
    <w:p>
      <w:pPr>
        <w:pStyle w:val="Heading1"/>
      </w:pPr>
      <w:r>
        <w:rPr>
          <w:rFonts w:ascii="Times New Roman" w:hAnsi="Times New Roman"/>
        </w:rPr>
        <w:t>18. Conclusion</w:t>
      </w:r>
    </w:p>
    <w:p>
      <w:pPr>
        <w:pStyle w:val="BodyText"/>
        <w:spacing w:after="80"/>
      </w:pPr>
      <w:r>
        <w:rPr>
          <w:rFonts w:ascii="Times New Roman" w:hAnsi="Times New Roman"/>
          <w:b w:val="0"/>
          <w:i w:val="0"/>
        </w:rPr>
        <w:t>Autonomous systems can preserve the machinery of action more reliably than they preserve the justification for action. Credentials persist. Approvals persist. Delegations persist. Tools remain callable. Workers restart. Queues retry. Control planes rebuild state. None of those facts alone proves that the protected effect remains authorized.</w:t>
      </w:r>
    </w:p>
    <w:p>
      <w:pPr>
        <w:pStyle w:val="BodyText"/>
        <w:spacing w:after="80"/>
      </w:pPr>
      <w:r>
        <w:rPr>
          <w:rFonts w:ascii="Times New Roman" w:hAnsi="Times New Roman"/>
          <w:b w:val="0"/>
          <w:i w:val="0"/>
        </w:rPr>
        <w:t>Ground Truth frames this as authority continuity and tests it through deterministic falsification. Its core distinction is simple: capability, evidence, authority, and execution are different properties. The presence of one must not be treated as proof of another.</w:t>
      </w:r>
    </w:p>
    <w:p>
      <w:pPr>
        <w:pStyle w:val="BodyText"/>
        <w:spacing w:after="80"/>
      </w:pPr>
      <w:r>
        <w:rPr>
          <w:rFonts w:ascii="Times New Roman" w:hAnsi="Times New Roman"/>
          <w:b w:val="0"/>
          <w:i w:val="0"/>
        </w:rPr>
        <w:t>The counterexamples developed in this manuscript converge on a compact architecture of canonical binding, closure, lineage, non-rollbackable authority-relevant history, provenance, fail-closed uncertainty, effect identity, boundary continuity, anti-replay, durable consumption, and common-event convergence. They therefore describe recurring ways authority can be inherited after its evidence has ceased to apply rather than a collection of unrelated bugs.</w:t>
      </w:r>
    </w:p>
    <w:p>
      <w:pPr>
        <w:pStyle w:val="BodyText"/>
        <w:spacing w:after="80"/>
      </w:pPr>
      <w:r>
        <w:rPr>
          <w:rFonts w:ascii="Times New Roman" w:hAnsi="Times New Roman"/>
          <w:b w:val="0"/>
          <w:i w:val="0"/>
        </w:rPr>
        <w:t>The temporal result sharpens the problem. Local authority heads can each be internally current and still fail to justify the same execution. An approval valid through event 2 and a delegation valid through event 2 do not become authority for a protected effect at event 3 simply because their records remain present and locally valid.</w:t>
      </w:r>
    </w:p>
    <w:p>
      <w:pPr>
        <w:spacing w:before="80" w:after="120"/>
        <w:jc w:val="center"/>
      </w:pPr>
      <w:r>
        <w:rPr>
          <w:rFonts w:ascii="Times New Roman" w:hAnsi="Times New Roman"/>
          <w:b/>
          <w:sz w:val="22"/>
        </w:rPr>
        <w:t>Local currentness does not imply globally current authority.</w:t>
      </w:r>
    </w:p>
    <w:p>
      <w:pPr>
        <w:pStyle w:val="BodyText"/>
        <w:spacing w:after="80"/>
      </w:pPr>
      <w:r>
        <w:rPr>
          <w:rFonts w:ascii="Times New Roman" w:hAnsi="Times New Roman"/>
          <w:b w:val="0"/>
          <w:i w:val="0"/>
        </w:rPr>
        <w:t>The resulting requirement is narrower than continuous authorization and stronger than independent freshness: when a protected effect consumes authority, the evidence required by policy must converge on the same authority-consuming execution event.</w:t>
      </w:r>
    </w:p>
    <w:p>
      <w:pPr>
        <w:pStyle w:val="BodyText"/>
        <w:spacing w:after="80"/>
        <w:jc w:val="center"/>
      </w:pPr>
      <w:r>
        <w:rPr>
          <w:rFonts w:ascii="Times New Roman" w:hAnsi="Times New Roman"/>
          <w:b w:val="0"/>
          <w:i/>
        </w:rPr>
        <w:t>Authority continuity is not persistence of authorization; it is the persistence or re-establishment of the evidence required to justify authorization.</w:t>
      </w:r>
    </w:p>
    <w:p>
      <w:pPr>
        <w:pStyle w:val="BodyText"/>
        <w:spacing w:after="80"/>
      </w:pPr>
      <w:r>
        <w:rPr>
          <w:rFonts w:ascii="Times New Roman" w:hAnsi="Times New Roman"/>
          <w:b w:val="0"/>
          <w:i w:val="0"/>
        </w:rPr>
        <w:t>Ground Truth does not claim universal security. It does not establish the truth of all external evidence. It does not prove the absence of unknown counterexamples. Its goal is more concrete: make authority failures reproducible, make repairs inspectable, preserve legitimate authorization, bind claims to exact executable evidence, and make PASS mean only what the experiment can actually support.</w:t>
      </w:r>
    </w:p>
    <w:p>
      <w:pPr>
        <w:pStyle w:val="Heading1"/>
      </w:pPr>
      <w:r>
        <w:rPr>
          <w:rFonts w:ascii="Times New Roman" w:hAnsi="Times New Roman"/>
        </w:rPr>
        <w:t>Reproducibility Package - Publication Checklist</w:t>
      </w:r>
    </w:p>
    <w:p>
      <w:pPr>
        <w:pStyle w:val="ListBullet"/>
        <w:spacing w:after="40"/>
      </w:pPr>
      <w:r>
        <w:rPr>
          <w:rFonts w:ascii="Times New Roman" w:hAnsi="Times New Roman"/>
          <w:sz w:val="21"/>
        </w:rPr>
        <w:t>Canonical public repository and frozen authority-lab-v1 specification.</w:t>
      </w:r>
    </w:p>
    <w:p>
      <w:pPr>
        <w:pStyle w:val="ListBullet"/>
        <w:spacing w:after="40"/>
      </w:pPr>
      <w:r>
        <w:rPr>
          <w:rFonts w:ascii="Times New Roman" w:hAnsi="Times New Roman"/>
          <w:sz w:val="21"/>
        </w:rPr>
        <w:t>Verbatim six-invariant definitions and tuple semantics.</w:t>
      </w:r>
    </w:p>
    <w:p>
      <w:pPr>
        <w:pStyle w:val="ListBullet"/>
        <w:spacing w:after="40"/>
      </w:pPr>
      <w:r>
        <w:rPr>
          <w:rFonts w:ascii="Times New Roman" w:hAnsi="Times New Roman"/>
          <w:sz w:val="21"/>
        </w:rPr>
        <w:t>Exact release commit/tag and clean state used for paper results.</w:t>
      </w:r>
    </w:p>
    <w:p>
      <w:pPr>
        <w:pStyle w:val="ListBullet"/>
        <w:spacing w:after="40"/>
      </w:pPr>
      <w:r>
        <w:rPr>
          <w:rFonts w:ascii="Times New Roman" w:hAnsi="Times New Roman"/>
          <w:sz w:val="21"/>
        </w:rPr>
        <w:t>Full fixture corpus and canonical schema/canonicalization rules.</w:t>
      </w:r>
    </w:p>
    <w:p>
      <w:pPr>
        <w:pStyle w:val="ListBullet"/>
        <w:spacing w:after="40"/>
      </w:pPr>
      <w:r>
        <w:rPr>
          <w:rFonts w:ascii="Times New Roman" w:hAnsi="Times New Roman"/>
          <w:sz w:val="21"/>
        </w:rPr>
        <w:t>Oracle implementation and oracle-independence test.</w:t>
      </w:r>
    </w:p>
    <w:p>
      <w:pPr>
        <w:pStyle w:val="ListBullet"/>
        <w:spacing w:after="40"/>
      </w:pPr>
      <w:r>
        <w:rPr>
          <w:rFonts w:ascii="Times New Roman" w:hAnsi="Times New Roman"/>
          <w:sz w:val="21"/>
        </w:rPr>
        <w:t>Exact commands and runtime/environment versions.</w:t>
      </w:r>
    </w:p>
    <w:p>
      <w:pPr>
        <w:pStyle w:val="ListBullet"/>
        <w:spacing w:after="40"/>
      </w:pPr>
      <w:r>
        <w:rPr>
          <w:rFonts w:ascii="Times New Roman" w:hAnsi="Times New Roman"/>
          <w:sz w:val="21"/>
        </w:rPr>
        <w:t>Results output archived with hashes where useful.</w:t>
      </w:r>
    </w:p>
    <w:p>
      <w:pPr>
        <w:pStyle w:val="ListBullet"/>
        <w:spacing w:after="40"/>
      </w:pPr>
      <w:r>
        <w:rPr>
          <w:rFonts w:ascii="Times New Roman" w:hAnsi="Times New Roman"/>
          <w:sz w:val="21"/>
        </w:rPr>
        <w:t>Paper-to-fixture and paper-to-review-artifact mapping.</w:t>
      </w:r>
    </w:p>
    <w:p>
      <w:pPr>
        <w:pStyle w:val="ListBullet"/>
        <w:spacing w:after="40"/>
      </w:pPr>
      <w:r>
        <w:rPr>
          <w:rFonts w:ascii="Times New Roman" w:hAnsi="Times New Roman"/>
          <w:sz w:val="21"/>
        </w:rPr>
        <w:t>Positive AUTHORIZED, DENIED, and UNAVAILABLE canonical controls.</w:t>
      </w:r>
    </w:p>
    <w:p>
      <w:pPr>
        <w:pStyle w:val="ListBullet"/>
        <w:spacing w:after="40"/>
      </w:pPr>
      <w:r>
        <w:rPr>
          <w:rFonts w:ascii="Times New Roman" w:hAnsi="Times New Roman"/>
          <w:sz w:val="21"/>
        </w:rPr>
        <w:t>T3 and composite evidence status stated independently of completed repair classes.</w:t>
      </w:r>
    </w:p>
    <w:p>
      <w:pPr>
        <w:pStyle w:val="ListBullet"/>
        <w:spacing w:after="40"/>
      </w:pPr>
      <w:r>
        <w:t>Archive and DOI/preprint identifiers are publication metadata, not experimental evidence; they may be added without changing the frozen research result.</w:t>
      </w:r>
    </w:p>
    <w:p>
      <w:pPr>
        <w:pStyle w:val="Heading1"/>
      </w:pPr>
      <w:r>
        <w:rPr>
          <w:rFonts w:ascii="Times New Roman" w:hAnsi="Times New Roman"/>
        </w:rPr>
        <w:t>References</w:t>
      </w:r>
    </w:p>
    <w:p>
      <w:pPr>
        <w:pStyle w:val="BodyText"/>
        <w:ind w:hanging="360" w:left="360"/>
      </w:pPr>
      <w:r>
        <w:rPr>
          <w:rFonts w:ascii="Times New Roman" w:hAnsi="Times New Roman"/>
        </w:rPr>
        <w:t>[1] S. Rose, O. Borchert, S. Mitchell, and S. Connelly, Zero Trust Architecture, NIST Special Publication 800-207, 2020. doi:10.6028/NIST.SP.800-207.</w:t>
      </w:r>
    </w:p>
    <w:p>
      <w:pPr>
        <w:pStyle w:val="BodyText"/>
        <w:ind w:hanging="360" w:left="360"/>
      </w:pPr>
      <w:r>
        <w:rPr>
          <w:rFonts w:ascii="Times New Roman" w:hAnsi="Times New Roman"/>
        </w:rPr>
        <w:t>[2] J. Park and R. Sandhu, "The UCONABC Usage Control Model," ACM Transactions on Information and System Security, vol. 7, no. 1, pp. 128-174, 2004. doi:10.1145/984334.984339.</w:t>
      </w:r>
    </w:p>
    <w:p>
      <w:pPr>
        <w:pStyle w:val="BodyText"/>
        <w:ind w:hanging="360" w:left="360"/>
      </w:pPr>
      <w:r>
        <w:rPr>
          <w:rFonts w:ascii="Times New Roman" w:hAnsi="Times New Roman"/>
        </w:rPr>
        <w:t>[3] R. Pang et al., "Zanzibar: Google's Consistent, Global Authorization System," 2019 USENIX Annual Technical Conference, pp. 33-46, 2019.</w:t>
      </w:r>
    </w:p>
    <w:p>
      <w:pPr>
        <w:pStyle w:val="BodyText"/>
        <w:ind w:hanging="360" w:left="360"/>
      </w:pPr>
      <w:r>
        <w:rPr>
          <w:rFonts w:ascii="Times New Roman" w:hAnsi="Times New Roman"/>
        </w:rPr>
        <w:t>[4] A. Birgisson, J. G. Politz, U. Erlingsson, A. Taly, M. Vrable, and M. Lentczner, "Macaroons: Cookies with Contextual Caveats for Decentralized Authorization in the Cloud," NDSS, 2014. doi:10.14722/ndss.2014.23212.</w:t>
      </w:r>
    </w:p>
    <w:p>
      <w:pPr>
        <w:pStyle w:val="BodyText"/>
        <w:ind w:hanging="360" w:left="360"/>
      </w:pPr>
      <w:r>
        <w:rPr>
          <w:rFonts w:ascii="Times New Roman" w:hAnsi="Times New Roman"/>
        </w:rPr>
        <w:t>[5] D. Clarke, J.-E. Elien, C. Ellison, M. Fredette, A. Morcos, and R. L. Rivest, "Certificate Chain Discovery in SPKI/SDSI," Journal of Computer Security, vol. 9, no. 4, 2001. doi:10.3233/JCS-2001-9402.</w:t>
      </w:r>
    </w:p>
    <w:p>
      <w:pPr>
        <w:pStyle w:val="BodyText"/>
        <w:ind w:hanging="360" w:left="360"/>
      </w:pPr>
      <w:r>
        <w:rPr>
          <w:rFonts w:ascii="Times New Roman" w:hAnsi="Times New Roman"/>
        </w:rPr>
        <w:t>[6] T. Lodderstedt, J. Richer, and B. Campbell, OAuth 2.0 Rich Authorization Requests, RFC 9396, IETF, May 2023. doi:10.17487/RFC9396.</w:t>
      </w:r>
    </w:p>
    <w:p>
      <w:pPr>
        <w:pStyle w:val="BodyText"/>
        <w:ind w:hanging="360" w:left="360"/>
      </w:pPr>
      <w:r>
        <w:rPr>
          <w:rFonts w:ascii="Times New Roman" w:hAnsi="Times New Roman"/>
        </w:rPr>
        <w:t>[7] S. Torres-Arias, H. Afzali, T. K. Kuppusamy, R. Curtmola, and J. Cappos, "in-toto: Providing farm-to-table guarantees for bits and bytes," 28th USENIX Security Symposium, 2019.</w:t>
      </w:r>
    </w:p>
    <w:p>
      <w:pPr>
        <w:pStyle w:val="BodyText"/>
        <w:ind w:hanging="360" w:left="360"/>
      </w:pPr>
      <w:r>
        <w:rPr>
          <w:rFonts w:ascii="Times New Roman" w:hAnsi="Times New Roman"/>
        </w:rPr>
        <w:t>[8] The Update Framework, "The Update Framework Specification," versioned specification and security documentation. Accessed September 2026.</w:t>
      </w:r>
    </w:p>
    <w:p>
      <w:pPr>
        <w:pStyle w:val="BodyText"/>
      </w:pPr>
      <w:r>
        <w:t>[9] C. Zheng and G. Yang, "CONTINUITY: Security-Context Contracts for Composable LLM Agent Controls," arXiv:2609.05269, 2026.</w:t>
      </w:r>
    </w:p>
    <w:p>
      <w:pPr>
        <w:pStyle w:val="BodyText"/>
      </w:pPr>
      <w:r>
        <w:t>[10] Y. Zheng, X. Song, Y. Hu, L. Cheng, Y. Huang, and W. Zhang, "When Can Agents Safely Checkpoint, Fork, Restore, and Merge? Exact Checking for Execution Edits," arXiv:2608.22928, 2026.</w:t>
      </w:r>
    </w:p>
    <w:p>
      <w:pPr>
        <w:pStyle w:val="BodyText"/>
      </w:pPr>
      <w:r>
        <w:t>[11] A. Knecht, U. Schaller, C. Summerfield, and T. Hagendorff, "Shutdown Sabotage Propensities in Multi-Agent Systems," arXiv:2609.28274, 2026.</w:t>
      </w:r>
    </w:p>
    <w:p>
      <w:pPr>
        <w:pStyle w:val="BodyText"/>
      </w:pPr>
      <w:r>
        <w:t>[12] R. K. Surapani, P. K. D. Kakitapelli, A. Morampudi, and P. Padi, "Authorization Architectures for Tool-Using AI Agents," arXiv:2609.15906, 2026.</w:t>
      </w:r>
    </w:p>
    <w:p>
      <w:pPr>
        <w:pStyle w:val="Heading1"/>
      </w:pPr>
      <w:r>
        <w:t>Appendix A. Canonical Public Contract</w:t>
      </w:r>
    </w:p>
    <w:p>
      <w:pPr>
        <w:pStyle w:val="BodyText"/>
        <w:spacing w:after="80"/>
      </w:pPr>
      <w:r>
        <w:t>Canonical six-invariant text is reproduced verbatim in Section 2.1 from LAYER2_COMMIT_TIME_AUTHORITY_REVIEW.md. The frozen tuple is (subject, artifact, control_state, identity_basis, boundary_epoch, decision). The canonical invariant identifiers are INV-CONT, INV-DISC, INV-BND, INV-EVD, INV-USE, and INV-CLO.</w:t>
      </w:r>
    </w:p>
    <w:p>
      <w:pPr>
        <w:pStyle w:val="Heading1"/>
      </w:pPr>
      <w:r>
        <w:t>Appendix B. Evidence Manifest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1944"/>
            <w:vAlign w:val="top"/>
            <w:shd w:fill="D9E1F2"/>
          </w:tcPr>
          <w:p>
            <w:r/>
            <w:r>
              <w:rPr>
                <w:rFonts w:ascii="Times New Roman" w:hAnsi="Times New Roman"/>
                <w:b/>
                <w:sz w:val="15"/>
              </w:rPr>
              <w:t>Paper claim</w:t>
            </w:r>
          </w:p>
        </w:tc>
        <w:tc>
          <w:tcPr>
            <w:tcW w:type="dxa" w:w="2160"/>
            <w:vAlign w:val="top"/>
            <w:shd w:fill="D9E1F2"/>
          </w:tcPr>
          <w:p>
            <w:r/>
            <w:r>
              <w:rPr>
                <w:rFonts w:ascii="Times New Roman" w:hAnsi="Times New Roman"/>
                <w:b/>
                <w:sz w:val="15"/>
              </w:rPr>
              <w:t>Evidence category</w:t>
            </w:r>
          </w:p>
        </w:tc>
        <w:tc>
          <w:tcPr>
            <w:tcW w:type="dxa" w:w="1440"/>
            <w:vAlign w:val="top"/>
            <w:shd w:fill="D9E1F2"/>
          </w:tcPr>
          <w:p>
            <w:r/>
            <w:r>
              <w:rPr>
                <w:rFonts w:ascii="Times New Roman" w:hAnsi="Times New Roman"/>
                <w:b/>
                <w:sz w:val="15"/>
              </w:rPr>
              <w:t>Fixture/test</w:t>
            </w:r>
          </w:p>
        </w:tc>
        <w:tc>
          <w:tcPr>
            <w:tcW w:type="dxa" w:w="1440"/>
            <w:vAlign w:val="top"/>
            <w:shd w:fill="D9E1F2"/>
          </w:tcPr>
          <w:p>
            <w:r/>
            <w:r>
              <w:rPr>
                <w:rFonts w:ascii="Times New Roman" w:hAnsi="Times New Roman"/>
                <w:b/>
                <w:sz w:val="15"/>
              </w:rPr>
              <w:t>Exact state</w:t>
            </w:r>
          </w:p>
        </w:tc>
        <w:tc>
          <w:tcPr>
            <w:tcW w:type="dxa" w:w="1800"/>
            <w:vAlign w:val="top"/>
            <w:shd w:fill="D9E1F2"/>
          </w:tcPr>
          <w:p>
            <w:r/>
            <w:r>
              <w:rPr>
                <w:rFonts w:ascii="Times New Roman" w:hAnsi="Times New Roman"/>
                <w:b/>
                <w:sz w:val="15"/>
              </w:rPr>
              <w:t>Artifact/review</w:t>
            </w:r>
          </w:p>
        </w:tc>
        <w:tc>
          <w:tcPr>
            <w:tcW w:type="dxa" w:w="1584"/>
            <w:vAlign w:val="top"/>
            <w:shd w:fill="D9E1F2"/>
          </w:tcPr>
          <w:p>
            <w:r/>
            <w:r>
              <w:rPr>
                <w:rFonts w:ascii="Times New Roman" w:hAnsi="Times New Roman"/>
                <w:b/>
                <w:sz w:val="15"/>
              </w:rPr>
              <w:t>Status</w:t>
            </w:r>
          </w:p>
        </w:tc>
      </w:tr>
      <w:tr>
        <w:tc>
          <w:tcPr>
            <w:tcW w:type="dxa" w:w="1944"/>
            <w:vAlign w:val="top"/>
          </w:tcPr>
          <w:p>
            <w:r>
              <w:t>GT-PAPER-001</w:t>
            </w:r>
          </w:p>
        </w:tc>
        <w:tc>
          <w:tcPr>
            <w:tcW w:type="dxa" w:w="2160"/>
            <w:vAlign w:val="top"/>
          </w:tcPr>
          <w:p>
            <w:r>
              <w:t>Normative + experimental framing</w:t>
            </w:r>
          </w:p>
        </w:tc>
        <w:tc>
          <w:tcPr>
            <w:tcW w:type="dxa" w:w="1440"/>
            <w:vAlign w:val="top"/>
          </w:tcPr>
          <w:p>
            <w:r>
              <w:t>README / model</w:t>
            </w:r>
          </w:p>
        </w:tc>
        <w:tc>
          <w:tcPr>
            <w:tcW w:type="dxa" w:w="1440"/>
            <w:vAlign w:val="top"/>
          </w:tcPr>
          <w:p>
            <w:r>
              <w:t>Frozen v1</w:t>
            </w:r>
          </w:p>
        </w:tc>
        <w:tc>
          <w:tcPr>
            <w:tcW w:type="dxa" w:w="1800"/>
            <w:vAlign w:val="top"/>
          </w:tcPr>
          <w:p>
            <w:r>
              <w:t>Canonical contract</w:t>
            </w:r>
          </w:p>
        </w:tc>
        <w:tc>
          <w:tcPr>
            <w:tcW w:type="dxa" w:w="1584"/>
            <w:vAlign w:val="top"/>
          </w:tcPr>
          <w:p>
            <w:r>
              <w:t>Verified</w:t>
            </w:r>
          </w:p>
        </w:tc>
      </w:tr>
      <w:tr>
        <w:tc>
          <w:tcPr>
            <w:tcW w:type="dxa" w:w="1944"/>
            <w:vAlign w:val="top"/>
          </w:tcPr>
          <w:p>
            <w:r>
              <w:t>GT-PAPER-002</w:t>
            </w:r>
          </w:p>
        </w:tc>
        <w:tc>
          <w:tcPr>
            <w:tcW w:type="dxa" w:w="2160"/>
            <w:vAlign w:val="top"/>
          </w:tcPr>
          <w:p>
            <w:r>
              <w:t>Experimental/model</w:t>
            </w:r>
          </w:p>
        </w:tc>
        <w:tc>
          <w:tcPr>
            <w:tcW w:type="dxa" w:w="1440"/>
            <w:vAlign w:val="top"/>
          </w:tcPr>
          <w:p>
            <w:r>
              <w:t>Outcome tests</w:t>
            </w:r>
          </w:p>
        </w:tc>
        <w:tc>
          <w:tcPr>
            <w:tcW w:type="dxa" w:w="1440"/>
            <w:vAlign w:val="top"/>
          </w:tcPr>
          <w:p>
            <w:r>
              <w:t>Frozen v1</w:t>
            </w:r>
          </w:p>
        </w:tc>
        <w:tc>
          <w:tcPr>
            <w:tcW w:type="dxa" w:w="1800"/>
            <w:vAlign w:val="top"/>
          </w:tcPr>
          <w:p>
            <w:r>
              <w:t>AUTHORIZED / DENIED / UNAVAILABLE</w:t>
            </w:r>
          </w:p>
        </w:tc>
        <w:tc>
          <w:tcPr>
            <w:tcW w:type="dxa" w:w="1584"/>
            <w:vAlign w:val="top"/>
          </w:tcPr>
          <w:p>
            <w:r>
              <w:t>Verified</w:t>
            </w:r>
          </w:p>
        </w:tc>
      </w:tr>
      <w:tr>
        <w:tc>
          <w:tcPr>
            <w:tcW w:type="dxa" w:w="1632"/>
          </w:tcPr>
          <w:p>
            <w:r>
              <w:t>GT-PAPER-003</w:t>
            </w:r>
          </w:p>
        </w:tc>
        <w:tc>
          <w:tcPr>
            <w:tcW w:type="dxa" w:w="1632"/>
          </w:tcPr>
          <w:p>
            <w:r>
              <w:t>Experimental</w:t>
            </w:r>
          </w:p>
        </w:tc>
        <w:tc>
          <w:tcPr>
            <w:tcW w:type="dxa" w:w="1632"/>
          </w:tcPr>
          <w:p>
            <w:r>
              <w:t>Oracle-independence tests</w:t>
            </w:r>
          </w:p>
        </w:tc>
        <w:tc>
          <w:tcPr>
            <w:tcW w:type="dxa" w:w="1632"/>
          </w:tcPr>
          <w:p>
            <w:r>
              <w:t>Freeze</w:t>
            </w:r>
          </w:p>
        </w:tc>
        <w:tc>
          <w:tcPr>
            <w:tcW w:type="dxa" w:w="1632"/>
          </w:tcPr>
          <w:p>
            <w:r>
              <w:t>AuthorityLabTests</w:t>
            </w:r>
          </w:p>
        </w:tc>
        <w:tc>
          <w:tcPr>
            <w:tcW w:type="dxa" w:w="1632"/>
          </w:tcPr>
          <w:p>
            <w:r>
              <w:t>Verified</w:t>
            </w:r>
          </w:p>
        </w:tc>
      </w:tr>
      <w:tr>
        <w:tc>
          <w:tcPr>
            <w:tcW w:type="dxa" w:w="1632"/>
          </w:tcPr>
          <w:p>
            <w:r>
              <w:t>GT-PAPER-004</w:t>
            </w:r>
          </w:p>
        </w:tc>
        <w:tc>
          <w:tcPr>
            <w:tcW w:type="dxa" w:w="1632"/>
          </w:tcPr>
          <w:p>
            <w:r>
              <w:t>Experimental</w:t>
            </w:r>
          </w:p>
        </w:tc>
        <w:tc>
          <w:tcPr>
            <w:tcW w:type="dxa" w:w="1632"/>
          </w:tcPr>
          <w:p>
            <w:r>
              <w:t>Repeated deterministic replay</w:t>
            </w:r>
          </w:p>
        </w:tc>
        <w:tc>
          <w:tcPr>
            <w:tcW w:type="dxa" w:w="1632"/>
          </w:tcPr>
          <w:p>
            <w:r>
              <w:t>Freeze</w:t>
            </w:r>
          </w:p>
        </w:tc>
        <w:tc>
          <w:tcPr>
            <w:tcW w:type="dxa" w:w="1632"/>
          </w:tcPr>
          <w:p>
            <w:r>
              <w:t>test_identical_canonical_input_replays_deterministically</w:t>
            </w:r>
          </w:p>
        </w:tc>
        <w:tc>
          <w:tcPr>
            <w:tcW w:type="dxa" w:w="1632"/>
          </w:tcPr>
          <w:p>
            <w:r>
              <w:t>Verified</w:t>
            </w:r>
          </w:p>
        </w:tc>
      </w:tr>
      <w:tr>
        <w:tc>
          <w:tcPr>
            <w:tcW w:type="dxa" w:w="1632"/>
          </w:tcPr>
          <w:p>
            <w:r>
              <w:t>GT-PAPER-005</w:t>
            </w:r>
          </w:p>
        </w:tc>
        <w:tc>
          <w:tcPr>
            <w:tcW w:type="dxa" w:w="1632"/>
          </w:tcPr>
          <w:p>
            <w:r>
              <w:t>Repair</w:t>
            </w:r>
          </w:p>
        </w:tc>
        <w:tc>
          <w:tcPr>
            <w:tcW w:type="dxa" w:w="1632"/>
          </w:tcPr>
          <w:p>
            <w:r>
              <w:t>Objective binding family</w:t>
            </w:r>
          </w:p>
        </w:tc>
        <w:tc>
          <w:tcPr>
            <w:tcW w:type="dxa" w:w="1632"/>
          </w:tcPr>
          <w:p>
            <w:r>
              <w:t>Freeze</w:t>
            </w:r>
          </w:p>
        </w:tc>
        <w:tc>
          <w:tcPr>
            <w:tcW w:type="dxa" w:w="1632"/>
          </w:tcPr>
          <w:p>
            <w:r>
              <w:t>Paper evidence manifest</w:t>
            </w:r>
          </w:p>
        </w:tc>
        <w:tc>
          <w:tcPr>
            <w:tcW w:type="dxa" w:w="1632"/>
          </w:tcPr>
          <w:p>
            <w:r>
              <w:t>Level 7</w:t>
            </w:r>
          </w:p>
        </w:tc>
      </w:tr>
      <w:tr>
        <w:tc>
          <w:tcPr>
            <w:tcW w:type="dxa" w:w="1632"/>
          </w:tcPr>
          <w:p>
            <w:r>
              <w:t>GT-PAPER-007</w:t>
            </w:r>
          </w:p>
        </w:tc>
        <w:tc>
          <w:tcPr>
            <w:tcW w:type="dxa" w:w="1632"/>
          </w:tcPr>
          <w:p>
            <w:r>
              <w:t>Repair</w:t>
            </w:r>
          </w:p>
        </w:tc>
        <w:tc>
          <w:tcPr>
            <w:tcW w:type="dxa" w:w="1632"/>
          </w:tcPr>
          <w:p>
            <w:r>
              <w:t>Shutdown/successor family</w:t>
            </w:r>
          </w:p>
        </w:tc>
        <w:tc>
          <w:tcPr>
            <w:tcW w:type="dxa" w:w="1632"/>
          </w:tcPr>
          <w:p>
            <w:r>
              <w:t>Freeze</w:t>
            </w:r>
          </w:p>
        </w:tc>
        <w:tc>
          <w:tcPr>
            <w:tcW w:type="dxa" w:w="1632"/>
          </w:tcPr>
          <w:p>
            <w:r>
              <w:t>Paper evidence manifest</w:t>
            </w:r>
          </w:p>
        </w:tc>
        <w:tc>
          <w:tcPr>
            <w:tcW w:type="dxa" w:w="1632"/>
          </w:tcPr>
          <w:p>
            <w:r>
              <w:t>Level 7</w:t>
            </w:r>
          </w:p>
        </w:tc>
      </w:tr>
      <w:tr>
        <w:tc>
          <w:tcPr>
            <w:tcW w:type="dxa" w:w="1632"/>
          </w:tcPr>
          <w:p>
            <w:r>
              <w:t>GT-PAPER-012</w:t>
            </w:r>
          </w:p>
        </w:tc>
        <w:tc>
          <w:tcPr>
            <w:tcW w:type="dxa" w:w="1632"/>
          </w:tcPr>
          <w:p>
            <w:r>
              <w:t>Repair</w:t>
            </w:r>
          </w:p>
        </w:tc>
        <w:tc>
          <w:tcPr>
            <w:tcW w:type="dxa" w:w="1632"/>
          </w:tcPr>
          <w:p>
            <w:r>
              <w:t>Delegation family</w:t>
            </w:r>
          </w:p>
        </w:tc>
        <w:tc>
          <w:tcPr>
            <w:tcW w:type="dxa" w:w="1632"/>
          </w:tcPr>
          <w:p>
            <w:r>
              <w:t>Freeze</w:t>
            </w:r>
          </w:p>
        </w:tc>
        <w:tc>
          <w:tcPr>
            <w:tcW w:type="dxa" w:w="1632"/>
          </w:tcPr>
          <w:p>
            <w:r>
              <w:t>Paper evidence manifest</w:t>
            </w:r>
          </w:p>
        </w:tc>
        <w:tc>
          <w:tcPr>
            <w:tcW w:type="dxa" w:w="1632"/>
          </w:tcPr>
          <w:p>
            <w:r>
              <w:t>Level 7</w:t>
            </w:r>
          </w:p>
        </w:tc>
      </w:tr>
      <w:tr>
        <w:tc>
          <w:tcPr>
            <w:tcW w:type="dxa" w:w="1632"/>
          </w:tcPr>
          <w:p>
            <w:r>
              <w:t>GT-PAPER-013</w:t>
            </w:r>
          </w:p>
        </w:tc>
        <w:tc>
          <w:tcPr>
            <w:tcW w:type="dxa" w:w="1632"/>
          </w:tcPr>
          <w:p>
            <w:r>
              <w:t>Repair</w:t>
            </w:r>
          </w:p>
        </w:tc>
        <w:tc>
          <w:tcPr>
            <w:tcW w:type="dxa" w:w="1632"/>
          </w:tcPr>
          <w:p>
            <w:r>
              <w:t>Human approval family</w:t>
            </w:r>
          </w:p>
        </w:tc>
        <w:tc>
          <w:tcPr>
            <w:tcW w:type="dxa" w:w="1632"/>
          </w:tcPr>
          <w:p>
            <w:r>
              <w:t>Freeze</w:t>
            </w:r>
          </w:p>
        </w:tc>
        <w:tc>
          <w:tcPr>
            <w:tcW w:type="dxa" w:w="1632"/>
          </w:tcPr>
          <w:p>
            <w:r>
              <w:t>Paper evidence manifest</w:t>
            </w:r>
          </w:p>
        </w:tc>
        <w:tc>
          <w:tcPr>
            <w:tcW w:type="dxa" w:w="1632"/>
          </w:tcPr>
          <w:p>
            <w:r>
              <w:t>Level 7</w:t>
            </w:r>
          </w:p>
        </w:tc>
      </w:tr>
      <w:tr>
        <w:tc>
          <w:tcPr>
            <w:tcW w:type="dxa" w:w="1632"/>
          </w:tcPr>
          <w:p>
            <w:r>
              <w:t>GT-PAPER-014</w:t>
            </w:r>
          </w:p>
        </w:tc>
        <w:tc>
          <w:tcPr>
            <w:tcW w:type="dxa" w:w="1632"/>
          </w:tcPr>
          <w:p>
            <w:r>
              <w:t>Repair</w:t>
            </w:r>
          </w:p>
        </w:tc>
        <w:tc>
          <w:tcPr>
            <w:tcW w:type="dxa" w:w="1632"/>
          </w:tcPr>
          <w:p>
            <w:r>
              <w:t>Tool/target family</w:t>
            </w:r>
          </w:p>
        </w:tc>
        <w:tc>
          <w:tcPr>
            <w:tcW w:type="dxa" w:w="1632"/>
          </w:tcPr>
          <w:p>
            <w:r>
              <w:t>Freeze</w:t>
            </w:r>
          </w:p>
        </w:tc>
        <w:tc>
          <w:tcPr>
            <w:tcW w:type="dxa" w:w="1632"/>
          </w:tcPr>
          <w:p>
            <w:r>
              <w:t>Paper evidence manifest</w:t>
            </w:r>
          </w:p>
        </w:tc>
        <w:tc>
          <w:tcPr>
            <w:tcW w:type="dxa" w:w="1632"/>
          </w:tcPr>
          <w:p>
            <w:r>
              <w:t>Level 7</w:t>
            </w:r>
          </w:p>
        </w:tc>
      </w:tr>
      <w:tr>
        <w:tc>
          <w:tcPr>
            <w:tcW w:type="dxa" w:w="1632"/>
          </w:tcPr>
          <w:p>
            <w:r>
              <w:t>GT-PAPER-015</w:t>
            </w:r>
          </w:p>
        </w:tc>
        <w:tc>
          <w:tcPr>
            <w:tcW w:type="dxa" w:w="1632"/>
          </w:tcPr>
          <w:p>
            <w:r>
              <w:t>Experimental</w:t>
            </w:r>
          </w:p>
        </w:tc>
        <w:tc>
          <w:tcPr>
            <w:tcW w:type="dxa" w:w="1632"/>
          </w:tcPr>
          <w:p>
            <w:r>
              <w:t>Long-horizon temporal counterexample</w:t>
            </w:r>
          </w:p>
        </w:tc>
        <w:tc>
          <w:tcPr>
            <w:tcW w:type="dxa" w:w="1632"/>
          </w:tcPr>
          <w:p>
            <w:r>
              <w:t>15780ddb8d7cb864e0170eb5fab489451daa5bd9</w:t>
            </w:r>
          </w:p>
        </w:tc>
        <w:tc>
          <w:tcPr>
            <w:tcW w:type="dxa" w:w="1632"/>
          </w:tcPr>
          <w:p>
            <w:r>
              <w:t>Temporal composition research</w:t>
            </w:r>
          </w:p>
        </w:tc>
        <w:tc>
          <w:tcPr>
            <w:tcW w:type="dxa" w:w="1632"/>
          </w:tcPr>
          <w:p>
            <w:r>
              <w:t>Remotely inspectable</w:t>
            </w:r>
          </w:p>
        </w:tc>
      </w:tr>
      <w:tr>
        <w:tc>
          <w:tcPr>
            <w:tcW w:type="dxa" w:w="1632"/>
          </w:tcPr>
          <w:p>
            <w:r>
              <w:t>GT-PAPER-016</w:t>
            </w:r>
          </w:p>
        </w:tc>
        <w:tc>
          <w:tcPr>
            <w:tcW w:type="dxa" w:w="1632"/>
          </w:tcPr>
          <w:p>
            <w:r>
              <w:t>Repair</w:t>
            </w:r>
          </w:p>
        </w:tc>
        <w:tc>
          <w:tcPr>
            <w:tcW w:type="dxa" w:w="1632"/>
          </w:tcPr>
          <w:p>
            <w:r>
              <w:t>LAB-V1-412..443</w:t>
            </w:r>
          </w:p>
        </w:tc>
        <w:tc>
          <w:tcPr>
            <w:tcW w:type="dxa" w:w="1632"/>
          </w:tcPr>
          <w:p>
            <w:r>
              <w:t>4e1eae61136fdda078c5e38f71e0f62f83fa92f9</w:t>
            </w:r>
          </w:p>
        </w:tc>
        <w:tc>
          <w:tcPr>
            <w:tcW w:type="dxa" w:w="1632"/>
          </w:tcPr>
          <w:p>
            <w:r>
              <w:t>T3 execution-event convergence</w:t>
            </w:r>
          </w:p>
        </w:tc>
        <w:tc>
          <w:tcPr>
            <w:tcW w:type="dxa" w:w="1632"/>
          </w:tcPr>
          <w:p>
            <w:r>
              <w:t>Level 7</w:t>
            </w:r>
          </w:p>
        </w:tc>
      </w:tr>
      <w:tr>
        <w:tc>
          <w:tcPr>
            <w:tcW w:type="dxa" w:w="1632"/>
          </w:tcPr>
          <w:p>
            <w:r>
              <w:t>GT-PAPER-017</w:t>
            </w:r>
          </w:p>
        </w:tc>
        <w:tc>
          <w:tcPr>
            <w:tcW w:type="dxa" w:w="1632"/>
          </w:tcPr>
          <w:p>
            <w:r>
              <w:t>Repair</w:t>
            </w:r>
          </w:p>
        </w:tc>
        <w:tc>
          <w:tcPr>
            <w:tcW w:type="dxa" w:w="1632"/>
          </w:tcPr>
          <w:p>
            <w:r>
              <w:t>LAB-V1-444..466</w:t>
            </w:r>
          </w:p>
        </w:tc>
        <w:tc>
          <w:tcPr>
            <w:tcW w:type="dxa" w:w="1632"/>
          </w:tcPr>
          <w:p>
            <w:r>
              <w:t>31d78aa158618ca8b72eb61e2f49b434e4319e9e</w:t>
            </w:r>
          </w:p>
        </w:tc>
        <w:tc>
          <w:tcPr>
            <w:tcW w:type="dxa" w:w="1632"/>
          </w:tcPr>
          <w:p>
            <w:r>
              <w:t>Composite adversarial continuity</w:t>
            </w:r>
          </w:p>
        </w:tc>
        <w:tc>
          <w:tcPr>
            <w:tcW w:type="dxa" w:w="1632"/>
          </w:tcPr>
          <w:p>
            <w:r>
              <w:t>Level 7</w:t>
            </w:r>
          </w:p>
        </w:tc>
      </w:tr>
      <w:tr>
        <w:tc>
          <w:tcPr>
            <w:tcW w:type="dxa" w:w="1632"/>
          </w:tcPr>
          <w:p>
            <w:r>
              <w:t>GT-PAPER-018</w:t>
            </w:r>
          </w:p>
        </w:tc>
        <w:tc>
          <w:tcPr>
            <w:tcW w:type="dxa" w:w="1632"/>
          </w:tcPr>
          <w:p>
            <w:r>
              <w:t>Experimental</w:t>
            </w:r>
          </w:p>
        </w:tc>
        <w:tc>
          <w:tcPr>
            <w:tcW w:type="dxa" w:w="1632"/>
          </w:tcPr>
          <w:p>
            <w:r>
              <w:t>Positive controls across repaired classes</w:t>
            </w:r>
          </w:p>
        </w:tc>
        <w:tc>
          <w:tcPr>
            <w:tcW w:type="dxa" w:w="1632"/>
          </w:tcPr>
          <w:p>
            <w:r>
              <w:t>Freeze</w:t>
            </w:r>
          </w:p>
        </w:tc>
        <w:tc>
          <w:tcPr>
            <w:tcW w:type="dxa" w:w="1632"/>
          </w:tcPr>
          <w:p>
            <w:r>
              <w:t>Paper evidence manifest</w:t>
            </w:r>
          </w:p>
        </w:tc>
        <w:tc>
          <w:tcPr>
            <w:tcW w:type="dxa" w:w="1632"/>
          </w:tcPr>
          <w:p>
            <w:r>
              <w:t>Verified</w:t>
            </w:r>
          </w:p>
        </w:tc>
      </w:tr>
      <w:tr>
        <w:tc>
          <w:tcPr>
            <w:tcW w:type="dxa" w:w="1632"/>
          </w:tcPr>
          <w:p>
            <w:r>
              <w:t>GT-PAPER-019</w:t>
            </w:r>
          </w:p>
        </w:tc>
        <w:tc>
          <w:tcPr>
            <w:tcW w:type="dxa" w:w="1632"/>
          </w:tcPr>
          <w:p>
            <w:r>
              <w:t>Experimental/model</w:t>
            </w:r>
          </w:p>
        </w:tc>
        <w:tc>
          <w:tcPr>
            <w:tcW w:type="dxa" w:w="1632"/>
          </w:tcPr>
          <w:p>
            <w:r>
              <w:t>DENIED/UNAVAILABLE controls</w:t>
            </w:r>
          </w:p>
        </w:tc>
        <w:tc>
          <w:tcPr>
            <w:tcW w:type="dxa" w:w="1632"/>
          </w:tcPr>
          <w:p>
            <w:r>
              <w:t>Freeze</w:t>
            </w:r>
          </w:p>
        </w:tc>
        <w:tc>
          <w:tcPr>
            <w:tcW w:type="dxa" w:w="1632"/>
          </w:tcPr>
          <w:p>
            <w:r>
              <w:t>Oracle + fixtures</w:t>
            </w:r>
          </w:p>
        </w:tc>
        <w:tc>
          <w:tcPr>
            <w:tcW w:type="dxa" w:w="1632"/>
          </w:tcPr>
          <w:p>
            <w:r>
              <w:t>Verified</w:t>
            </w:r>
          </w:p>
        </w:tc>
      </w:tr>
      <w:tr>
        <w:tc>
          <w:tcPr>
            <w:tcW w:type="dxa" w:w="1632"/>
          </w:tcPr>
          <w:p>
            <w:r>
              <w:t>GT-PAPER-020</w:t>
            </w:r>
          </w:p>
        </w:tc>
        <w:tc>
          <w:tcPr>
            <w:tcW w:type="dxa" w:w="1632"/>
          </w:tcPr>
          <w:p>
            <w:r>
              <w:t>External assumption</w:t>
            </w:r>
          </w:p>
        </w:tc>
        <w:tc>
          <w:tcPr>
            <w:tcW w:type="dxa" w:w="1632"/>
          </w:tcPr>
          <w:p>
            <w:r>
              <w:t>Consistent-lie boundary</w:t>
            </w:r>
          </w:p>
        </w:tc>
        <w:tc>
          <w:tcPr>
            <w:tcW w:type="dxa" w:w="1632"/>
          </w:tcPr>
          <w:p>
            <w:r>
              <w:t>Freeze</w:t>
            </w:r>
          </w:p>
        </w:tc>
        <w:tc>
          <w:tcPr>
            <w:tcW w:type="dxa" w:w="1632"/>
          </w:tcPr>
          <w:p>
            <w:r>
              <w:t>Threat model / limitations</w:t>
            </w:r>
          </w:p>
        </w:tc>
        <w:tc>
          <w:tcPr>
            <w:tcW w:type="dxa" w:w="1632"/>
          </w:tcPr>
          <w:p>
            <w:r>
              <w:t>Explicit limitation</w:t>
            </w:r>
          </w:p>
        </w:tc>
      </w:tr>
    </w:tbl>
    <w:p>
      <w:pPr>
        <w:spacing w:after="40"/>
      </w:pP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GROUND TRUTH - RESEARCH RELEASE CANDIDATE v1.0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Times New Roman" w:hAnsi="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after="100"/>
      <w:ind w:left="360" w:right="360"/>
    </w:pPr>
    <w:rPr>
      <w:rFonts w:ascii="Times New Roman" w:hAnsi="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Truth: Deterministic Falsification of Authority Continuity in Autonomous Systems</dc:title>
  <dc:subject>Ground Truth research release candidate v1.0</dc:subject>
  <dc:creator>David B. Boyd</dc:creator>
  <cp:keywords>Ground Truth, authority continuity, autonomous systems, deterministic falsification</cp:keywords>
  <dc:description>generated by python-docx</dc:description>
  <cp:lastModifiedBy>David B. Boyd</cp:lastModifiedBy>
  <cp:revision>1</cp:revision>
  <dcterms:created xsi:type="dcterms:W3CDTF">2013-12-23T23:15:00Z</dcterms:created>
  <dcterms:modified xsi:type="dcterms:W3CDTF">2013-12-23T23:15:00Z</dcterms:modified>
  <cp:category/>
</cp:coreProperties>
</file>