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Ground Truth for PHI: Deterministic Authorization of Semantic Disclosure in AI Systems</w:t>
      </w:r>
    </w:p>
    <w:p>
      <w:pPr>
        <w:jc w:val="center"/>
      </w:pPr>
      <w:r>
        <w:rPr>
          <w:rFonts w:ascii="Liberation Serif" w:hAnsi="Liberation Serif"/>
          <w:sz w:val="21"/>
        </w:rPr>
        <w:t>David B. Boyd</w:t>
        <w:br/>
        <w:t>Independent Researcher</w:t>
        <w:br/>
        <w:t>Antigonish, Nova Scotia, Canada</w:t>
      </w:r>
    </w:p>
    <w:p>
      <w:pPr>
        <w:jc w:val="center"/>
      </w:pPr>
      <w:r>
        <w:rPr>
          <w:rFonts w:ascii="Liberation Sans" w:hAnsi="Liberation Sans"/>
          <w:i/>
          <w:sz w:val="20"/>
        </w:rPr>
        <w:t>Research preprint candidate v1.0 — 4 October 2026</w:t>
      </w:r>
    </w:p>
    <w:p>
      <w:pPr>
        <w:pStyle w:val="Heading2"/>
      </w:pPr>
      <w:r>
        <w:t>Abstract</w:t>
      </w:r>
    </w:p>
    <w:p>
      <w:pPr>
        <w:keepLines w:val="0"/>
      </w:pPr>
      <w:r>
        <w:t xml:space="preserve">Privacy-preserving AI systems can hide payer identity, minimize account metadata, protect transport, and isolate local state while leaving a separate question unresolved: whether the exact semantic information in a model request is currently authorized for disclosure. This paper separates cryptographic privacy, data minimization, access/payment authorization, and semantic disclosure authority. Using the pinned public architecture </w:t>
      </w:r>
      <w:r>
        <w:rPr>
          <w:rFonts w:ascii="Liberation Mono" w:hAnsi="Liberation Mono"/>
          <w:sz w:val="19"/>
        </w:rPr>
        <w:t>ethereum/zkapi@045b444ea1b52538d1b40273c7cb6ed09468a052</w:t>
      </w:r>
      <w:r>
        <w:t xml:space="preserve"> as a bounded case study and synthetic health-information scenarios, we construct ten adversarial disclosure families: cumulative composition, disclosure-history rollback, authorization-to-execution mutation, derived-disclosure laundering, effective-recipient collapse, revocation races, ambiguous send outcomes, cross-session memory contamination, provider migration, and a final hostile composition. We then integrate the resulting disclosure-authority gate into Ground Truth's existing </w:t>
      </w:r>
      <w:r>
        <w:rPr>
          <w:rFonts w:ascii="Liberation Mono" w:hAnsi="Liberation Mono"/>
          <w:sz w:val="19"/>
        </w:rPr>
        <w:t>authority-lab-v1</w:t>
      </w:r>
      <w:r>
        <w:t xml:space="preserve"> model without adding a seventh invariant, fourth outcome, or new tuple coordinate. The merged implementation preserves </w:t>
      </w:r>
      <w:r>
        <w:rPr>
          <w:rFonts w:ascii="Liberation Mono" w:hAnsi="Liberation Mono"/>
          <w:sz w:val="19"/>
        </w:rPr>
        <w:t>AUTHORIZED</w:t>
      </w:r>
      <w:r>
        <w:t xml:space="preserve">, </w:t>
      </w:r>
      <w:r>
        <w:rPr>
          <w:rFonts w:ascii="Liberation Mono" w:hAnsi="Liberation Mono"/>
          <w:sz w:val="19"/>
        </w:rPr>
        <w:t>DENIED</w:t>
      </w:r>
      <w:r>
        <w:t xml:space="preserve">, and </w:t>
      </w:r>
      <w:r>
        <w:rPr>
          <w:rFonts w:ascii="Liberation Mono" w:hAnsi="Liberation Mono"/>
          <w:sz w:val="19"/>
        </w:rPr>
        <w:t>UNAVAILABLE</w:t>
      </w:r>
      <w:r>
        <w:t xml:space="preserve">, joins semantic disclosure authority to the existing protected T3 event, and applies the invariant </w:t>
      </w:r>
      <w:r>
        <w:rPr>
          <w:rFonts w:ascii="Liberation Mono" w:hAnsi="Liberation Mono"/>
          <w:sz w:val="19"/>
        </w:rPr>
        <w:t>NO CURRENT PHI DISCLOSURE AUTHORITY -&gt; NO EXTERNAL INFERENCE EFFECT</w:t>
      </w:r>
      <w:r>
        <w:t>. At the merged repository state, the bounded regression record is 265/265 Authority Lab tests PASS, 478/478 fixtures PASS, hostile review PASS, and final implementation verifier OVERALL PASS. These are failure-to-falsify results under the stated model and assumptions, not claims of HIPAA, PHIPA, PIPEDA, production security, or universal correctness.</w:t>
      </w:r>
    </w:p>
    <w:p>
      <w:pPr>
        <w:pStyle w:val="Heading1"/>
      </w:pPr>
      <w:r>
        <w:t>1. Motivation</w:t>
      </w:r>
    </w:p>
    <w:p>
      <w:pPr>
        <w:keepLines w:val="0"/>
      </w:pPr>
      <w:r>
        <w:t>Local models, anonymous payment, privacy-preserving transport, and remote frontier models can reduce exposure without answering whether a particular semantic disclosure is currently authorized. PHI makes this especially sharp because disclosures can be irreversible and because multiple modest facts can compose into a materially different privacy state.</w:t>
      </w:r>
    </w:p>
    <w:p>
      <w:pPr>
        <w:pStyle w:val="Heading1"/>
      </w:pPr>
      <w:r>
        <w:t>2. Property separation</w:t>
      </w:r>
    </w:p>
    <w:p>
      <w:pPr>
        <w:keepLines w:val="0"/>
      </w:pPr>
      <w:r>
        <w:rPr>
          <w:rFonts w:ascii="Liberation Mono" w:hAnsi="Liberation Mono"/>
          <w:sz w:val="19"/>
        </w:rPr>
        <w:t>Capability != Evidence != Authority != Disclosure</w:t>
      </w:r>
    </w:p>
    <w:p>
      <w:pPr>
        <w:keepLines w:val="0"/>
      </w:pPr>
      <w:r>
        <w:rPr>
          <w:rFonts w:ascii="Liberation Mono" w:hAnsi="Liberation Mono"/>
          <w:sz w:val="19"/>
        </w:rPr>
        <w:t>Privacy != Disclosure Authority</w:t>
      </w:r>
    </w:p>
    <w:p>
      <w:pPr>
        <w:keepLines w:val="0"/>
      </w:pPr>
      <w:r>
        <w:rPr>
          <w:rFonts w:ascii="Liberation Mono" w:hAnsi="Liberation Mono"/>
          <w:sz w:val="19"/>
        </w:rPr>
        <w:t>Per-request authorization != Composed authorization</w:t>
      </w:r>
    </w:p>
    <w:p>
      <w:pPr>
        <w:keepLines w:val="0"/>
      </w:pPr>
      <w:r>
        <w:t>A model's ability to sanitize, a cryptographic proof, or anonymous payment evidence cannot silently establish a different proposition: permission for exact semantic content to cross an exact boundary for an exact purpose at an exact time.</w:t>
      </w:r>
    </w:p>
    <w:p>
      <w:pPr>
        <w:pStyle w:val="Heading1"/>
      </w:pPr>
      <w:r>
        <w:t>3. Case-study boundary</w:t>
      </w:r>
    </w:p>
    <w:p>
      <w:pPr>
        <w:keepLines w:val="0"/>
      </w:pPr>
      <w:r>
        <w:t xml:space="preserve">Pinned case study: </w:t>
      </w:r>
      <w:r>
        <w:rPr>
          <w:rFonts w:ascii="Liberation Mono" w:hAnsi="Liberation Mono"/>
          <w:sz w:val="19"/>
        </w:rPr>
        <w:t>ethereum/zkapi@045b444ea1b52538d1b40273c7cb6ed09468a052</w:t>
      </w:r>
    </w:p>
    <w:p>
      <w:pPr>
        <w:keepLines w:val="0"/>
      </w:pPr>
      <w:r>
        <w:t>The lease authorization is explicitly prompt-free. The local OpenAI-compatible daemon separately accepts message content, structurally sanitizes the request, and forwards the cleaned inference body. This makes zkAPI useful as a boundary case precisely because its payment/privacy mechanisms can remain correct while semantic disclosure authority is a separate proposition.</w:t>
      </w:r>
    </w:p>
    <w:p>
      <w:pPr>
        <w:keepLines w:val="0"/>
      </w:pPr>
      <w:r>
        <w:t>No zkAPI vulnerability is claimed.</w:t>
      </w:r>
    </w:p>
    <w:p>
      <w:pPr>
        <w:pStyle w:val="Heading1"/>
      </w:pPr>
      <w:r>
        <w:t>4. Model</w:t>
      </w:r>
    </w:p>
    <w:p>
      <w:pPr>
        <w:keepLines w:val="0"/>
      </w:pPr>
      <w:r>
        <w:t>For request n:</w:t>
      </w:r>
    </w:p>
    <w:p>
      <w:pPr>
        <w:pStyle w:val="ListBullet"/>
      </w:pPr>
      <w:r>
        <w:rPr>
          <w:rFonts w:ascii="Liberation Mono" w:hAnsi="Liberation Mono"/>
          <w:sz w:val="19"/>
        </w:rPr>
        <w:t>R_n</w:t>
      </w:r>
      <w:r>
        <w:t>: proposed disclosure</w:t>
      </w:r>
    </w:p>
    <w:p>
      <w:pPr>
        <w:pStyle w:val="ListBullet"/>
      </w:pPr>
      <w:r>
        <w:rPr>
          <w:rFonts w:ascii="Liberation Mono" w:hAnsi="Liberation Mono"/>
          <w:sz w:val="19"/>
        </w:rPr>
        <w:t>D_n</w:t>
      </w:r>
      <w:r>
        <w:t>: durable prior disclosure state</w:t>
      </w:r>
    </w:p>
    <w:p>
      <w:pPr>
        <w:pStyle w:val="ListBullet"/>
      </w:pPr>
      <w:r>
        <w:rPr>
          <w:rFonts w:ascii="Liberation Mono" w:hAnsi="Liberation Mono"/>
          <w:sz w:val="19"/>
        </w:rPr>
        <w:t>C_n</w:t>
      </w:r>
      <w:r>
        <w:t>: recipient/provider</w:t>
      </w:r>
    </w:p>
    <w:p>
      <w:pPr>
        <w:pStyle w:val="ListBullet"/>
      </w:pPr>
      <w:r>
        <w:rPr>
          <w:rFonts w:ascii="Liberation Mono" w:hAnsi="Liberation Mono"/>
          <w:sz w:val="19"/>
        </w:rPr>
        <w:t>P_n</w:t>
      </w:r>
      <w:r>
        <w:t>: purpose</w:t>
      </w:r>
    </w:p>
    <w:p>
      <w:pPr>
        <w:pStyle w:val="ListBullet"/>
      </w:pPr>
      <w:r>
        <w:rPr>
          <w:rFonts w:ascii="Liberation Mono" w:hAnsi="Liberation Mono"/>
          <w:sz w:val="19"/>
        </w:rPr>
        <w:t>A_n</w:t>
      </w:r>
      <w:r>
        <w:t>: current authority evidence</w:t>
      </w:r>
    </w:p>
    <w:p>
      <w:pPr>
        <w:pStyle w:val="ListBullet"/>
      </w:pPr>
      <w:r>
        <w:rPr>
          <w:rFonts w:ascii="Liberation Mono" w:hAnsi="Liberation Mono"/>
          <w:sz w:val="19"/>
        </w:rPr>
        <w:t>E_n</w:t>
      </w:r>
      <w:r>
        <w:t>: canonical execution event</w:t>
      </w:r>
    </w:p>
    <w:p>
      <w:pPr>
        <w:keepLines w:val="0"/>
      </w:pPr>
      <w:r>
        <w:t xml:space="preserve">Required: </w:t>
      </w:r>
      <w:r>
        <w:rPr>
          <w:rFonts w:ascii="Liberation Mono" w:hAnsi="Liberation Mono"/>
          <w:sz w:val="19"/>
        </w:rPr>
        <w:t>Authorize(R_n | D_n, C_n, P_n, A_n)</w:t>
      </w:r>
    </w:p>
    <w:p>
      <w:pPr>
        <w:keepLines w:val="0"/>
      </w:pPr>
      <w:r>
        <w:t xml:space="preserve">Primary invariant: </w:t>
      </w:r>
      <w:r>
        <w:rPr>
          <w:rFonts w:ascii="Liberation Mono" w:hAnsi="Liberation Mono"/>
          <w:sz w:val="19"/>
        </w:rPr>
        <w:t>NO CURRENT PHI DISCLOSURE AUTHORITY -&gt; NO EXTERNAL INFERENCE EFFECT</w:t>
      </w:r>
    </w:p>
    <w:p>
      <w:pPr>
        <w:pStyle w:val="Heading1"/>
      </w:pPr>
      <w:r>
        <w:t>5. Attack 1: cumulative composition</w:t>
      </w:r>
    </w:p>
    <w:p>
      <w:pPr>
        <w:keepLines w:val="0"/>
      </w:pPr>
      <w:r>
        <w:t>Toy synthetic policy: no more than two quasi-identifying facts may be disclosed to the same recipient in one authority epoch.</w:t>
      </w:r>
    </w:p>
    <w:p>
      <w:pPr>
        <w:keepLines w:val="0"/>
      </w:pPr>
      <w:r>
        <w:t>Each one-fact request is individually authorized, yet the third cumulative disclosure is denied. Thus:</w:t>
      </w:r>
    </w:p>
    <w:p>
      <w:pPr>
        <w:keepLines w:val="0"/>
      </w:pPr>
      <w:r>
        <w:rPr>
          <w:rFonts w:ascii="Liberation Mono" w:hAnsi="Liberation Mono"/>
          <w:sz w:val="19"/>
        </w:rPr>
        <w:t>forall i, Authorized(R_i)</w:t>
      </w:r>
      <w:r>
        <w:t xml:space="preserve"> does not imply </w:t>
      </w:r>
      <w:r>
        <w:rPr>
          <w:rFonts w:ascii="Liberation Mono" w:hAnsi="Liberation Mono"/>
          <w:sz w:val="19"/>
        </w:rPr>
        <w:t>Authorized(union_i R_i)</w:t>
      </w:r>
      <w:r>
        <w:t>.</w:t>
      </w:r>
    </w:p>
    <w:p>
      <w:pPr>
        <w:keepLines w:val="0"/>
      </w:pPr>
      <w:r>
        <w:t>A history-aware controller must evaluate the proposed effect against durable prior disclosure state.</w:t>
      </w:r>
    </w:p>
    <w:p>
      <w:pPr>
        <w:pStyle w:val="Heading1"/>
      </w:pPr>
      <w:r>
        <w:t>6. Attack 2: rollback / ABA</w:t>
      </w:r>
    </w:p>
    <w:p>
      <w:pPr>
        <w:keepLines w:val="0"/>
      </w:pPr>
      <w:r>
        <w:t>After two external disclosures, restore a local snapshot from before either disclosure. The local endpoint again shows empty history, but the recipient still has the prior facts.</w:t>
      </w:r>
    </w:p>
    <w:p>
      <w:pPr>
        <w:keepLines w:val="0"/>
      </w:pPr>
      <w:r>
        <w:t xml:space="preserve">Local: </w:t>
      </w:r>
      <w:r>
        <w:rPr>
          <w:rFonts w:ascii="Liberation Mono" w:hAnsi="Liberation Mono"/>
          <w:sz w:val="19"/>
        </w:rPr>
        <w:t>D0 -&gt; D2 -&gt; D0</w:t>
      </w:r>
    </w:p>
    <w:p>
      <w:pPr>
        <w:keepLines w:val="0"/>
      </w:pPr>
      <w:r>
        <w:t xml:space="preserve">External: </w:t>
      </w:r>
      <w:r>
        <w:rPr>
          <w:rFonts w:ascii="Liberation Mono" w:hAnsi="Liberation Mono"/>
          <w:sz w:val="19"/>
        </w:rPr>
        <w:t>D0 -&gt; D2 -&gt; D2</w:t>
      </w:r>
    </w:p>
    <w:p>
      <w:pPr>
        <w:keepLines w:val="0"/>
      </w:pPr>
      <w:r>
        <w:t>Therefore endpoint equality does not establish disclosure-state identity.</w:t>
      </w:r>
    </w:p>
    <w:p>
      <w:pPr>
        <w:keepLines w:val="0"/>
      </w:pPr>
      <w:r>
        <w:t xml:space="preserve">A protected monotonic history head detects the restored stale state and returns </w:t>
      </w:r>
      <w:r>
        <w:rPr>
          <w:rFonts w:ascii="Liberation Mono" w:hAnsi="Liberation Mono"/>
          <w:sz w:val="19"/>
        </w:rPr>
        <w:t>UNAVAILABLE</w:t>
      </w:r>
      <w:r>
        <w:t xml:space="preserve">. If complete independently protected history is recovered and the next effect is known to exceed policy, the result becomes </w:t>
      </w:r>
      <w:r>
        <w:rPr>
          <w:rFonts w:ascii="Liberation Mono" w:hAnsi="Liberation Mono"/>
          <w:sz w:val="19"/>
        </w:rPr>
        <w:t>DENIED</w:t>
      </w:r>
      <w:r>
        <w:t>.</w:t>
      </w:r>
    </w:p>
    <w:p>
      <w:pPr>
        <w:pStyle w:val="Heading1"/>
      </w:pPr>
      <w:r>
        <w:t>7. Three-way outcome discipline</w:t>
      </w:r>
    </w:p>
    <w:p>
      <w:pPr>
        <w:keepLines w:val="0"/>
      </w:pPr>
      <w:r>
        <w:rPr>
          <w:rFonts w:ascii="Liberation Mono" w:hAnsi="Liberation Mono"/>
          <w:sz w:val="19"/>
        </w:rPr>
        <w:t>AUTHORIZED</w:t>
      </w:r>
      <w:r>
        <w:t>: every required current relation is exact and complete.</w:t>
      </w:r>
    </w:p>
    <w:p>
      <w:pPr>
        <w:keepLines w:val="0"/>
      </w:pPr>
      <w:r>
        <w:rPr>
          <w:rFonts w:ascii="Liberation Mono" w:hAnsi="Liberation Mono"/>
          <w:sz w:val="19"/>
        </w:rPr>
        <w:t>DENIED</w:t>
      </w:r>
      <w:r>
        <w:t>: an exact current applicable prohibition/restriction is established.</w:t>
      </w:r>
    </w:p>
    <w:p>
      <w:pPr>
        <w:keepLines w:val="0"/>
      </w:pPr>
      <w:r>
        <w:rPr>
          <w:rFonts w:ascii="Liberation Mono" w:hAnsi="Liberation Mono"/>
          <w:sz w:val="19"/>
        </w:rPr>
        <w:t>UNAVAILABLE</w:t>
      </w:r>
      <w:r>
        <w:t>: a required current fact is missing, stale, ambiguous, conflicting, rolled back, or not converged at the effect event.</w:t>
      </w:r>
    </w:p>
    <w:p>
      <w:pPr>
        <w:keepLines w:val="0"/>
      </w:pPr>
      <w:r>
        <w:t>Absence of proof of a restriction is not permission.</w:t>
      </w:r>
    </w:p>
    <w:p>
      <w:pPr>
        <w:pStyle w:val="Heading1"/>
      </w:pPr>
      <w:r>
        <w:t>8. Disclosure lineage</w:t>
      </w:r>
    </w:p>
    <w:p>
      <w:pPr>
        <w:keepLines w:val="0"/>
      </w:pPr>
      <w:r>
        <w:t>Disclosure is modeled as a non-restorable effect lineage. A durable representation needs monotonic order, predecessor linkage, effect binding, recipient/purpose/policy binding, and rollback/fork detection. A digest alone is not authority; currentness requires an independently admitted source.</w:t>
      </w:r>
    </w:p>
    <w:p>
      <w:pPr>
        <w:pStyle w:val="Heading1"/>
      </w:pPr>
      <w:r>
        <w:t>9. Existing Ground Truth invariants</w:t>
      </w:r>
    </w:p>
    <w:p>
      <w:pPr>
        <w:keepLines w:val="0"/>
      </w:pPr>
      <w:r>
        <w:t>The PHI research currently maps into the existing frozen architecture:</w:t>
      </w:r>
    </w:p>
    <w:p>
      <w:pPr>
        <w:pStyle w:val="ListBullet"/>
      </w:pPr>
      <w:r>
        <w:rPr>
          <w:rFonts w:ascii="Liberation Mono" w:hAnsi="Liberation Mono"/>
          <w:sz w:val="19"/>
        </w:rPr>
        <w:t>INV-CONT</w:t>
      </w:r>
      <w:r>
        <w:t>: exact authorization-to-effect and history continuity</w:t>
      </w:r>
    </w:p>
    <w:p>
      <w:pPr>
        <w:pStyle w:val="ListBullet"/>
      </w:pPr>
      <w:r>
        <w:rPr>
          <w:rFonts w:ascii="Liberation Mono" w:hAnsi="Liberation Mono"/>
          <w:sz w:val="19"/>
        </w:rPr>
        <w:t>INV-DISC</w:t>
      </w:r>
      <w:r>
        <w:t>: no selector/endpoint restoration as identity proof</w:t>
      </w:r>
    </w:p>
    <w:p>
      <w:pPr>
        <w:pStyle w:val="ListBullet"/>
      </w:pPr>
      <w:r>
        <w:rPr>
          <w:rFonts w:ascii="Liberation Mono" w:hAnsi="Liberation Mono"/>
          <w:sz w:val="19"/>
        </w:rPr>
        <w:t>INV-BND</w:t>
      </w:r>
      <w:r>
        <w:t>: exact recipient/provider and epoch</w:t>
      </w:r>
    </w:p>
    <w:p>
      <w:pPr>
        <w:pStyle w:val="ListBullet"/>
      </w:pPr>
      <w:r>
        <w:rPr>
          <w:rFonts w:ascii="Liberation Mono" w:hAnsi="Liberation Mono"/>
          <w:sz w:val="19"/>
        </w:rPr>
        <w:t>INV-EVD</w:t>
      </w:r>
      <w:r>
        <w:t>: privacy/sanitization evidence is not semantic authority</w:t>
      </w:r>
    </w:p>
    <w:p>
      <w:pPr>
        <w:pStyle w:val="ListBullet"/>
      </w:pPr>
      <w:r>
        <w:rPr>
          <w:rFonts w:ascii="Liberation Mono" w:hAnsi="Liberation Mono"/>
          <w:sz w:val="19"/>
        </w:rPr>
        <w:t>INV-USE</w:t>
      </w:r>
      <w:r>
        <w:t>: replay/consumption and one-shot disclosure authority</w:t>
      </w:r>
    </w:p>
    <w:p>
      <w:pPr>
        <w:pStyle w:val="ListBullet"/>
      </w:pPr>
      <w:r>
        <w:rPr>
          <w:rFonts w:ascii="Liberation Mono" w:hAnsi="Liberation Mono"/>
          <w:sz w:val="19"/>
        </w:rPr>
        <w:t>INV-CLO</w:t>
      </w:r>
      <w:r>
        <w:t>: transformed/derived/retried effects remain inside the authority envelope</w:t>
      </w:r>
    </w:p>
    <w:p>
      <w:pPr>
        <w:keepLines w:val="0"/>
      </w:pPr>
      <w:r>
        <w:t>No seventh invariant or fourth outcome is proposed.</w:t>
      </w:r>
    </w:p>
    <w:p>
      <w:pPr>
        <w:pStyle w:val="Heading1"/>
      </w:pPr>
      <w:r>
        <w:t>10. Compliance boundary</w:t>
      </w:r>
    </w:p>
    <w:p>
      <w:pPr>
        <w:keepLines w:val="0"/>
      </w:pPr>
      <w:r>
        <w:t>This work does not encode legal conclusions. Law, regulation, institutional policy, consent, contractual duties, and clinical context determine the authority propositions that must be satisfied. Ground Truth's narrower role is to require current evidence for those propositions at the external effect boundary.</w:t>
      </w:r>
    </w:p>
    <w:p>
      <w:pPr>
        <w:pStyle w:val="Heading1"/>
      </w:pPr>
      <w:r>
        <w:t>11. Current empirical status</w:t>
      </w:r>
    </w:p>
    <w:p>
      <w:pPr>
        <w:keepLines w:val="0"/>
      </w:pPr>
      <w:r>
        <w:t>Synthetic executable tests currently cover:</w:t>
      </w:r>
    </w:p>
    <w:p>
      <w:pPr>
        <w:pStyle w:val="ListBullet"/>
      </w:pPr>
      <w:r>
        <w:t>independent per-request authorization</w:t>
      </w:r>
    </w:p>
    <w:p>
      <w:pPr>
        <w:pStyle w:val="ListBullet"/>
      </w:pPr>
      <w:r>
        <w:t>cumulative third-disclosure denial</w:t>
      </w:r>
    </w:p>
    <w:p>
      <w:pPr>
        <w:pStyle w:val="ListBullet"/>
      </w:pPr>
      <w:r>
        <w:t>missing history -&gt; UNAVAILABLE</w:t>
      </w:r>
    </w:p>
    <w:p>
      <w:pPr>
        <w:pStyle w:val="ListBullet"/>
      </w:pPr>
      <w:r>
        <w:t>recipient substitution -&gt; UNAVAILABLE</w:t>
      </w:r>
    </w:p>
    <w:p>
      <w:pPr>
        <w:pStyle w:val="ListBullet"/>
      </w:pPr>
      <w:r>
        <w:t>purpose substitution -&gt; UNAVAILABLE</w:t>
      </w:r>
    </w:p>
    <w:p>
      <w:pPr>
        <w:pStyle w:val="ListBullet"/>
      </w:pPr>
      <w:r>
        <w:t>rollback restores apparent permission in a naive controller</w:t>
      </w:r>
    </w:p>
    <w:p>
      <w:pPr>
        <w:pStyle w:val="ListBullet"/>
      </w:pPr>
      <w:r>
        <w:t>protected history detects rollback -&gt; UNAVAILABLE</w:t>
      </w:r>
    </w:p>
    <w:p>
      <w:pPr>
        <w:pStyle w:val="ListBullet"/>
      </w:pPr>
      <w:r>
        <w:t>recovered complete history -&gt; DENIED when cumulative policy is exceeded</w:t>
      </w:r>
    </w:p>
    <w:p>
      <w:pPr>
        <w:pStyle w:val="ListBullet"/>
      </w:pPr>
      <w:r>
        <w:t>positive current-history path remains AUTHORIZED</w:t>
      </w:r>
    </w:p>
    <w:p>
      <w:pPr>
        <w:pStyle w:val="ListBullet"/>
      </w:pPr>
      <w:r>
        <w:t>incomplete/falsely restored history fails closed</w:t>
      </w:r>
    </w:p>
    <w:p>
      <w:pPr>
        <w:keepLines w:val="0"/>
      </w:pPr>
      <w:r>
        <w:t>The subsequent experiments extend this baseline through authorization-to-execution mutation, transformation closure, recipient-domain correlation, revocation timing, ambiguous effects, memory continuity, provider migration, and final hostile composition. Those later results are reported below.</w:t>
      </w:r>
    </w:p>
    <w:p>
      <w:pPr>
        <w:pStyle w:val="Heading1"/>
      </w:pPr>
      <w:r>
        <w:t>12. Attack 3: authorization-to-execution mutation</w:t>
      </w:r>
    </w:p>
    <w:p>
      <w:pPr>
        <w:keepLines w:val="0"/>
      </w:pPr>
      <w:r>
        <w:t>The third executable experiment targets time-of-check/time-of-use authority drift.</w:t>
      </w:r>
    </w:p>
    <w:p>
      <w:pPr>
        <w:keepLines w:val="0"/>
      </w:pPr>
      <w:r>
        <w:t>A synthetic disclosure is authorized at T1 with an exact binding over semantic effect digest, recipient, purpose, policy epoch, disclosure-history head and execution event. The candidate effect is then mutated before T3.</w:t>
      </w:r>
    </w:p>
    <w:p>
      <w:pPr>
        <w:keepLines w:val="0"/>
      </w:pPr>
      <w:r>
        <w:t xml:space="preserve">A deliberately flawed cached-decision gate checks only that the stored decision equals </w:t>
      </w:r>
      <w:r>
        <w:rPr>
          <w:rFonts w:ascii="Liberation Mono" w:hAnsi="Liberation Mono"/>
          <w:sz w:val="19"/>
        </w:rPr>
        <w:t>AUTHORIZED</w:t>
      </w:r>
      <w:r>
        <w:t>. It therefore permits a changed prompt.</w:t>
      </w:r>
    </w:p>
    <w:p>
      <w:pPr>
        <w:keepLines w:val="0"/>
      </w:pPr>
      <w:r>
        <w:t xml:space="preserve">The Ground Truth convergence gate requires exact T1-to-T3 agreement for every protected relation. Prompt mutation, recipient substitution, purpose substitution, policy drift, history drift and execution-event drift each produce </w:t>
      </w:r>
      <w:r>
        <w:rPr>
          <w:rFonts w:ascii="Liberation Mono" w:hAnsi="Liberation Mono"/>
          <w:sz w:val="19"/>
        </w:rPr>
        <w:t>UNAVAILABLE</w:t>
      </w:r>
      <w:r>
        <w:t xml:space="preserve"> unless a current authoritative prohibition is independently established, in which case the result is </w:t>
      </w:r>
      <w:r>
        <w:rPr>
          <w:rFonts w:ascii="Liberation Mono" w:hAnsi="Liberation Mono"/>
          <w:sz w:val="19"/>
        </w:rPr>
        <w:t>DENIED</w:t>
      </w:r>
      <w:r>
        <w:t>.</w:t>
      </w:r>
    </w:p>
    <w:p>
      <w:pPr>
        <w:keepLines w:val="0"/>
      </w:pPr>
      <w:r>
        <w:t xml:space="preserve">A fully converged exact positive path remains </w:t>
      </w:r>
      <w:r>
        <w:rPr>
          <w:rFonts w:ascii="Liberation Mono" w:hAnsi="Liberation Mono"/>
          <w:sz w:val="19"/>
        </w:rPr>
        <w:t>AUTHORIZED</w:t>
      </w:r>
      <w:r>
        <w:t>, and a consumed authorization cannot be replayed.</w:t>
      </w:r>
    </w:p>
    <w:p>
      <w:pPr>
        <w:keepLines w:val="0"/>
      </w:pPr>
      <w:r>
        <w:t>The result sharpens the paper's principal claim:</w:t>
      </w:r>
    </w:p>
    <w:p>
      <w:pPr>
        <w:keepLines w:val="0"/>
      </w:pPr>
      <w:r>
        <w:rPr>
          <w:rFonts w:ascii="Liberation Mono" w:hAnsi="Liberation Mono"/>
          <w:sz w:val="19"/>
        </w:rPr>
        <w:t>Historical AUTHORIZED != Current Execution Authority</w:t>
      </w:r>
    </w:p>
    <w:p>
      <w:pPr>
        <w:keepLines w:val="0"/>
      </w:pPr>
      <w:r>
        <w:t>For PHI systems, semantic minimization or privacy transport is therefore insufficient if the actual outbound effect can diverge after authorization.</w:t>
      </w:r>
    </w:p>
    <w:p>
      <w:pPr>
        <w:pStyle w:val="Heading1"/>
      </w:pPr>
      <w:r>
        <w:t>13. Combined research result</w:t>
      </w:r>
    </w:p>
    <w:p>
      <w:pPr>
        <w:keepLines w:val="0"/>
      </w:pPr>
      <w:r>
        <w:t>Three independent synthetic attack classes now reproduce distinct authority failures:</w:t>
      </w:r>
    </w:p>
    <w:p>
      <w:pPr>
        <w:ind w:left="259" w:hanging="259"/>
      </w:pPr>
      <w:r>
        <w:t xml:space="preserve">1. </w:t>
      </w:r>
      <w:r>
        <w:rPr>
          <w:b/>
        </w:rPr>
        <w:t>Cumulative composition:</w:t>
      </w:r>
      <w:r>
        <w:t xml:space="preserve"> individually acceptable disclosures can become disallowed</w:t>
      </w:r>
    </w:p>
    <w:p>
      <w:pPr>
        <w:keepLines w:val="0"/>
      </w:pPr>
      <w:r>
        <w:t>when composed.</w:t>
      </w:r>
    </w:p>
    <w:p>
      <w:pPr>
        <w:ind w:left="259" w:hanging="259"/>
      </w:pPr>
      <w:r>
        <w:t xml:space="preserve">2. </w:t>
      </w:r>
      <w:r>
        <w:rPr>
          <w:b/>
        </w:rPr>
        <w:t>Rollback / ABA:</w:t>
      </w:r>
      <w:r>
        <w:t xml:space="preserve"> restoring local state can recreate apparent permission after</w:t>
      </w:r>
    </w:p>
    <w:p>
      <w:pPr>
        <w:keepLines w:val="0"/>
      </w:pPr>
      <w:r>
        <w:t>irreversible external disclosure.</w:t>
      </w:r>
    </w:p>
    <w:p>
      <w:pPr>
        <w:ind w:left="259" w:hanging="259"/>
      </w:pPr>
      <w:r>
        <w:t xml:space="preserve">3. </w:t>
      </w:r>
      <w:r>
        <w:rPr>
          <w:b/>
        </w:rPr>
        <w:t>Authorization-to-execution mutation:</w:t>
      </w:r>
      <w:r>
        <w:t xml:space="preserve"> a previously authorized request can diverge</w:t>
      </w:r>
    </w:p>
    <w:p>
      <w:pPr>
        <w:keepLines w:val="0"/>
      </w:pPr>
      <w:r>
        <w:t>before transmission while a cached verdict remains favorable.</w:t>
      </w:r>
    </w:p>
    <w:p>
      <w:pPr>
        <w:keepLines w:val="0"/>
      </w:pPr>
      <w:r>
        <w:t>All three collapse to one consume-time requirement:</w:t>
      </w:r>
    </w:p>
    <w:p>
      <w:pPr>
        <w:keepLines w:val="0"/>
      </w:pPr>
      <w:r>
        <w:rPr>
          <w:rFonts w:ascii="Liberation Mono" w:hAnsi="Liberation Mono"/>
          <w:sz w:val="19"/>
        </w:rPr>
        <w:t>NO CURRENT PHI DISCLOSURE AUTHORITY -&gt; NO EXTERNAL INFERENCE EFFECT</w:t>
      </w:r>
    </w:p>
    <w:p>
      <w:pPr>
        <w:keepLines w:val="0"/>
      </w:pPr>
      <w:r>
        <w:t>The findings do not establish a defect in the pinned case-study protocol. They establish that cryptographic/payment privacy and semantic disclosure authority are separate properties and that a PHI-capable integration requires a current authority layer at the external inference boundary.</w:t>
      </w:r>
    </w:p>
    <w:p>
      <w:pPr>
        <w:pStyle w:val="Heading1"/>
      </w:pPr>
      <w:r>
        <w:t>14. Attack 4: derived-disclosure laundering</w:t>
      </w:r>
    </w:p>
    <w:p>
      <w:pPr>
        <w:keepLines w:val="0"/>
      </w:pPr>
      <w:r>
        <w:t>The fourth experiment tests transformation closure.</w:t>
      </w:r>
    </w:p>
    <w:p>
      <w:pPr>
        <w:keepLines w:val="0"/>
      </w:pPr>
      <w:r>
        <w:t>A source artifact can be currently authorized while a derivative is not. This matters for AI systems because summarization, rewriting, structured extraction, model inference, tool-call generation, retries, memory accretion, and multimodal conversion routinely create new artifacts and effects.</w:t>
      </w:r>
    </w:p>
    <w:p>
      <w:pPr>
        <w:keepLines w:val="0"/>
      </w:pPr>
      <w:r>
        <w:t>The executable counterexample begins with an authorized synthetic source:</w:t>
      </w:r>
    </w:p>
    <w:p>
      <w:pPr>
        <w:keepLines w:val="0"/>
      </w:pPr>
      <w:r>
        <w:rPr>
          <w:rFonts w:ascii="Liberation Mono" w:hAnsi="Liberation Mono"/>
          <w:sz w:val="19"/>
        </w:rPr>
        <w:t>Adult patient recovering from abdominal surgery.</w:t>
      </w:r>
    </w:p>
    <w:p>
      <w:pPr>
        <w:keepLines w:val="0"/>
      </w:pPr>
      <w:r>
        <w:t>A transformer produces:</w:t>
      </w:r>
    </w:p>
    <w:p>
      <w:pPr>
        <w:keepLines w:val="0"/>
      </w:pPr>
      <w:r>
        <w:rPr>
          <w:rFonts w:ascii="Liberation Mono" w:hAnsi="Liberation Mono"/>
          <w:sz w:val="19"/>
        </w:rPr>
        <w:t>Male age 47, recovering from emergency splenectomy after motorcycle trauma.</w:t>
      </w:r>
    </w:p>
    <w:p>
      <w:pPr>
        <w:keepLines w:val="0"/>
      </w:pPr>
      <w:r>
        <w:t xml:space="preserve">A naive inheritance gate sees an authorized source and authorizes the derivative. The Ground Truth gate returns </w:t>
      </w:r>
      <w:r>
        <w:rPr>
          <w:rFonts w:ascii="Liberation Mono" w:hAnsi="Liberation Mono"/>
          <w:sz w:val="19"/>
        </w:rPr>
        <w:t>UNAVAILABLE</w:t>
      </w:r>
      <w:r>
        <w:t xml:space="preserve"> because the exact target artifact and transformation relation were never authorized. When policy explicitly prohibits one of the newly disclosed classes, the result is </w:t>
      </w:r>
      <w:r>
        <w:rPr>
          <w:rFonts w:ascii="Liberation Mono" w:hAnsi="Liberation Mono"/>
          <w:sz w:val="19"/>
        </w:rPr>
        <w:t>DENIED</w:t>
      </w:r>
      <w:r>
        <w:t xml:space="preserve">. When an exact current transformation authorization binds source digest, target digest, allowed semantic classes, recipient, purpose, and execution event, the derived effect remains positively reachable as </w:t>
      </w:r>
      <w:r>
        <w:rPr>
          <w:rFonts w:ascii="Liberation Mono" w:hAnsi="Liberation Mono"/>
          <w:sz w:val="19"/>
        </w:rPr>
        <w:t>AUTHORIZED</w:t>
      </w:r>
      <w:r>
        <w:t>.</w:t>
      </w:r>
    </w:p>
    <w:p>
      <w:pPr>
        <w:keepLines w:val="0"/>
      </w:pPr>
      <w:r>
        <w:t xml:space="preserve">This directly exercises </w:t>
      </w:r>
      <w:r>
        <w:rPr>
          <w:rFonts w:ascii="Liberation Mono" w:hAnsi="Liberation Mono"/>
          <w:sz w:val="19"/>
        </w:rPr>
        <w:t>INV-CLO</w:t>
      </w:r>
      <w:r>
        <w:t>: authority over an artifact is not automatically closed over its summaries, projections, encodings, wrappers, derivatives, tool calls, or other transformed effects.</w:t>
      </w:r>
    </w:p>
    <w:p>
      <w:pPr>
        <w:keepLines w:val="0"/>
      </w:pPr>
      <w:r>
        <w:t>The pinned zkAPI local forwarding interface accepts tool/function-related request fields in addition to messages. This is not treated as a defect; it simply demonstrates that a privacy-preserving inference transport can legitimately expose multiple downstream effect shapes whose semantic authority belongs to another layer.</w:t>
      </w:r>
    </w:p>
    <w:p>
      <w:pPr>
        <w:pStyle w:val="Heading1"/>
      </w:pPr>
      <w:r>
        <w:t>15. Four-way empirical synthesis</w:t>
      </w:r>
    </w:p>
    <w:p>
      <w:pPr>
        <w:keepLines w:val="0"/>
      </w:pPr>
      <w:r>
        <w:t>The research now contains four executable synthetic attack families:</w:t>
      </w:r>
    </w:p>
    <w:p>
      <w:pPr>
        <w:ind w:left="259" w:hanging="259"/>
      </w:pPr>
      <w:r>
        <w:t xml:space="preserve">1. </w:t>
      </w:r>
      <w:r>
        <w:rPr>
          <w:b/>
        </w:rPr>
        <w:t>Cumulative composition</w:t>
      </w:r>
      <w:r>
        <w:t xml:space="preserve"> — safe-looking independent disclosures become disallowed</w:t>
      </w:r>
    </w:p>
    <w:p>
      <w:pPr>
        <w:keepLines w:val="0"/>
      </w:pPr>
      <w:r>
        <w:t>when combined.</w:t>
      </w:r>
    </w:p>
    <w:p>
      <w:pPr>
        <w:ind w:left="259" w:hanging="259"/>
      </w:pPr>
      <w:r>
        <w:t xml:space="preserve">2. </w:t>
      </w:r>
      <w:r>
        <w:rPr>
          <w:b/>
        </w:rPr>
        <w:t>Rollback / ABA</w:t>
      </w:r>
      <w:r>
        <w:t xml:space="preserve"> — local restoration recreates apparent permission despite</w:t>
      </w:r>
    </w:p>
    <w:p>
      <w:pPr>
        <w:keepLines w:val="0"/>
      </w:pPr>
      <w:r>
        <w:t>irreversible external disclosure.</w:t>
      </w:r>
    </w:p>
    <w:p>
      <w:pPr>
        <w:ind w:left="259" w:hanging="259"/>
      </w:pPr>
      <w:r>
        <w:t xml:space="preserve">3. </w:t>
      </w:r>
      <w:r>
        <w:rPr>
          <w:b/>
        </w:rPr>
        <w:t>Authorization-to-execution mutation</w:t>
      </w:r>
      <w:r>
        <w:t xml:space="preserve"> — a cached favorable verdict survives changes</w:t>
      </w:r>
    </w:p>
    <w:p>
      <w:pPr>
        <w:keepLines w:val="0"/>
      </w:pPr>
      <w:r>
        <w:t>in prompt, recipient, purpose, policy, history, or event.</w:t>
      </w:r>
    </w:p>
    <w:p>
      <w:pPr>
        <w:ind w:left="259" w:hanging="259"/>
      </w:pPr>
      <w:r>
        <w:t xml:space="preserve">4. </w:t>
      </w:r>
      <w:r>
        <w:rPr>
          <w:b/>
        </w:rPr>
        <w:t>Derived-disclosure laundering</w:t>
      </w:r>
      <w:r>
        <w:t xml:space="preserve"> — authority over a source artifact is incorrectly</w:t>
      </w:r>
    </w:p>
    <w:p>
      <w:pPr>
        <w:keepLines w:val="0"/>
      </w:pPr>
      <w:r>
        <w:t>inherited by summaries, structured outputs, inferred facts, tool arguments, retries, or other derivatives.</w:t>
      </w:r>
    </w:p>
    <w:p>
      <w:pPr>
        <w:keepLines w:val="0"/>
      </w:pPr>
      <w:r>
        <w:t>These are different failure mechanisms but share one consume-time rule:</w:t>
      </w:r>
    </w:p>
    <w:p>
      <w:pPr>
        <w:keepLines w:val="0"/>
      </w:pPr>
      <w:r>
        <w:rPr>
          <w:rFonts w:ascii="Liberation Mono" w:hAnsi="Liberation Mono"/>
          <w:sz w:val="19"/>
        </w:rPr>
        <w:t>NO CURRENT PHI DISCLOSURE AUTHORITY -&gt; NO EXTERNAL INFERENCE EFFECT</w:t>
      </w:r>
    </w:p>
    <w:p>
      <w:pPr>
        <w:keepLines w:val="0"/>
      </w:pPr>
      <w:r>
        <w:t>The contribution is therefore not a special-purpose PHI blacklist. It is a deterministic authority boundary around semantic disclosure and every derived external effect.</w:t>
      </w:r>
    </w:p>
    <w:p>
      <w:pPr>
        <w:pStyle w:val="Heading1"/>
      </w:pPr>
      <w:r>
        <w:t>16. Attack 5: cross-recipient correlation and effective controller collapse</w:t>
      </w:r>
    </w:p>
    <w:p>
      <w:pPr>
        <w:keepLines w:val="0"/>
      </w:pPr>
      <w:r>
        <w:t>The fifth experiment tests recipient independence.</w:t>
      </w:r>
    </w:p>
    <w:p>
      <w:pPr>
        <w:keepLines w:val="0"/>
      </w:pPr>
      <w:r>
        <w:t>A PHI controller may appear to distribute disclosures safely because each request targets a different recipient label. That reasoning is unsound when those recipients share one effective controller, upstream processor, tenant, logging domain, or other correlation domain relevant to the governing policy.</w:t>
      </w:r>
    </w:p>
    <w:p>
      <w:pPr>
        <w:keepLines w:val="0"/>
      </w:pPr>
      <w:r>
        <w:t xml:space="preserve">The synthetic reproducer sends two quasi-identifying facts to </w:t>
      </w:r>
      <w:r>
        <w:rPr>
          <w:rFonts w:ascii="Liberation Mono" w:hAnsi="Liberation Mono"/>
          <w:sz w:val="19"/>
        </w:rPr>
        <w:t>provider-A</w:t>
      </w:r>
      <w:r>
        <w:t xml:space="preserve"> and </w:t>
      </w:r>
      <w:r>
        <w:rPr>
          <w:rFonts w:ascii="Liberation Mono" w:hAnsi="Liberation Mono"/>
          <w:sz w:val="19"/>
        </w:rPr>
        <w:t>provider-B</w:t>
      </w:r>
      <w:r>
        <w:t xml:space="preserve">, then proposes a third to </w:t>
      </w:r>
      <w:r>
        <w:rPr>
          <w:rFonts w:ascii="Liberation Mono" w:hAnsi="Liberation Mono"/>
          <w:sz w:val="19"/>
        </w:rPr>
        <w:t>provider-C</w:t>
      </w:r>
      <w:r>
        <w:t xml:space="preserve">. A naive per-recipient counter sees only one fact per recipient and returns </w:t>
      </w:r>
      <w:r>
        <w:rPr>
          <w:rFonts w:ascii="Liberation Mono" w:hAnsi="Liberation Mono"/>
          <w:sz w:val="19"/>
        </w:rPr>
        <w:t>AUTHORIZED</w:t>
      </w:r>
      <w:r>
        <w:t>.</w:t>
      </w:r>
    </w:p>
    <w:p>
      <w:pPr>
        <w:keepLines w:val="0"/>
      </w:pPr>
      <w:r>
        <w:t xml:space="preserve">Protected recipient-domain evidence instead maps all three labels to </w:t>
      </w:r>
      <w:r>
        <w:rPr>
          <w:rFonts w:ascii="Liberation Mono" w:hAnsi="Liberation Mono"/>
          <w:sz w:val="19"/>
        </w:rPr>
        <w:t>UPSTREAM-X</w:t>
      </w:r>
      <w:r>
        <w:t xml:space="preserve">. Evaluated over that effective domain, the third disclosure crosses the synthetic cumulative limit and returns </w:t>
      </w:r>
      <w:r>
        <w:rPr>
          <w:rFonts w:ascii="Liberation Mono" w:hAnsi="Liberation Mono"/>
          <w:sz w:val="19"/>
        </w:rPr>
        <w:t>DENIED</w:t>
      </w:r>
      <w:r>
        <w:t>.</w:t>
      </w:r>
    </w:p>
    <w:p>
      <w:pPr>
        <w:keepLines w:val="0"/>
      </w:pPr>
      <w:r>
        <w:t xml:space="preserve">When domain membership cannot be established, the result is </w:t>
      </w:r>
      <w:r>
        <w:rPr>
          <w:rFonts w:ascii="Liberation Mono" w:hAnsi="Liberation Mono"/>
          <w:sz w:val="19"/>
        </w:rPr>
        <w:t>UNAVAILABLE</w:t>
      </w:r>
      <w:r>
        <w:t xml:space="preserve">; recipient labels are not assumed independent. When all three recipients are independently and currently established as separate domains, the positive path remains </w:t>
      </w:r>
      <w:r>
        <w:rPr>
          <w:rFonts w:ascii="Liberation Mono" w:hAnsi="Liberation Mono"/>
          <w:sz w:val="19"/>
        </w:rPr>
        <w:t>AUTHORIZED</w:t>
      </w:r>
      <w:r>
        <w:t>.</w:t>
      </w:r>
    </w:p>
    <w:p>
      <w:pPr>
        <w:keepLines w:val="0"/>
      </w:pPr>
      <w:r>
        <w:t>This is the disclosure analogue of control-plane independence:</w:t>
      </w:r>
    </w:p>
    <w:p>
      <w:pPr>
        <w:keepLines w:val="0"/>
      </w:pPr>
      <w:r>
        <w:rPr>
          <w:rFonts w:ascii="Liberation Mono" w:hAnsi="Liberation Mono"/>
          <w:sz w:val="19"/>
        </w:rPr>
        <w:t>recipient multiplicity != recipient independence</w:t>
      </w:r>
    </w:p>
    <w:p>
      <w:pPr>
        <w:keepLines w:val="0"/>
      </w:pPr>
      <w:r>
        <w:t>and:</w:t>
      </w:r>
    </w:p>
    <w:p>
      <w:pPr>
        <w:keepLines w:val="0"/>
      </w:pPr>
      <w:r>
        <w:rPr>
          <w:rFonts w:ascii="Liberation Mono" w:hAnsi="Liberation Mono"/>
          <w:sz w:val="19"/>
        </w:rPr>
        <w:t>different labels != different effective disclosure boundaries</w:t>
      </w:r>
      <w:r>
        <w:t>.</w:t>
      </w:r>
    </w:p>
    <w:p>
      <w:pPr>
        <w:keepLines w:val="0"/>
      </w:pPr>
      <w:r>
        <w:t xml:space="preserve">The result also prevents history reset by label rotation. If </w:t>
      </w:r>
      <w:r>
        <w:rPr>
          <w:rFonts w:ascii="Liberation Mono" w:hAnsi="Liberation Mono"/>
          <w:sz w:val="19"/>
        </w:rPr>
        <w:t>provider-A</w:t>
      </w:r>
      <w:r>
        <w:t xml:space="preserve">, </w:t>
      </w:r>
      <w:r>
        <w:rPr>
          <w:rFonts w:ascii="Liberation Mono" w:hAnsi="Liberation Mono"/>
          <w:sz w:val="19"/>
        </w:rPr>
        <w:t>provider-A2</w:t>
      </w:r>
      <w:r>
        <w:t xml:space="preserve">, and </w:t>
      </w:r>
      <w:r>
        <w:rPr>
          <w:rFonts w:ascii="Liberation Mono" w:hAnsi="Liberation Mono"/>
          <w:sz w:val="19"/>
        </w:rPr>
        <w:t>provider-A3</w:t>
      </w:r>
      <w:r>
        <w:t xml:space="preserve"> are all current members of the same effective domain, disclosure history follows the domain rather than the visible label.</w:t>
      </w:r>
    </w:p>
    <w:p>
      <w:pPr>
        <w:pStyle w:val="Heading1"/>
      </w:pPr>
      <w:r>
        <w:t>17. Five-way empirical synthesis</w:t>
      </w:r>
    </w:p>
    <w:p>
      <w:pPr>
        <w:keepLines w:val="0"/>
      </w:pPr>
      <w:r>
        <w:t>The executable research now covers:</w:t>
      </w:r>
    </w:p>
    <w:p>
      <w:pPr>
        <w:ind w:left="259" w:hanging="259"/>
      </w:pPr>
      <w:r>
        <w:t>1. cumulative composition;</w:t>
      </w:r>
    </w:p>
    <w:p>
      <w:pPr>
        <w:ind w:left="259" w:hanging="259"/>
      </w:pPr>
      <w:r>
        <w:t>2. rollback / ABA;</w:t>
      </w:r>
    </w:p>
    <w:p>
      <w:pPr>
        <w:ind w:left="259" w:hanging="259"/>
      </w:pPr>
      <w:r>
        <w:t>3. authorization-to-execution mutation;</w:t>
      </w:r>
    </w:p>
    <w:p>
      <w:pPr>
        <w:ind w:left="259" w:hanging="259"/>
      </w:pPr>
      <w:r>
        <w:t>4. derived-disclosure laundering;</w:t>
      </w:r>
    </w:p>
    <w:p>
      <w:pPr>
        <w:ind w:left="259" w:hanging="259"/>
      </w:pPr>
      <w:r>
        <w:t>5. cross-recipient correlation / effective-controller collapse.</w:t>
      </w:r>
    </w:p>
    <w:p>
      <w:pPr>
        <w:keepLines w:val="0"/>
      </w:pPr>
      <w:r>
        <w:t>Together they show that semantic disclosure authority is stateful across content, time, transformation, execution, and recipient topology.</w:t>
      </w:r>
    </w:p>
    <w:p>
      <w:pPr>
        <w:keepLines w:val="0"/>
      </w:pPr>
      <w:r>
        <w:t>A privacy system can preserve payment unlinkability and transport separation while a PHI authority layer must still establish the exact current disclosure boundary at T3.</w:t>
      </w:r>
    </w:p>
    <w:p>
      <w:pPr>
        <w:pStyle w:val="Heading1"/>
      </w:pPr>
      <w:r>
        <w:t>18. Attack 6: consent/revocation race and delayed execution</w:t>
      </w:r>
    </w:p>
    <w:p>
      <w:pPr>
        <w:keepLines w:val="0"/>
      </w:pPr>
      <w:r>
        <w:t>The sixth experiment tests temporal revocation across queued, delayed, and retried PHI effects.</w:t>
      </w:r>
    </w:p>
    <w:p>
      <w:pPr>
        <w:keepLines w:val="0"/>
      </w:pPr>
      <w:r>
        <w:t xml:space="preserve">A synthetic disclosure is validly authorized at T1 and placed in a queue. Before the material external send, the authority is revoked at T2. A deliberately naive queue gate checks only the stored historical decision and still returns </w:t>
      </w:r>
      <w:r>
        <w:rPr>
          <w:rFonts w:ascii="Liberation Mono" w:hAnsi="Liberation Mono"/>
          <w:sz w:val="19"/>
        </w:rPr>
        <w:t>AUTHORIZED</w:t>
      </w:r>
      <w:r>
        <w:t>.</w:t>
      </w:r>
    </w:p>
    <w:p>
      <w:pPr>
        <w:keepLines w:val="0"/>
      </w:pPr>
      <w:r>
        <w:t xml:space="preserve">The Ground Truth current-authority gate evaluates the exact T3 event. An authoritative revocation, rejection, or prohibition at or before T3 yields </w:t>
      </w:r>
      <w:r>
        <w:rPr>
          <w:rFonts w:ascii="Liberation Mono" w:hAnsi="Liberation Mono"/>
          <w:sz w:val="19"/>
        </w:rPr>
        <w:t>DENIED</w:t>
      </w:r>
      <w:r>
        <w:t>.</w:t>
      </w:r>
    </w:p>
    <w:p>
      <w:pPr>
        <w:keepLines w:val="0"/>
      </w:pPr>
      <w:r>
        <w:t xml:space="preserve">Expiry is intentionally classified differently. Expiry removes the positive authority without necessarily establishing a current prohibition, so a post-expiry effect is </w:t>
      </w:r>
      <w:r>
        <w:rPr>
          <w:rFonts w:ascii="Liberation Mono" w:hAnsi="Liberation Mono"/>
          <w:sz w:val="19"/>
        </w:rPr>
        <w:t>UNAVAILABLE</w:t>
      </w:r>
      <w:r>
        <w:t>.</w:t>
      </w:r>
    </w:p>
    <w:p>
      <w:pPr>
        <w:keepLines w:val="0"/>
      </w:pPr>
      <w:r>
        <w:t xml:space="preserve">Supersession also returns </w:t>
      </w:r>
      <w:r>
        <w:rPr>
          <w:rFonts w:ascii="Liberation Mono" w:hAnsi="Liberation Mono"/>
          <w:sz w:val="19"/>
        </w:rPr>
        <w:t>UNAVAILABLE</w:t>
      </w:r>
      <w:r>
        <w:t xml:space="preserve"> until a current exact successor is established. A fresh successor can independently authorize the same effect, preserving positive reachability, or explicitly prohibit it and yield </w:t>
      </w:r>
      <w:r>
        <w:rPr>
          <w:rFonts w:ascii="Liberation Mono" w:hAnsi="Liberation Mono"/>
          <w:sz w:val="19"/>
        </w:rPr>
        <w:t>DENIED</w:t>
      </w:r>
      <w:r>
        <w:t>.</w:t>
      </w:r>
    </w:p>
    <w:p>
      <w:pPr>
        <w:keepLines w:val="0"/>
      </w:pPr>
      <w:r>
        <w:t>This attack reinforces the canonical T3 rule:</w:t>
      </w:r>
    </w:p>
    <w:p>
      <w:pPr>
        <w:keepLines w:val="0"/>
      </w:pPr>
      <w:r>
        <w:rPr>
          <w:rFonts w:ascii="Liberation Mono" w:hAnsi="Liberation Mono"/>
          <w:sz w:val="19"/>
        </w:rPr>
        <w:t>AUTHORIZED(T1) != AUTHORIZED(T3)</w:t>
      </w:r>
    </w:p>
    <w:p>
      <w:pPr>
        <w:keepLines w:val="0"/>
      </w:pPr>
      <w:r>
        <w:t>unless the authority relation remains current and applicable through the material disclosure event.</w:t>
      </w:r>
    </w:p>
    <w:p>
      <w:pPr>
        <w:keepLines w:val="0"/>
      </w:pPr>
      <w:r>
        <w:t>Queues, retries, timestamps, regenerated digests, and reserialization are not authority refresh mechanisms.</w:t>
      </w:r>
    </w:p>
    <w:p>
      <w:pPr>
        <w:pStyle w:val="Heading1"/>
      </w:pPr>
      <w:r>
        <w:t>19. Six-way empirical synthesis</w:t>
      </w:r>
    </w:p>
    <w:p>
      <w:pPr>
        <w:keepLines w:val="0"/>
      </w:pPr>
      <w:r>
        <w:t>The executable research now covers:</w:t>
      </w:r>
    </w:p>
    <w:p>
      <w:pPr>
        <w:ind w:left="259" w:hanging="259"/>
      </w:pPr>
      <w:r>
        <w:t>1. cumulative composition;</w:t>
      </w:r>
    </w:p>
    <w:p>
      <w:pPr>
        <w:ind w:left="259" w:hanging="259"/>
      </w:pPr>
      <w:r>
        <w:t>2. disclosure-history rollback / ABA;</w:t>
      </w:r>
    </w:p>
    <w:p>
      <w:pPr>
        <w:ind w:left="259" w:hanging="259"/>
      </w:pPr>
      <w:r>
        <w:t>3. authorization-to-execution mutation;</w:t>
      </w:r>
    </w:p>
    <w:p>
      <w:pPr>
        <w:ind w:left="259" w:hanging="259"/>
      </w:pPr>
      <w:r>
        <w:t>4. derived-disclosure laundering;</w:t>
      </w:r>
    </w:p>
    <w:p>
      <w:pPr>
        <w:ind w:left="259" w:hanging="259"/>
      </w:pPr>
      <w:r>
        <w:t>5. cross-recipient correlation / effective-controller collapse;</w:t>
      </w:r>
    </w:p>
    <w:p>
      <w:pPr>
        <w:ind w:left="259" w:hanging="259"/>
      </w:pPr>
      <w:r>
        <w:t>6. consent/revocation race and delayed execution.</w:t>
      </w:r>
    </w:p>
    <w:p>
      <w:pPr>
        <w:keepLines w:val="0"/>
      </w:pPr>
      <w:r>
        <w:t>Together they demonstrate that PHI disclosure authority is simultaneously semantic, cumulative, monotonic, transformation-sensitive, recipient-topology-sensitive, and time-dependent.</w:t>
      </w:r>
    </w:p>
    <w:p>
      <w:pPr>
        <w:keepLines w:val="0"/>
      </w:pPr>
      <w:r>
        <w:t>The common consume-time invariant remains:</w:t>
      </w:r>
    </w:p>
    <w:p>
      <w:pPr>
        <w:keepLines w:val="0"/>
      </w:pPr>
      <w:r>
        <w:rPr>
          <w:rFonts w:ascii="Liberation Mono" w:hAnsi="Liberation Mono"/>
          <w:sz w:val="19"/>
        </w:rPr>
        <w:t>NO CURRENT PHI DISCLOSURE AUTHORITY -&gt; NO EXTERNAL INFERENCE EFFECT</w:t>
      </w:r>
    </w:p>
    <w:p>
      <w:pPr>
        <w:pStyle w:val="Heading1"/>
      </w:pPr>
      <w:r>
        <w:t>20. Attack 7: partial execution and ambiguous send outcome</w:t>
      </w:r>
    </w:p>
    <w:p>
      <w:pPr>
        <w:keepLines w:val="0"/>
      </w:pPr>
      <w:r>
        <w:t>The seventh experiment addresses a distributed-systems ambiguity: a timeout does not prove that a disclosure did not occur.</w:t>
      </w:r>
    </w:p>
    <w:p>
      <w:pPr>
        <w:keepLines w:val="0"/>
      </w:pPr>
      <w:r>
        <w:t>A synthetic one-shot authorization is used to begin an external PHI send. The recipient may accept the request while the acknowledgement is lost. A deliberately naive timeout handler interprets the local timeout as non-effect and retries using the same authorization.</w:t>
      </w:r>
    </w:p>
    <w:p>
      <w:pPr>
        <w:keepLines w:val="0"/>
      </w:pPr>
      <w:r>
        <w:t>That logic can disclose the same PHI twice while preserving an apparently unused local authorization.</w:t>
      </w:r>
    </w:p>
    <w:p>
      <w:pPr>
        <w:keepLines w:val="0"/>
      </w:pPr>
      <w:r>
        <w:t xml:space="preserve">The Ground Truth model distinguishes </w:t>
      </w:r>
      <w:r>
        <w:rPr>
          <w:rFonts w:ascii="Liberation Mono" w:hAnsi="Liberation Mono"/>
          <w:sz w:val="19"/>
        </w:rPr>
        <w:t>EFFECT_CONFIRMED</w:t>
      </w:r>
      <w:r>
        <w:t xml:space="preserve">, </w:t>
      </w:r>
      <w:r>
        <w:rPr>
          <w:rFonts w:ascii="Liberation Mono" w:hAnsi="Liberation Mono"/>
          <w:sz w:val="19"/>
        </w:rPr>
        <w:t>NON_EFFECT_CONFIRMED</w:t>
      </w:r>
      <w:r>
        <w:t xml:space="preserve">, </w:t>
      </w:r>
      <w:r>
        <w:rPr>
          <w:rFonts w:ascii="Liberation Mono" w:hAnsi="Liberation Mono"/>
          <w:sz w:val="19"/>
        </w:rPr>
        <w:t>AMBIGUOUS</w:t>
      </w:r>
      <w:r>
        <w:t xml:space="preserve">, </w:t>
      </w:r>
      <w:r>
        <w:rPr>
          <w:rFonts w:ascii="Liberation Mono" w:hAnsi="Liberation Mono"/>
          <w:sz w:val="19"/>
        </w:rPr>
        <w:t>IN_FLIGHT</w:t>
      </w:r>
      <w:r>
        <w:t xml:space="preserve">, and </w:t>
      </w:r>
      <w:r>
        <w:rPr>
          <w:rFonts w:ascii="Liberation Mono" w:hAnsi="Liberation Mono"/>
          <w:sz w:val="19"/>
        </w:rPr>
        <w:t>NOT_STARTED</w:t>
      </w:r>
      <w:r>
        <w:t>.</w:t>
      </w:r>
    </w:p>
    <w:p>
      <w:pPr>
        <w:keepLines w:val="0"/>
      </w:pPr>
      <w:r>
        <w:t xml:space="preserve">An ambiguous prior attempt yields </w:t>
      </w:r>
      <w:r>
        <w:rPr>
          <w:rFonts w:ascii="Liberation Mono" w:hAnsi="Liberation Mono"/>
          <w:sz w:val="19"/>
        </w:rPr>
        <w:t>UNAVAILABLE</w:t>
      </w:r>
      <w:r>
        <w:t>. A confirmed effect consumes the one-shot authorization and advances disclosure history. Exact non-effect evidence can preserve retry eligibility. A fresh authorization after a confirmed first effect remains possible when current cumulative policy permits it.</w:t>
      </w:r>
    </w:p>
    <w:p>
      <w:pPr>
        <w:keepLines w:val="0"/>
      </w:pPr>
      <w:r>
        <w:t>The result generalizes beyond HTTP timeouts. Process crash, socket reset, caller cancellation, missing acknowledgement, gateway failure, and partial multi-stage execution all require effect-state evidence rather than optimistic inference.</w:t>
      </w:r>
    </w:p>
    <w:p>
      <w:pPr>
        <w:keepLines w:val="0"/>
      </w:pPr>
      <w:r>
        <w:t>The critical rule is:</w:t>
      </w:r>
    </w:p>
    <w:p>
      <w:pPr>
        <w:keepLines w:val="0"/>
      </w:pPr>
      <w:r>
        <w:rPr>
          <w:rFonts w:ascii="Liberation Mono" w:hAnsi="Liberation Mono"/>
          <w:sz w:val="19"/>
        </w:rPr>
        <w:t>transport failure != proof of non-disclosure</w:t>
      </w:r>
    </w:p>
    <w:p>
      <w:pPr>
        <w:keepLines w:val="0"/>
      </w:pPr>
      <w:r>
        <w:t>and:</w:t>
      </w:r>
    </w:p>
    <w:p>
      <w:pPr>
        <w:keepLines w:val="0"/>
      </w:pPr>
      <w:r>
        <w:rPr>
          <w:rFonts w:ascii="Liberation Mono" w:hAnsi="Liberation Mono"/>
          <w:sz w:val="19"/>
        </w:rPr>
        <w:t>unknown effect != unused authority</w:t>
      </w:r>
    </w:p>
    <w:p>
      <w:pPr>
        <w:pStyle w:val="Heading1"/>
      </w:pPr>
      <w:r>
        <w:t>21. Seven-way empirical synthesis</w:t>
      </w:r>
    </w:p>
    <w:p>
      <w:pPr>
        <w:keepLines w:val="0"/>
      </w:pPr>
      <w:r>
        <w:t>The executable research now covers:</w:t>
      </w:r>
    </w:p>
    <w:p>
      <w:pPr>
        <w:ind w:left="259" w:hanging="259"/>
      </w:pPr>
      <w:r>
        <w:t>1. cumulative composition;</w:t>
      </w:r>
    </w:p>
    <w:p>
      <w:pPr>
        <w:ind w:left="259" w:hanging="259"/>
      </w:pPr>
      <w:r>
        <w:t>2. disclosure-history rollback / ABA;</w:t>
      </w:r>
    </w:p>
    <w:p>
      <w:pPr>
        <w:ind w:left="259" w:hanging="259"/>
      </w:pPr>
      <w:r>
        <w:t>3. authorization-to-execution mutation;</w:t>
      </w:r>
    </w:p>
    <w:p>
      <w:pPr>
        <w:ind w:left="259" w:hanging="259"/>
      </w:pPr>
      <w:r>
        <w:t>4. derived-disclosure laundering;</w:t>
      </w:r>
    </w:p>
    <w:p>
      <w:pPr>
        <w:ind w:left="259" w:hanging="259"/>
      </w:pPr>
      <w:r>
        <w:t>5. cross-recipient correlation / effective-controller collapse;</w:t>
      </w:r>
    </w:p>
    <w:p>
      <w:pPr>
        <w:ind w:left="259" w:hanging="259"/>
      </w:pPr>
      <w:r>
        <w:t>6. consent/revocation race and delayed execution;</w:t>
      </w:r>
    </w:p>
    <w:p>
      <w:pPr>
        <w:ind w:left="259" w:hanging="259"/>
      </w:pPr>
      <w:r>
        <w:t>7. partial execution / ambiguous send outcome.</w:t>
      </w:r>
    </w:p>
    <w:p>
      <w:pPr>
        <w:keepLines w:val="0"/>
      </w:pPr>
      <w:r>
        <w:t>The subsequent experiments complete the attack series with cross-session/memory contamination, model/provider migration continuity, and final composite adversarial composition.</w:t>
      </w:r>
    </w:p>
    <w:p>
      <w:pPr>
        <w:pStyle w:val="Heading1"/>
      </w:pPr>
      <w:r>
        <w:t>22. Attack 8: cross-session and memory contamination</w:t>
      </w:r>
    </w:p>
    <w:p>
      <w:pPr>
        <w:keepLines w:val="0"/>
      </w:pPr>
      <w:r>
        <w:t>The eighth experiment tests authority portability through AI memory.</w:t>
      </w:r>
    </w:p>
    <w:p>
      <w:pPr>
        <w:keepLines w:val="0"/>
      </w:pPr>
      <w:r>
        <w:t>A synthetic PHI fact is legitimately used in Session S1 for treatment support and stored as memory. Session S2 has a different purpose. A deliberately naive memory layer reuses the fact because it is present in memory and previously authorized.</w:t>
      </w:r>
    </w:p>
    <w:p>
      <w:pPr>
        <w:keepLines w:val="0"/>
      </w:pPr>
      <w:r>
        <w:t xml:space="preserve">The Ground Truth memory gate returns </w:t>
      </w:r>
      <w:r>
        <w:rPr>
          <w:rFonts w:ascii="Liberation Mono" w:hAnsi="Liberation Mono"/>
          <w:sz w:val="19"/>
        </w:rPr>
        <w:t>UNAVAILABLE</w:t>
      </w:r>
      <w:r>
        <w:t>: the earlier authorization does not establish current authority for the new session/purpose effect.</w:t>
      </w:r>
    </w:p>
    <w:p>
      <w:pPr>
        <w:keepLines w:val="0"/>
      </w:pPr>
      <w:r>
        <w:t>The same analysis covers caches, embeddings, retrieval stores, tool-result caches, summaries, hidden context, agent scratchpads and persistent memory. Storage proves that an artifact exists; it does not establish that the artifact may be disclosed or injected into a later context.</w:t>
      </w:r>
    </w:p>
    <w:p>
      <w:pPr>
        <w:keepLines w:val="0"/>
      </w:pPr>
      <w:r>
        <w:t xml:space="preserve">Cross-subject contamination is treated even more strictly. Patient A's memory appearing in Patient B's context is an exact subject-binding failure. The synthetic policy used by the reproducer classifies that condition as </w:t>
      </w:r>
      <w:r>
        <w:rPr>
          <w:rFonts w:ascii="Liberation Mono" w:hAnsi="Liberation Mono"/>
          <w:sz w:val="19"/>
        </w:rPr>
        <w:t>DENIED</w:t>
      </w:r>
      <w:r>
        <w:t>; a policy that lacks an explicit prohibition would still require fail-closed handling.</w:t>
      </w:r>
    </w:p>
    <w:p>
      <w:pPr>
        <w:keepLines w:val="0"/>
      </w:pPr>
      <w:r>
        <w:t xml:space="preserve">A same-session, same-purpose, same-namespace, same-recipient positive path remains </w:t>
      </w:r>
      <w:r>
        <w:rPr>
          <w:rFonts w:ascii="Liberation Mono" w:hAnsi="Liberation Mono"/>
          <w:sz w:val="19"/>
        </w:rPr>
        <w:t>AUTHORIZED</w:t>
      </w:r>
      <w:r>
        <w:t>, and a fresh explicit reuse authorization can permit a later same-purpose session.</w:t>
      </w:r>
    </w:p>
    <w:p>
      <w:pPr>
        <w:keepLines w:val="0"/>
      </w:pPr>
      <w:r>
        <w:t>The key result is:</w:t>
      </w:r>
    </w:p>
    <w:p>
      <w:pPr>
        <w:keepLines w:val="0"/>
      </w:pPr>
      <w:r>
        <w:rPr>
          <w:rFonts w:ascii="Liberation Mono" w:hAnsi="Liberation Mono"/>
          <w:sz w:val="19"/>
        </w:rPr>
        <w:t>memory persistence != authority persistence</w:t>
      </w:r>
    </w:p>
    <w:p>
      <w:pPr>
        <w:keepLines w:val="0"/>
      </w:pPr>
      <w:r>
        <w:t>and:</w:t>
      </w:r>
    </w:p>
    <w:p>
      <w:pPr>
        <w:keepLines w:val="0"/>
      </w:pPr>
      <w:r>
        <w:rPr>
          <w:rFonts w:ascii="Liberation Mono" w:hAnsi="Liberation Mono"/>
          <w:sz w:val="19"/>
        </w:rPr>
        <w:t>same user != same authority context</w:t>
      </w:r>
      <w:r>
        <w:t>.</w:t>
      </w:r>
    </w:p>
    <w:p>
      <w:pPr>
        <w:pStyle w:val="Heading1"/>
      </w:pPr>
      <w:r>
        <w:t>23. Eight-way empirical synthesis</w:t>
      </w:r>
    </w:p>
    <w:p>
      <w:pPr>
        <w:keepLines w:val="0"/>
      </w:pPr>
      <w:r>
        <w:t>The executable research now covers:</w:t>
      </w:r>
    </w:p>
    <w:p>
      <w:pPr>
        <w:ind w:left="259" w:hanging="259"/>
      </w:pPr>
      <w:r>
        <w:t>1. cumulative composition;</w:t>
      </w:r>
    </w:p>
    <w:p>
      <w:pPr>
        <w:ind w:left="259" w:hanging="259"/>
      </w:pPr>
      <w:r>
        <w:t>2. disclosure-history rollback / ABA;</w:t>
      </w:r>
    </w:p>
    <w:p>
      <w:pPr>
        <w:ind w:left="259" w:hanging="259"/>
      </w:pPr>
      <w:r>
        <w:t>3. authorization-to-execution mutation;</w:t>
      </w:r>
    </w:p>
    <w:p>
      <w:pPr>
        <w:ind w:left="259" w:hanging="259"/>
      </w:pPr>
      <w:r>
        <w:t>4. derived-disclosure laundering;</w:t>
      </w:r>
    </w:p>
    <w:p>
      <w:pPr>
        <w:ind w:left="259" w:hanging="259"/>
      </w:pPr>
      <w:r>
        <w:t>5. cross-recipient correlation / effective-controller collapse;</w:t>
      </w:r>
    </w:p>
    <w:p>
      <w:pPr>
        <w:ind w:left="259" w:hanging="259"/>
      </w:pPr>
      <w:r>
        <w:t>6. consent/revocation race and delayed execution;</w:t>
      </w:r>
    </w:p>
    <w:p>
      <w:pPr>
        <w:ind w:left="259" w:hanging="259"/>
      </w:pPr>
      <w:r>
        <w:t>7. partial execution / ambiguous send outcome;</w:t>
      </w:r>
    </w:p>
    <w:p>
      <w:pPr>
        <w:ind w:left="259" w:hanging="259"/>
      </w:pPr>
      <w:r>
        <w:t>8. cross-session / memory contamination.</w:t>
      </w:r>
    </w:p>
    <w:p>
      <w:pPr>
        <w:keepLines w:val="0"/>
      </w:pPr>
      <w:r>
        <w:t>The final two attack families examine model/provider migration continuity and a composite adversarial trace that combines the prior failure classes.</w:t>
      </w:r>
    </w:p>
    <w:p>
      <w:pPr>
        <w:pStyle w:val="Heading1"/>
      </w:pPr>
      <w:r>
        <w:t>24. Attack 9: model/provider migration continuity</w:t>
      </w:r>
    </w:p>
    <w:p>
      <w:pPr>
        <w:keepLines w:val="0"/>
      </w:pPr>
      <w:r>
        <w:t>The ninth experiment tests whether stable model or API labels can conceal a changed effect-capable disclosure target.</w:t>
      </w:r>
    </w:p>
    <w:p>
      <w:pPr>
        <w:keepLines w:val="0"/>
      </w:pPr>
      <w:r>
        <w:t xml:space="preserve">A synthetic request is authorized for a route resolving </w:t>
      </w:r>
      <w:r>
        <w:rPr>
          <w:rFonts w:ascii="Liberation Mono" w:hAnsi="Liberation Mono"/>
          <w:sz w:val="19"/>
        </w:rPr>
        <w:t>model-health-assistant</w:t>
      </w:r>
      <w:r>
        <w:t xml:space="preserve"> to backend </w:t>
      </w:r>
      <w:r>
        <w:rPr>
          <w:rFonts w:ascii="Liberation Mono" w:hAnsi="Liberation Mono"/>
          <w:sz w:val="19"/>
        </w:rPr>
        <w:t>B1</w:t>
      </w:r>
      <w:r>
        <w:t xml:space="preserve">. Before T3, routing changes so the same visible label resolves to </w:t>
      </w:r>
      <w:r>
        <w:rPr>
          <w:rFonts w:ascii="Liberation Mono" w:hAnsi="Liberation Mono"/>
          <w:sz w:val="19"/>
        </w:rPr>
        <w:t>B2</w:t>
      </w:r>
      <w:r>
        <w:t xml:space="preserve">. A deliberately naive gate checks only the visible model label and preserves </w:t>
      </w:r>
      <w:r>
        <w:rPr>
          <w:rFonts w:ascii="Liberation Mono" w:hAnsi="Liberation Mono"/>
          <w:sz w:val="19"/>
        </w:rPr>
        <w:t>AUTHORIZED</w:t>
      </w:r>
      <w:r>
        <w:t>.</w:t>
      </w:r>
    </w:p>
    <w:p>
      <w:pPr>
        <w:keepLines w:val="0"/>
      </w:pPr>
      <w:r>
        <w:t xml:space="preserve">The Ground Truth route gate returns </w:t>
      </w:r>
      <w:r>
        <w:rPr>
          <w:rFonts w:ascii="Liberation Mono" w:hAnsi="Liberation Mono"/>
          <w:sz w:val="19"/>
        </w:rPr>
        <w:t>UNAVAILABLE</w:t>
      </w:r>
      <w:r>
        <w:t xml:space="preserve"> unless the migration is independently admitted, current, revalidated, and bound to the exact new backend generation and T3 effect. Explicitly prohibited backends or operators yield </w:t>
      </w:r>
      <w:r>
        <w:rPr>
          <w:rFonts w:ascii="Liberation Mono" w:hAnsi="Liberation Mono"/>
          <w:sz w:val="19"/>
        </w:rPr>
        <w:t>DENIED</w:t>
      </w:r>
      <w:r>
        <w:t>.</w:t>
      </w:r>
    </w:p>
    <w:p>
      <w:pPr>
        <w:keepLines w:val="0"/>
      </w:pPr>
      <w:r>
        <w:t xml:space="preserve">The experiment also fails closed on operator changes, credential-generation changes, permission expansion, tenant changes, and newly inserted relays. An exact same-route positive remains </w:t>
      </w:r>
      <w:r>
        <w:rPr>
          <w:rFonts w:ascii="Liberation Mono" w:hAnsi="Liberation Mono"/>
          <w:sz w:val="19"/>
        </w:rPr>
        <w:t>AUTHORIZED</w:t>
      </w:r>
      <w:r>
        <w:t>, and a properly admitted B1-to-B2 migration remains positively reachable.</w:t>
      </w:r>
    </w:p>
    <w:p>
      <w:pPr>
        <w:keepLines w:val="0"/>
      </w:pPr>
      <w:r>
        <w:t>The key result is:</w:t>
      </w:r>
    </w:p>
    <w:p>
      <w:pPr>
        <w:keepLines w:val="0"/>
      </w:pPr>
      <w:r>
        <w:rPr>
          <w:rFonts w:ascii="Liberation Mono" w:hAnsi="Liberation Mono"/>
          <w:sz w:val="19"/>
        </w:rPr>
        <w:t>stable model label != stable disclosure boundary</w:t>
      </w:r>
    </w:p>
    <w:p>
      <w:pPr>
        <w:keepLines w:val="0"/>
      </w:pPr>
      <w:r>
        <w:t>and:</w:t>
      </w:r>
    </w:p>
    <w:p>
      <w:pPr>
        <w:keepLines w:val="0"/>
      </w:pPr>
      <w:r>
        <w:rPr>
          <w:rFonts w:ascii="Liberation Mono" w:hAnsi="Liberation Mono"/>
          <w:sz w:val="19"/>
        </w:rPr>
        <w:t>successful routing != current disclosure authority</w:t>
      </w:r>
      <w:r>
        <w:t>.</w:t>
      </w:r>
    </w:p>
    <w:p>
      <w:pPr>
        <w:keepLines w:val="0"/>
      </w:pPr>
      <w:r>
        <w:t>This aligns PHI disclosure with Ground Truth's existing Tool / Connector Authority Continuity model: logical tool, connector, backend, target, credential, permission scope, operator lineage and terminal use are distinct authority relations.</w:t>
      </w:r>
    </w:p>
    <w:p>
      <w:pPr>
        <w:pStyle w:val="Heading1"/>
      </w:pPr>
      <w:r>
        <w:t>25. Nine-way empirical synthesis</w:t>
      </w:r>
    </w:p>
    <w:p>
      <w:pPr>
        <w:keepLines w:val="0"/>
      </w:pPr>
      <w:r>
        <w:t>The executable research now covers:</w:t>
      </w:r>
    </w:p>
    <w:p>
      <w:pPr>
        <w:ind w:left="259" w:hanging="259"/>
      </w:pPr>
      <w:r>
        <w:t>1. cumulative disclosure composition;</w:t>
      </w:r>
    </w:p>
    <w:p>
      <w:pPr>
        <w:ind w:left="259" w:hanging="259"/>
      </w:pPr>
      <w:r>
        <w:t>2. disclosure-history rollback / ABA;</w:t>
      </w:r>
    </w:p>
    <w:p>
      <w:pPr>
        <w:ind w:left="259" w:hanging="259"/>
      </w:pPr>
      <w:r>
        <w:t>3. authorization-to-execution mutation;</w:t>
      </w:r>
    </w:p>
    <w:p>
      <w:pPr>
        <w:ind w:left="259" w:hanging="259"/>
      </w:pPr>
      <w:r>
        <w:t>4. derived-disclosure laundering;</w:t>
      </w:r>
    </w:p>
    <w:p>
      <w:pPr>
        <w:ind w:left="259" w:hanging="259"/>
      </w:pPr>
      <w:r>
        <w:t>5. cross-recipient correlation / effective-controller collapse;</w:t>
      </w:r>
    </w:p>
    <w:p>
      <w:pPr>
        <w:ind w:left="259" w:hanging="259"/>
      </w:pPr>
      <w:r>
        <w:t>6. consent/revocation race and delayed execution;</w:t>
      </w:r>
    </w:p>
    <w:p>
      <w:pPr>
        <w:ind w:left="259" w:hanging="259"/>
      </w:pPr>
      <w:r>
        <w:t>7. partial execution / ambiguous send outcome;</w:t>
      </w:r>
    </w:p>
    <w:p>
      <w:pPr>
        <w:ind w:left="259" w:hanging="259"/>
      </w:pPr>
      <w:r>
        <w:t>8. cross-session / memory contamination;</w:t>
      </w:r>
    </w:p>
    <w:p>
      <w:pPr>
        <w:ind w:left="259" w:hanging="259"/>
      </w:pPr>
      <w:r>
        <w:t>9. model/provider migration continuity.</w:t>
      </w:r>
    </w:p>
    <w:p>
      <w:pPr>
        <w:keepLines w:val="0"/>
      </w:pPr>
      <w:r>
        <w:t>The final attack combines the prior PHI failure classes and tests whether any interaction escapes the individual repairs.</w:t>
      </w:r>
    </w:p>
    <w:p>
      <w:pPr>
        <w:pStyle w:val="Heading1"/>
      </w:pPr>
      <w:r>
        <w:t>26. Attack 10: composite adversarial disclosure continuity</w:t>
      </w:r>
    </w:p>
    <w:p>
      <w:pPr>
        <w:keepLines w:val="0"/>
      </w:pPr>
      <w:r>
        <w:t>The final attack composes the earlier PHI failure classes rather than introducing a new standalone category.</w:t>
      </w:r>
    </w:p>
    <w:p>
      <w:pPr>
        <w:keepLines w:val="0"/>
      </w:pPr>
      <w:r>
        <w:t>A hostile synthetic trace begins with a valid source authorization, then crosses session scope, expands the artifact through transformation, collapses recipient labels onto one effective domain, changes provider routing beneath a stable model label, restores stale disclosure history, revokes the current authority, encounters an ambiguous send result, and attempts a retry.</w:t>
      </w:r>
    </w:p>
    <w:p>
      <w:pPr>
        <w:keepLines w:val="0"/>
      </w:pPr>
      <w:r>
        <w:t>The point is not that this exact sequence is likely. The point is to test whether one locally favorable layer can launder another layer's missing or negative authority.</w:t>
      </w:r>
    </w:p>
    <w:p>
      <w:pPr>
        <w:keepLines w:val="0"/>
      </w:pPr>
      <w:r>
        <w:t xml:space="preserve">A deliberately naive composite gate checks only whether a prior </w:t>
      </w:r>
      <w:r>
        <w:rPr>
          <w:rFonts w:ascii="Liberation Mono" w:hAnsi="Liberation Mono"/>
          <w:sz w:val="19"/>
        </w:rPr>
        <w:t>AUTHORIZED</w:t>
      </w:r>
      <w:r>
        <w:t xml:space="preserve"> decision exists and therefore returns </w:t>
      </w:r>
      <w:r>
        <w:rPr>
          <w:rFonts w:ascii="Liberation Mono" w:hAnsi="Liberation Mono"/>
          <w:sz w:val="19"/>
        </w:rPr>
        <w:t>AUTHORIZED</w:t>
      </w:r>
      <w:r>
        <w:t>.</w:t>
      </w:r>
    </w:p>
    <w:p>
      <w:pPr>
        <w:keepLines w:val="0"/>
      </w:pPr>
      <w:r>
        <w:t xml:space="preserve">The Ground Truth composite gate does not carry historical verdicts forward. Current exact revocation or cumulative prohibition yields </w:t>
      </w:r>
      <w:r>
        <w:rPr>
          <w:rFonts w:ascii="Liberation Mono" w:hAnsi="Liberation Mono"/>
          <w:sz w:val="19"/>
        </w:rPr>
        <w:t>DENIED</w:t>
      </w:r>
      <w:r>
        <w:t xml:space="preserve">. Otherwise, any missing or stale mandatory relationship yields </w:t>
      </w:r>
      <w:r>
        <w:rPr>
          <w:rFonts w:ascii="Liberation Mono" w:hAnsi="Liberation Mono"/>
          <w:sz w:val="19"/>
        </w:rPr>
        <w:t>UNAVAILABLE</w:t>
      </w:r>
      <w:r>
        <w:t xml:space="preserve">. Only complete convergence of memory scope, transformation authority, recipient-domain state, route state, monotonic disclosure history, active authority, resolved effect state, and use state reaches </w:t>
      </w:r>
      <w:r>
        <w:rPr>
          <w:rFonts w:ascii="Liberation Mono" w:hAnsi="Liberation Mono"/>
          <w:sz w:val="19"/>
        </w:rPr>
        <w:t>AUTHORIZED</w:t>
      </w:r>
      <w:r>
        <w:t>.</w:t>
      </w:r>
    </w:p>
    <w:p>
      <w:pPr>
        <w:keepLines w:val="0"/>
      </w:pPr>
      <w:r>
        <w:t>A repaired positive path with every relation current remains reachable.</w:t>
      </w:r>
    </w:p>
    <w:p>
      <w:pPr>
        <w:keepLines w:val="0"/>
      </w:pPr>
      <w:r>
        <w:t>The synthetic composite verdict is:</w:t>
      </w:r>
    </w:p>
    <w:p>
      <w:pPr>
        <w:keepLines w:val="0"/>
      </w:pPr>
      <w:r>
        <w:rPr>
          <w:b/>
        </w:rPr>
        <w:t>PASS — NO REPRODUCIBLE IN-SCOPE COMPOSITE PHI AUTHORITY BYPASS FOUND</w:t>
      </w:r>
    </w:p>
    <w:p>
      <w:pPr>
        <w:keepLines w:val="0"/>
      </w:pPr>
      <w:r>
        <w:t>This means failure to falsify the synthetic model within its admitted assumptions. It is not a proof of production security or legal compliance.</w:t>
      </w:r>
    </w:p>
    <w:p>
      <w:pPr>
        <w:pStyle w:val="Heading1"/>
      </w:pPr>
      <w:r>
        <w:t>27. Research freeze</w:t>
      </w:r>
    </w:p>
    <w:p>
      <w:pPr>
        <w:keepLines w:val="0"/>
      </w:pPr>
      <w:r>
        <w:t>The planned PHI attack expansion is now complete at ten families:</w:t>
      </w:r>
    </w:p>
    <w:p>
      <w:pPr>
        <w:ind w:left="259" w:hanging="259"/>
      </w:pPr>
      <w:r>
        <w:t>1. cumulative disclosure composition;</w:t>
      </w:r>
    </w:p>
    <w:p>
      <w:pPr>
        <w:ind w:left="259" w:hanging="259"/>
      </w:pPr>
      <w:r>
        <w:t>2. disclosure-history rollback / ABA;</w:t>
      </w:r>
    </w:p>
    <w:p>
      <w:pPr>
        <w:ind w:left="259" w:hanging="259"/>
      </w:pPr>
      <w:r>
        <w:t>3. authorization-to-execution mutation;</w:t>
      </w:r>
    </w:p>
    <w:p>
      <w:pPr>
        <w:ind w:left="259" w:hanging="259"/>
      </w:pPr>
      <w:r>
        <w:t>4. derived-disclosure laundering;</w:t>
      </w:r>
    </w:p>
    <w:p>
      <w:pPr>
        <w:ind w:left="259" w:hanging="259"/>
      </w:pPr>
      <w:r>
        <w:t>5. cross-recipient correlation / effective-controller collapse;</w:t>
      </w:r>
    </w:p>
    <w:p>
      <w:pPr>
        <w:ind w:left="259" w:hanging="259"/>
      </w:pPr>
      <w:r>
        <w:t>6. consent/revocation race and delayed execution;</w:t>
      </w:r>
    </w:p>
    <w:p>
      <w:pPr>
        <w:ind w:left="259" w:hanging="259"/>
      </w:pPr>
      <w:r>
        <w:t>7. partial execution / ambiguous send outcome;</w:t>
      </w:r>
    </w:p>
    <w:p>
      <w:pPr>
        <w:ind w:left="259" w:hanging="259"/>
      </w:pPr>
      <w:r>
        <w:t>8. cross-session / memory contamination;</w:t>
      </w:r>
    </w:p>
    <w:p>
      <w:pPr>
        <w:ind w:left="259" w:hanging="259"/>
      </w:pPr>
      <w:r>
        <w:t>9. model/provider migration continuity;</w:t>
      </w:r>
    </w:p>
    <w:p>
      <w:pPr>
        <w:ind w:left="259" w:hanging="259"/>
      </w:pPr>
      <w:r>
        <w:t>10. composite adversarial disclosure continuity.</w:t>
      </w:r>
    </w:p>
    <w:p>
      <w:pPr>
        <w:keepLines w:val="0"/>
      </w:pPr>
      <w:r>
        <w:t>No additional attack family is justified by default without a newly identified counterexample class.</w:t>
      </w:r>
    </w:p>
    <w:p>
      <w:pPr>
        <w:pStyle w:val="Heading1"/>
      </w:pPr>
      <w:r>
        <w:t>28. Integrated Ground Truth implementation</w:t>
      </w:r>
    </w:p>
    <w:p>
      <w:pPr>
        <w:keepLines w:val="0"/>
      </w:pPr>
      <w:r>
        <w:t>The research freeze was followed by contract consolidation, hostile design review, and exact fixture integration into the public Ground Truth Authority Lab. The implementation does not create a parallel authorization engine. It adds one strict PHI disclosure gate that executes only after the existing canonical T3 check has succeeded.</w:t>
      </w:r>
    </w:p>
    <w:p>
      <w:pPr>
        <w:keepLines w:val="0"/>
      </w:pPr>
      <w:r>
        <w:t xml:space="preserve">The candidate supplies an exact </w:t>
      </w:r>
      <w:r>
        <w:rPr>
          <w:rFonts w:ascii="Liberation Mono" w:hAnsi="Liberation Mono"/>
          <w:sz w:val="19"/>
        </w:rPr>
        <w:t>phi_disclosure_binding</w:t>
      </w:r>
      <w:r>
        <w:t xml:space="preserve">; the harness supplies the protected PHI disclosure-authority context. Candidate fixtures cannot inject or select trusted PHI state. The binding converges on the existing protected execution event, including the execution-event identifier, protected execution-event digest, and tool context. A PHI result of </w:t>
      </w:r>
      <w:r>
        <w:rPr>
          <w:rFonts w:ascii="Liberation Mono" w:hAnsi="Liberation Mono"/>
          <w:sz w:val="19"/>
        </w:rPr>
        <w:t>AUTHORIZED</w:t>
      </w:r>
      <w:r>
        <w:t xml:space="preserve"> does not independently authorize the action; normal downstream Ground Truth authority checks continue. A PHI </w:t>
      </w:r>
      <w:r>
        <w:rPr>
          <w:rFonts w:ascii="Liberation Mono" w:hAnsi="Liberation Mono"/>
          <w:sz w:val="19"/>
        </w:rPr>
        <w:t>DENIED</w:t>
      </w:r>
      <w:r>
        <w:t xml:space="preserve"> or </w:t>
      </w:r>
      <w:r>
        <w:rPr>
          <w:rFonts w:ascii="Liberation Mono" w:hAnsi="Liberation Mono"/>
          <w:sz w:val="19"/>
        </w:rPr>
        <w:t>UNAVAILABLE</w:t>
      </w:r>
      <w:r>
        <w:t xml:space="preserve"> result fails closed before the external effect.</w:t>
      </w:r>
    </w:p>
    <w:p>
      <w:pPr>
        <w:keepLines w:val="0"/>
      </w:pPr>
      <w:r>
        <w:t>The implementation preserves the frozen public structure: six tuple coordinates, six invariants (</w:t>
      </w:r>
      <w:r>
        <w:rPr>
          <w:rFonts w:ascii="Liberation Mono" w:hAnsi="Liberation Mono"/>
          <w:sz w:val="19"/>
        </w:rPr>
        <w:t>INV-CONT</w:t>
      </w:r>
      <w:r>
        <w:t xml:space="preserve">, </w:t>
      </w:r>
      <w:r>
        <w:rPr>
          <w:rFonts w:ascii="Liberation Mono" w:hAnsi="Liberation Mono"/>
          <w:sz w:val="19"/>
        </w:rPr>
        <w:t>INV-DISC</w:t>
      </w:r>
      <w:r>
        <w:t xml:space="preserve">, </w:t>
      </w:r>
      <w:r>
        <w:rPr>
          <w:rFonts w:ascii="Liberation Mono" w:hAnsi="Liberation Mono"/>
          <w:sz w:val="19"/>
        </w:rPr>
        <w:t>INV-BND</w:t>
      </w:r>
      <w:r>
        <w:t xml:space="preserve">, </w:t>
      </w:r>
      <w:r>
        <w:rPr>
          <w:rFonts w:ascii="Liberation Mono" w:hAnsi="Liberation Mono"/>
          <w:sz w:val="19"/>
        </w:rPr>
        <w:t>INV-EVD</w:t>
      </w:r>
      <w:r>
        <w:t xml:space="preserve">, </w:t>
      </w:r>
      <w:r>
        <w:rPr>
          <w:rFonts w:ascii="Liberation Mono" w:hAnsi="Liberation Mono"/>
          <w:sz w:val="19"/>
        </w:rPr>
        <w:t>INV-USE</w:t>
      </w:r>
      <w:r>
        <w:t xml:space="preserve">, </w:t>
      </w:r>
      <w:r>
        <w:rPr>
          <w:rFonts w:ascii="Liberation Mono" w:hAnsi="Liberation Mono"/>
          <w:sz w:val="19"/>
        </w:rPr>
        <w:t>INV-CLO</w:t>
      </w:r>
      <w:r>
        <w:t xml:space="preserve">), exactly three authority outcomes, and the unchanged </w:t>
      </w:r>
      <w:r>
        <w:rPr>
          <w:rFonts w:ascii="Liberation Mono" w:hAnsi="Liberation Mono"/>
          <w:sz w:val="19"/>
        </w:rPr>
        <w:t>authority-lab-v1</w:t>
      </w:r>
      <w:r>
        <w:t xml:space="preserve"> schema.</w:t>
      </w:r>
    </w:p>
    <w:p>
      <w:pPr>
        <w:pStyle w:val="Heading1"/>
      </w:pPr>
      <w:r>
        <w:t>29. History completeness and denial precedence</w:t>
      </w:r>
    </w:p>
    <w:p>
      <w:pPr>
        <w:keepLines w:val="0"/>
      </w:pPr>
      <w:r>
        <w:t xml:space="preserve">Final PR-level hostile review found one semantic ordering defect before merge. The initial implementation could evaluate cumulative prohibition before establishing that protected disclosure history was complete. That conflicted with the contract's rule that incomplete required history is </w:t>
      </w:r>
      <w:r>
        <w:rPr>
          <w:rFonts w:ascii="Liberation Mono" w:hAnsi="Liberation Mono"/>
          <w:sz w:val="19"/>
        </w:rPr>
        <w:t>UNAVAILABLE</w:t>
      </w:r>
      <w:r>
        <w:t>. The corrected precedence is:</w:t>
      </w:r>
    </w:p>
    <w:p>
      <w:pPr>
        <w:keepLines w:val="0"/>
      </w:pPr>
      <w:r>
        <w:rPr>
          <w:rFonts w:ascii="Liberation Mono" w:hAnsi="Liberation Mono"/>
          <w:sz w:val="19"/>
        </w:rPr>
        <w:t>IncompleteRequiredHistory -&gt; UNAVAILABLE</w:t>
      </w:r>
    </w:p>
    <w:p>
      <w:pPr>
        <w:keepLines w:val="0"/>
      </w:pPr>
      <w:r>
        <w:t xml:space="preserve">Only after history completeness is established may cumulative policy produce an exact </w:t>
      </w:r>
      <w:r>
        <w:rPr>
          <w:rFonts w:ascii="Liberation Mono" w:hAnsi="Liberation Mono"/>
          <w:sz w:val="19"/>
        </w:rPr>
        <w:t>DENIED</w:t>
      </w:r>
      <w:r>
        <w:t xml:space="preserve">. A dedicated regression test now fixes this behavior; the hostile reproducer returns </w:t>
      </w:r>
      <w:r>
        <w:rPr>
          <w:rFonts w:ascii="Liberation Mono" w:hAnsi="Liberation Mono"/>
          <w:sz w:val="19"/>
        </w:rPr>
        <w:t>UNAVAILABLE / PHI_HISTORY_UNAVAILABLE</w:t>
      </w:r>
      <w:r>
        <w:t>.</w:t>
      </w:r>
    </w:p>
    <w:p>
      <w:pPr>
        <w:pStyle w:val="Heading1"/>
      </w:pPr>
      <w:r>
        <w:t>30. Merged evidence state</w:t>
      </w:r>
    </w:p>
    <w:p>
      <w:pPr>
        <w:keepLines w:val="0"/>
      </w:pPr>
      <w:r>
        <w:t>The PHI integration was merged through Ground Truth pull request #25.</w:t>
      </w:r>
    </w:p>
    <w:p>
      <w:pPr>
        <w:pStyle w:val="ListBullet"/>
      </w:pPr>
      <w:r>
        <w:t xml:space="preserve">reviewed feature head: </w:t>
      </w:r>
      <w:r>
        <w:rPr>
          <w:rFonts w:ascii="Liberation Mono" w:hAnsi="Liberation Mono"/>
          <w:sz w:val="19"/>
        </w:rPr>
        <w:t>0b88a4814496c32c2a729f350106e0038f1b8e63</w:t>
      </w:r>
    </w:p>
    <w:p>
      <w:pPr>
        <w:pStyle w:val="ListBullet"/>
      </w:pPr>
      <w:r>
        <w:t xml:space="preserve">merge commit on </w:t>
      </w:r>
      <w:r>
        <w:rPr>
          <w:rFonts w:ascii="Liberation Mono" w:hAnsi="Liberation Mono"/>
          <w:sz w:val="19"/>
        </w:rPr>
        <w:t>main</w:t>
      </w:r>
      <w:r>
        <w:t xml:space="preserve">: </w:t>
      </w:r>
      <w:r>
        <w:rPr>
          <w:rFonts w:ascii="Liberation Mono" w:hAnsi="Liberation Mono"/>
          <w:sz w:val="19"/>
        </w:rPr>
        <w:t>05ab14a7c260e8d94e737a8d4a524385bb673515</w:t>
      </w:r>
    </w:p>
    <w:p>
      <w:pPr>
        <w:pStyle w:val="ListBullet"/>
      </w:pPr>
      <w:r>
        <w:t xml:space="preserve">merged at: </w:t>
      </w:r>
      <w:r>
        <w:rPr>
          <w:rFonts w:ascii="Liberation Mono" w:hAnsi="Liberation Mono"/>
          <w:sz w:val="19"/>
        </w:rPr>
        <w:t>2026-10-04T20:08:05Z</w:t>
      </w:r>
    </w:p>
    <w:p>
      <w:pPr>
        <w:pStyle w:val="ListBullet"/>
      </w:pPr>
      <w:r>
        <w:t>fixture corpus after PHI integration: 478 fixtures</w:t>
      </w:r>
    </w:p>
    <w:p>
      <w:pPr>
        <w:pStyle w:val="ListBullet"/>
      </w:pPr>
      <w:r>
        <w:t>Authority Lab regression: 265/265 PASS</w:t>
      </w:r>
    </w:p>
    <w:p>
      <w:pPr>
        <w:pStyle w:val="ListBullet"/>
      </w:pPr>
      <w:r>
        <w:t>all-fixture runner: PASS</w:t>
      </w:r>
    </w:p>
    <w:p>
      <w:pPr>
        <w:pStyle w:val="ListBullet"/>
      </w:pPr>
      <w:r>
        <w:t>hostile PHI review: PASS</w:t>
      </w:r>
    </w:p>
    <w:p>
      <w:pPr>
        <w:pStyle w:val="ListBullet"/>
      </w:pPr>
      <w:r>
        <w:t>final bounded implementation verifier: OVERALL PASS</w:t>
      </w:r>
    </w:p>
    <w:p>
      <w:pPr>
        <w:pStyle w:val="ListBullet"/>
      </w:pPr>
      <w:r>
        <w:t>GitHub status checks for PR #25: none configured/reported</w:t>
      </w:r>
    </w:p>
    <w:p>
      <w:pPr>
        <w:keepLines w:val="0"/>
      </w:pPr>
      <w:r>
        <w:t>The absence of GitHub status checks is recorded explicitly; local exact-state regression evidence is not relabeled as CI evidence.</w:t>
      </w:r>
    </w:p>
    <w:p>
      <w:pPr>
        <w:pStyle w:val="Heading1"/>
      </w:pPr>
      <w:r>
        <w:t>31. Relationship to the zkAPI case study</w:t>
      </w:r>
    </w:p>
    <w:p>
      <w:pPr>
        <w:keepLines w:val="0"/>
      </w:pPr>
      <w:r>
        <w:t>The pinned zkAPI architecture remains a case study, not a vulnerability target. Its public documentation describes prompt-free proof authorization for lease issuance while inference uses the issued provider key separately. That separation is precisely why it is useful here: a privacy/payment authorization can be correct while semantic contents of a later model request remain governed by a different proposition.</w:t>
      </w:r>
    </w:p>
    <w:p>
      <w:pPr>
        <w:keepLines w:val="0"/>
      </w:pPr>
      <w:r>
        <w:t>No zkAPI vulnerability is claimed, and Ground Truth is not proposed as a replacement for cryptographic privacy, transport security, or payment proofs. The narrower result is that cryptographic or payment authority does not silently imply semantic disclosure authority.</w:t>
      </w:r>
    </w:p>
    <w:p>
      <w:pPr>
        <w:pStyle w:val="Heading1"/>
      </w:pPr>
      <w:r>
        <w:t>32. Literature and regulatory context</w:t>
      </w:r>
    </w:p>
    <w:p>
      <w:pPr>
        <w:keepLines w:val="0"/>
      </w:pPr>
      <w:r>
        <w:t>NIST's Privacy Framework treats privacy as an organizational risk-management problem and provides high-level outcomes for identifying and managing privacy risk. Ground Truth is narrower: it asks whether exact authority facts admitted by a governing policy remain current and converged at one material disclosure event.</w:t>
      </w:r>
    </w:p>
    <w:p>
      <w:pPr>
        <w:keepLines w:val="0"/>
      </w:pPr>
      <w:r>
        <w:t xml:space="preserve">The U.S. HIPAA Privacy Rule's minimum-necessary provisions illustrate that disclosure scope and purpose can matter legally in covered contexts, while also containing important exceptions. Ground Truth therefore does not encode </w:t>
      </w:r>
      <w:r>
        <w:rPr>
          <w:rFonts w:ascii="Liberation Mono" w:hAnsi="Liberation Mono"/>
          <w:sz w:val="19"/>
        </w:rPr>
        <w:t>minimum necessary</w:t>
      </w:r>
      <w:r>
        <w:t xml:space="preserve"> as a universal technical rule and does not infer legal permission from a PHI label. Legal basis, scope, jurisdiction, institutional policy, and factual classification remain external inputs.</w:t>
      </w:r>
    </w:p>
    <w:p>
      <w:pPr>
        <w:keepLines w:val="0"/>
      </w:pPr>
      <w:r>
        <w:t>Relevant public sources:</w:t>
      </w:r>
    </w:p>
    <w:p>
      <w:pPr>
        <w:pStyle w:val="ListBullet"/>
      </w:pPr>
      <w:r>
        <w:t>NIST Privacy Framework: https://www.nist.gov/privacy-framework</w:t>
      </w:r>
    </w:p>
    <w:p>
      <w:pPr>
        <w:pStyle w:val="ListBullet"/>
      </w:pPr>
      <w:r>
        <w:t>NIST Privacy Framework 1.1 initial public draft: https://csrc.nist.gov/pubs/cswp/40/nist-privacy-framework-11/ipd</w:t>
      </w:r>
    </w:p>
    <w:p>
      <w:pPr>
        <w:pStyle w:val="ListBullet"/>
      </w:pPr>
      <w:r>
        <w:t>HHS HIPAA Minimum Necessary Requirement: https://www.hhs.gov/hipaa/for-professionals/privacy/guidance/minimum-necessary-requirement/</w:t>
      </w:r>
    </w:p>
    <w:p>
      <w:pPr>
        <w:pStyle w:val="ListBullet"/>
      </w:pPr>
      <w:r>
        <w:t>NIST reference monitor definition: https://csrc.nist.gov/glossary/term/reference_monitor</w:t>
      </w:r>
    </w:p>
    <w:p>
      <w:pPr>
        <w:pStyle w:val="ListBullet"/>
      </w:pPr>
      <w:r>
        <w:t>pinned zkAPI source: https://github.com/ethereum/zkapi/tree/045b444ea1b52538d1b40273c7cb6ed09468a052</w:t>
      </w:r>
    </w:p>
    <w:p>
      <w:pPr>
        <w:pStyle w:val="Heading1"/>
      </w:pPr>
      <w:r>
        <w:t>33. Limitations and claim discipline</w:t>
      </w:r>
    </w:p>
    <w:p>
      <w:pPr>
        <w:keepLines w:val="0"/>
      </w:pPr>
      <w:r>
        <w:t>The integrated result remains bounded by the quality and completeness of admitted evidence. Ground Truth cannot infer semantic PHI truth, legal validity, hidden operator independence, or complete recipient topology from a digest alone. Local rollback cannot undo an external disclosure, and an ambiguous send outcome does not establish non-disclosure. A successful network request, valid credential, valid proof, or accepted payment is not proof that the semantic disclosure itself was authorized.</w:t>
      </w:r>
    </w:p>
    <w:p>
      <w:pPr>
        <w:keepLines w:val="0"/>
      </w:pPr>
      <w:r>
        <w:t>The merged PASS means only that no reproducible in-scope counterexample survived the stated integrated model, fixture corpus, hostile review, and evaluated repository state. It is not a claim of universal security, formal verification, clinical safety, legal compliance, or production readiness.</w:t>
      </w:r>
    </w:p>
    <w:p>
      <w:pPr>
        <w:pStyle w:val="Heading1"/>
      </w:pPr>
      <w:r>
        <w:t>34. Conclusion</w:t>
      </w:r>
    </w:p>
    <w:p>
      <w:pPr>
        <w:keepLines w:val="0"/>
      </w:pPr>
      <w:r>
        <w:t>Privacy-preserving inference and semantic disclosure authority solve different problems. An AI system may hide payer identity, minimize metadata, authenticate payment, sanitize a request, and successfully reach a model provider while still lacking current authority for the exact semantic content it is about to disclose.</w:t>
      </w:r>
    </w:p>
    <w:p>
      <w:pPr>
        <w:keepLines w:val="0"/>
      </w:pPr>
      <w:r>
        <w:t>The Ground Truth PHI experiments show why disclosure authority must be cumulative, history-aware, transformation-sensitive, recipient-aware, route-aware, use-aware, and re-established at the material external effect. The integrated implementation demonstrates that this can be expressed inside the existing Ground Truth authority model without adding a new terminal outcome or silently treating privacy machinery as permission.</w:t>
      </w:r>
    </w:p>
    <w:p>
      <w:pPr>
        <w:keepLines w:val="0"/>
      </w:pPr>
      <w:r>
        <w:rPr>
          <w:rFonts w:ascii="Liberation Mono" w:hAnsi="Liberation Mono"/>
          <w:sz w:val="19"/>
        </w:rPr>
        <w:t>NO CURRENT PHI DISCLOSURE AUTHORITY -&gt; NO EXTERNAL INFERENCE EFFECT</w:t>
      </w:r>
    </w:p>
    <w:sectPr w:rsidR="00FC693F" w:rsidRPr="0006063C" w:rsidSect="00034616">
      <w:headerReference w:type="default" r:id="rId9"/>
      <w:footerReference w:type="default" r:id="rId10"/>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David B. Boyd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sz w:val="16"/>
      </w:rPr>
      <w:t>GROUND TRUTH FOR PHI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erif" w:hAnsi="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erif" w:hAnsi="Liberation Seri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Truth for PHI: Deterministic Authorization of Semantic Disclosure in AI Systems</dc:title>
  <dc:subject>Semantic disclosure authority in AI systems</dc:subject>
  <dc:creator>David B. Boyd</dc:creator>
  <cp:keywords>Ground Truth, PHI, semantic disclosure authority, AI, authorization continuity</cp:keywords>
  <dc:description>Research preprint candidate v1.0 - 4 October 2026</dc:description>
  <cp:lastModifiedBy/>
  <cp:revision>1</cp:revision>
  <dcterms:created xsi:type="dcterms:W3CDTF">2013-12-23T23:15:00Z</dcterms:created>
  <dcterms:modified xsi:type="dcterms:W3CDTF">2013-12-23T23:15:00Z</dcterms:modified>
  <cp:category/>
</cp:coreProperties>
</file>