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90F62" w14:textId="77777777" w:rsidR="00F345FB" w:rsidRDefault="006E1364" w:rsidP="00F345FB">
      <w:pPr>
        <w:pStyle w:val="Heading1"/>
        <w:jc w:val="center"/>
        <w:rPr>
          <w:rFonts w:ascii="Cambria" w:hAnsi="Cambria"/>
          <w:b/>
          <w:bCs/>
        </w:rPr>
      </w:pPr>
      <w:proofErr w:type="spellStart"/>
      <w:r w:rsidRPr="006E1364">
        <w:rPr>
          <w:rFonts w:ascii="Cambria" w:hAnsi="Cambria"/>
          <w:b/>
          <w:bCs/>
        </w:rPr>
        <w:t>Aquaseca</w:t>
      </w:r>
      <w:proofErr w:type="spellEnd"/>
      <w:r w:rsidR="00F345FB" w:rsidRPr="006E1364">
        <w:rPr>
          <w:rFonts w:ascii="Cambria" w:hAnsi="Cambria"/>
          <w:b/>
          <w:bCs/>
        </w:rPr>
        <w:t xml:space="preserve">: </w:t>
      </w:r>
      <w:r w:rsidRPr="006E1364">
        <w:rPr>
          <w:rFonts w:ascii="Cambria" w:hAnsi="Cambria"/>
          <w:b/>
          <w:bCs/>
        </w:rPr>
        <w:t>Model Scenarios 1-4</w:t>
      </w:r>
    </w:p>
    <w:p w14:paraId="1AA026DA" w14:textId="77777777" w:rsidR="006E1364" w:rsidRDefault="006E1364" w:rsidP="006E1364">
      <w:pPr>
        <w:jc w:val="center"/>
      </w:pPr>
      <w:r>
        <w:t>Abe Farley</w:t>
      </w:r>
    </w:p>
    <w:p w14:paraId="0CFF439A" w14:textId="77777777" w:rsidR="006E1364" w:rsidRDefault="006E1364" w:rsidP="006E1364">
      <w:pPr>
        <w:jc w:val="center"/>
      </w:pPr>
      <w:r>
        <w:t>Dave Murray</w:t>
      </w:r>
    </w:p>
    <w:p w14:paraId="37D12C95" w14:textId="77777777" w:rsidR="006E1364" w:rsidRPr="006E1364" w:rsidRDefault="006E1364" w:rsidP="006E1364">
      <w:pPr>
        <w:jc w:val="center"/>
      </w:pPr>
      <w:r>
        <w:t>Rachel Spinti</w:t>
      </w:r>
    </w:p>
    <w:p w14:paraId="6EA82E76" w14:textId="77777777" w:rsidR="00F345FB" w:rsidRPr="006E1364" w:rsidRDefault="00F345FB" w:rsidP="00F345FB">
      <w:pPr>
        <w:pStyle w:val="Heading2"/>
        <w:rPr>
          <w:rFonts w:ascii="Cambria" w:hAnsi="Cambria"/>
        </w:rPr>
      </w:pPr>
      <w:r w:rsidRPr="006E1364">
        <w:rPr>
          <w:rFonts w:ascii="Cambria" w:hAnsi="Cambria"/>
        </w:rPr>
        <w:t>Exercise</w:t>
      </w:r>
    </w:p>
    <w:p w14:paraId="450B5902" w14:textId="77777777" w:rsidR="00F345FB" w:rsidRDefault="006E1364" w:rsidP="005603A3">
      <w:r>
        <w:t xml:space="preserve">Build a model representative of the </w:t>
      </w:r>
      <w:proofErr w:type="spellStart"/>
      <w:r>
        <w:t>Aquaseca</w:t>
      </w:r>
      <w:proofErr w:type="spellEnd"/>
      <w:r>
        <w:t xml:space="preserve"> basin to analyze the effects of the proposed </w:t>
      </w:r>
      <w:proofErr w:type="spellStart"/>
      <w:r>
        <w:t>GroMore</w:t>
      </w:r>
      <w:proofErr w:type="spellEnd"/>
      <w:r>
        <w:t xml:space="preserve"> development. The following scenarios were run to compare pre and post development effects on the basin’s hydrology. All scenarios were run without the propose agricultural development.</w:t>
      </w:r>
    </w:p>
    <w:p w14:paraId="5F626A2E" w14:textId="77777777" w:rsidR="006E1364" w:rsidRPr="006E1364" w:rsidRDefault="006E1364" w:rsidP="006E1364">
      <w:pPr>
        <w:numPr>
          <w:ilvl w:val="0"/>
          <w:numId w:val="2"/>
        </w:numPr>
        <w:shd w:val="clear" w:color="auto" w:fill="FFFFFF"/>
        <w:spacing w:before="100" w:beforeAutospacing="1" w:after="100" w:afterAutospacing="1"/>
        <w:rPr>
          <w:rFonts w:eastAsia="Times New Roman" w:cs="Segoe UI"/>
          <w:color w:val="24292E"/>
        </w:rPr>
      </w:pPr>
      <w:r w:rsidRPr="006E1364">
        <w:rPr>
          <w:rFonts w:eastAsia="Times New Roman" w:cs="Segoe UI"/>
          <w:color w:val="24292E"/>
        </w:rPr>
        <w:t xml:space="preserve">Run the model as steady state with no pumping from the town's well. </w:t>
      </w:r>
    </w:p>
    <w:p w14:paraId="5D90595A" w14:textId="77777777" w:rsidR="006E1364" w:rsidRPr="006E1364" w:rsidRDefault="006E1364" w:rsidP="006E1364">
      <w:pPr>
        <w:numPr>
          <w:ilvl w:val="0"/>
          <w:numId w:val="2"/>
        </w:numPr>
        <w:shd w:val="clear" w:color="auto" w:fill="FFFFFF"/>
        <w:spacing w:before="100" w:beforeAutospacing="1" w:after="100" w:afterAutospacing="1"/>
        <w:rPr>
          <w:rFonts w:eastAsia="Times New Roman" w:cs="Segoe UI"/>
          <w:color w:val="24292E"/>
        </w:rPr>
      </w:pPr>
      <w:r w:rsidRPr="006E1364">
        <w:rPr>
          <w:rFonts w:eastAsia="Times New Roman" w:cs="Segoe UI"/>
          <w:color w:val="24292E"/>
        </w:rPr>
        <w:t>Run the model as transient for 25 years with no pumping from the town's well. Recharge occurs at a constant rate all year, but ET takes place from April through September (inclusive) at the rate given in the problem description.</w:t>
      </w:r>
    </w:p>
    <w:p w14:paraId="05C0A817" w14:textId="77777777" w:rsidR="006E1364" w:rsidRPr="006E1364" w:rsidRDefault="006E1364" w:rsidP="006E1364">
      <w:pPr>
        <w:pStyle w:val="ListParagraph"/>
        <w:numPr>
          <w:ilvl w:val="0"/>
          <w:numId w:val="2"/>
        </w:numPr>
        <w:rPr>
          <w:rFonts w:eastAsia="Times New Roman"/>
        </w:rPr>
      </w:pPr>
      <w:r w:rsidRPr="006E1364">
        <w:rPr>
          <w:rFonts w:eastAsia="Times New Roman" w:cs="Segoe UI"/>
          <w:color w:val="24292E"/>
          <w:shd w:val="clear" w:color="auto" w:fill="FFFFFF"/>
        </w:rPr>
        <w:t>Build the pre-development model with seasonality and extend the run time to 100 years PLUS your burn in time. This represents the 100 years that the town has been pumping to date. There was no pumping during the pre-development period. The town's water demand has increased exponentially, with the pumping rate changed every 10 years following the equation: Q = 1.5 * t^1.5, for Q in m3/day and t in years. To avoid confusion, the pumping rate is zero for the burn-in time (I'll assume 25 years, here). Then, on April 1 of year 25, the pumping increases to 47 m3/day. On April 1 of year 35 it increases to 134 m3/day. Then, on a 10-year schedule, it continues to: 246; 379; 530; 697; 878; 1073; and 1281 m3/day. This model defines the system at the current time - remember, the town has been pumping for 100 years already.</w:t>
      </w:r>
    </w:p>
    <w:p w14:paraId="4AFD3E64" w14:textId="77777777" w:rsidR="00F345FB" w:rsidRPr="00065868" w:rsidRDefault="006E1364" w:rsidP="00F345FB">
      <w:pPr>
        <w:pStyle w:val="ListParagraph"/>
        <w:numPr>
          <w:ilvl w:val="0"/>
          <w:numId w:val="2"/>
        </w:numPr>
        <w:shd w:val="clear" w:color="auto" w:fill="FFFFFF"/>
        <w:spacing w:after="240"/>
        <w:rPr>
          <w:rFonts w:eastAsia="Times New Roman" w:cs="Segoe UI"/>
          <w:color w:val="24292E"/>
        </w:rPr>
      </w:pPr>
      <w:r w:rsidRPr="006E1364">
        <w:rPr>
          <w:rFonts w:eastAsia="Times New Roman" w:cs="Segoe UI"/>
          <w:color w:val="24292E"/>
        </w:rPr>
        <w:t>Project your post-development model with seasonality an additional 100 years into the future. (Remember to project the town's water demand, too!) Compare this model with your pre-development model with seasonality.</w:t>
      </w:r>
    </w:p>
    <w:p w14:paraId="704F5978" w14:textId="77777777" w:rsidR="00F345FB" w:rsidRPr="006E1364" w:rsidRDefault="00F345FB" w:rsidP="00F345FB">
      <w:pPr>
        <w:rPr>
          <w:b/>
          <w:bCs/>
          <w:color w:val="000000" w:themeColor="text1"/>
        </w:rPr>
      </w:pPr>
      <w:r w:rsidRPr="006E1364">
        <w:rPr>
          <w:color w:val="61721F" w:themeColor="accent1" w:themeShade="BF"/>
        </w:rPr>
        <w:t xml:space="preserve">  </w:t>
      </w:r>
      <w:r w:rsidRPr="006E1364">
        <w:rPr>
          <w:i/>
          <w:iCs/>
          <w:color w:val="61721F" w:themeColor="accent1" w:themeShade="BF"/>
        </w:rPr>
        <w:t xml:space="preserve"> </w:t>
      </w:r>
      <w:r w:rsidRPr="006E1364">
        <w:rPr>
          <w:b/>
          <w:bCs/>
          <w:color w:val="000000" w:themeColor="text1"/>
        </w:rPr>
        <w:t xml:space="preserve">Questions: </w:t>
      </w:r>
    </w:p>
    <w:p w14:paraId="2F2833F3" w14:textId="77777777" w:rsidR="006E1364" w:rsidRPr="006E1364" w:rsidRDefault="006E1364" w:rsidP="006E1364">
      <w:pPr>
        <w:numPr>
          <w:ilvl w:val="0"/>
          <w:numId w:val="4"/>
        </w:numPr>
        <w:shd w:val="clear" w:color="auto" w:fill="FFFFFF"/>
        <w:spacing w:before="100" w:beforeAutospacing="1" w:after="100" w:afterAutospacing="1"/>
        <w:rPr>
          <w:rFonts w:eastAsia="Times New Roman" w:cs="Segoe UI"/>
          <w:color w:val="24292E"/>
        </w:rPr>
      </w:pPr>
      <w:r w:rsidRPr="006E1364">
        <w:rPr>
          <w:rFonts w:eastAsia="Times New Roman" w:cs="Segoe UI"/>
          <w:color w:val="24292E"/>
        </w:rPr>
        <w:t>Calculate the flux from the stream to the groundwater. Also show a reverse particle track map to identify the source of the water to the stream. Finally, report the water level at the monitoring wells and at the town's well (even though it isn't pumping for this scenario).</w:t>
      </w:r>
    </w:p>
    <w:p w14:paraId="345DC5B9" w14:textId="77777777" w:rsidR="00065868" w:rsidRPr="006E1364" w:rsidRDefault="006E1364" w:rsidP="00065868">
      <w:pPr>
        <w:numPr>
          <w:ilvl w:val="0"/>
          <w:numId w:val="4"/>
        </w:numPr>
        <w:shd w:val="clear" w:color="auto" w:fill="FFFFFF"/>
        <w:spacing w:before="60" w:after="100" w:afterAutospacing="1"/>
        <w:rPr>
          <w:rFonts w:eastAsia="Times New Roman" w:cs="Segoe UI"/>
          <w:color w:val="24292E"/>
        </w:rPr>
      </w:pPr>
      <w:r w:rsidRPr="006E1364">
        <w:rPr>
          <w:rFonts w:eastAsia="Times New Roman" w:cs="Segoe UI"/>
          <w:color w:val="24292E"/>
        </w:rPr>
        <w:t>How long does it take for the model to reach a cyclical steady state (annual variations, but no trends)? Use monthly water levels at the monitoring wells to support your conclusion. This is the required 'burn in' time of your model.</w:t>
      </w:r>
    </w:p>
    <w:p w14:paraId="0C7718E3" w14:textId="77777777" w:rsidR="00F345FB" w:rsidRPr="006E1364" w:rsidRDefault="006E1364" w:rsidP="006E1364">
      <w:pPr>
        <w:pStyle w:val="ListParagraph"/>
        <w:numPr>
          <w:ilvl w:val="0"/>
          <w:numId w:val="4"/>
        </w:numPr>
        <w:rPr>
          <w:color w:val="000000" w:themeColor="text1"/>
        </w:rPr>
      </w:pPr>
      <w:r w:rsidRPr="006E1364">
        <w:rPr>
          <w:color w:val="000000" w:themeColor="text1"/>
        </w:rPr>
        <w:t>What are your observations from this scenario?</w:t>
      </w:r>
    </w:p>
    <w:p w14:paraId="5002654D" w14:textId="77777777" w:rsidR="006E1364" w:rsidRPr="006E1364" w:rsidRDefault="006E1364" w:rsidP="006E1364">
      <w:pPr>
        <w:pStyle w:val="ListParagraph"/>
        <w:numPr>
          <w:ilvl w:val="0"/>
          <w:numId w:val="4"/>
        </w:numPr>
        <w:rPr>
          <w:rFonts w:eastAsia="Times New Roman"/>
        </w:rPr>
      </w:pPr>
      <w:r w:rsidRPr="006E1364">
        <w:rPr>
          <w:rFonts w:eastAsia="Times New Roman" w:cs="Segoe UI"/>
          <w:color w:val="24292E"/>
          <w:shd w:val="clear" w:color="auto" w:fill="FFFFFF"/>
        </w:rPr>
        <w:t>How can you quantify the impacts of the town's water extraction on the hydrologic system? Describe your metrics as precisely as you can and quantify the impact(s).</w:t>
      </w:r>
    </w:p>
    <w:p w14:paraId="06F51497" w14:textId="77777777" w:rsidR="006E1364" w:rsidRDefault="006E1364" w:rsidP="006E1364">
      <w:pPr>
        <w:pStyle w:val="ListParagraph"/>
        <w:rPr>
          <w:color w:val="000000" w:themeColor="text1"/>
        </w:rPr>
      </w:pPr>
    </w:p>
    <w:p w14:paraId="0323A1A0" w14:textId="77777777" w:rsidR="0079794F" w:rsidRDefault="0079794F" w:rsidP="006E1364">
      <w:pPr>
        <w:pStyle w:val="ListParagraph"/>
        <w:rPr>
          <w:color w:val="000000" w:themeColor="text1"/>
        </w:rPr>
      </w:pPr>
    </w:p>
    <w:p w14:paraId="08FC3685" w14:textId="77777777" w:rsidR="0079794F" w:rsidRDefault="0079794F" w:rsidP="006E1364">
      <w:pPr>
        <w:pStyle w:val="ListParagraph"/>
        <w:rPr>
          <w:color w:val="000000" w:themeColor="text1"/>
        </w:rPr>
      </w:pPr>
    </w:p>
    <w:p w14:paraId="4EC4330E" w14:textId="77777777" w:rsidR="0079794F" w:rsidRPr="006E1364" w:rsidRDefault="0079794F" w:rsidP="006E1364">
      <w:pPr>
        <w:pStyle w:val="ListParagraph"/>
        <w:rPr>
          <w:color w:val="000000" w:themeColor="text1"/>
        </w:rPr>
      </w:pPr>
    </w:p>
    <w:p w14:paraId="57E78D65" w14:textId="77777777" w:rsidR="00F345FB" w:rsidRPr="006E1364" w:rsidRDefault="00F345FB" w:rsidP="00F345FB">
      <w:pPr>
        <w:pStyle w:val="Heading2"/>
        <w:rPr>
          <w:rFonts w:ascii="Cambria" w:hAnsi="Cambria"/>
        </w:rPr>
      </w:pPr>
      <w:r w:rsidRPr="006E1364">
        <w:rPr>
          <w:rFonts w:ascii="Cambria" w:hAnsi="Cambria"/>
        </w:rPr>
        <w:t>Solution</w:t>
      </w:r>
    </w:p>
    <w:p w14:paraId="69284D21" w14:textId="77777777" w:rsidR="00F345FB" w:rsidRPr="006E1364" w:rsidRDefault="00F345FB" w:rsidP="00F345FB">
      <w:pPr>
        <w:rPr>
          <w:b/>
          <w:bCs/>
          <w:color w:val="000000" w:themeColor="text1"/>
        </w:rPr>
      </w:pPr>
      <w:r w:rsidRPr="006E1364">
        <w:rPr>
          <w:color w:val="61721F" w:themeColor="accent1" w:themeShade="BF"/>
        </w:rPr>
        <w:t xml:space="preserve">  </w:t>
      </w:r>
      <w:r w:rsidRPr="006E1364">
        <w:rPr>
          <w:i/>
          <w:iCs/>
          <w:color w:val="61721F" w:themeColor="accent1" w:themeShade="BF"/>
        </w:rPr>
        <w:t xml:space="preserve"> </w:t>
      </w:r>
      <w:r w:rsidRPr="006E1364">
        <w:rPr>
          <w:b/>
          <w:bCs/>
          <w:color w:val="000000" w:themeColor="text1"/>
        </w:rPr>
        <w:t>Model setup:</w:t>
      </w:r>
    </w:p>
    <w:p w14:paraId="4A23EB57" w14:textId="77777777" w:rsidR="00F345FB" w:rsidRPr="006E1364" w:rsidRDefault="00F345FB" w:rsidP="00F345FB">
      <w:pPr>
        <w:rPr>
          <w:color w:val="000000" w:themeColor="text1"/>
        </w:rPr>
      </w:pPr>
      <w:r w:rsidRPr="006E1364">
        <w:rPr>
          <w:color w:val="000000" w:themeColor="text1"/>
        </w:rPr>
        <w:t xml:space="preserve">Refer to the </w:t>
      </w:r>
      <w:proofErr w:type="spellStart"/>
      <w:r w:rsidRPr="006E1364">
        <w:rPr>
          <w:color w:val="000000" w:themeColor="text1"/>
        </w:rPr>
        <w:t>ipython</w:t>
      </w:r>
      <w:proofErr w:type="spellEnd"/>
      <w:r w:rsidRPr="006E1364">
        <w:rPr>
          <w:color w:val="000000" w:themeColor="text1"/>
        </w:rPr>
        <w:t xml:space="preserve"> notebook to view all the steps in the model setup. </w:t>
      </w:r>
    </w:p>
    <w:p w14:paraId="5F084836" w14:textId="77777777" w:rsidR="00F345FB" w:rsidRDefault="00F345FB" w:rsidP="00F345FB">
      <w:pPr>
        <w:rPr>
          <w:color w:val="000000" w:themeColor="text1"/>
        </w:rPr>
      </w:pPr>
    </w:p>
    <w:p w14:paraId="5BC73720" w14:textId="77777777" w:rsidR="006206C3" w:rsidRDefault="006206C3" w:rsidP="00E07915">
      <w:pPr>
        <w:ind w:left="720" w:firstLine="720"/>
        <w:rPr>
          <w:color w:val="000000" w:themeColor="text1"/>
        </w:rPr>
      </w:pPr>
      <w:r>
        <w:rPr>
          <w:noProof/>
          <w:color w:val="000000" w:themeColor="text1"/>
        </w:rPr>
        <w:drawing>
          <wp:inline distT="0" distB="0" distL="0" distR="0" wp14:anchorId="2F0D49E7" wp14:editId="2BD8F20B">
            <wp:extent cx="4165490" cy="2478913"/>
            <wp:effectExtent l="0" t="0" r="635" b="10795"/>
            <wp:docPr id="3" name="Picture 3" descr="Macintosh HD:Users:abramfarley:Desktop:Screen Shot 2020-04-19 at 12.4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ramfarley:Desktop:Screen Shot 2020-04-19 at 12.41.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11" cy="2480473"/>
                    </a:xfrm>
                    <a:prstGeom prst="rect">
                      <a:avLst/>
                    </a:prstGeom>
                    <a:noFill/>
                    <a:ln>
                      <a:noFill/>
                    </a:ln>
                  </pic:spPr>
                </pic:pic>
              </a:graphicData>
            </a:graphic>
          </wp:inline>
        </w:drawing>
      </w:r>
    </w:p>
    <w:p w14:paraId="049ABBF7" w14:textId="77777777" w:rsidR="006206C3" w:rsidRPr="00E07915" w:rsidRDefault="00E07915" w:rsidP="00E07915">
      <w:pPr>
        <w:jc w:val="center"/>
        <w:rPr>
          <w:i/>
          <w:color w:val="000000" w:themeColor="text1"/>
        </w:rPr>
      </w:pPr>
      <w:r w:rsidRPr="00E07915">
        <w:rPr>
          <w:i/>
          <w:color w:val="000000" w:themeColor="text1"/>
        </w:rPr>
        <w:t>Figure 1: Target Domain setup</w:t>
      </w:r>
    </w:p>
    <w:p w14:paraId="3F29B771" w14:textId="77777777" w:rsidR="006206C3" w:rsidRPr="006E1364" w:rsidRDefault="0079794F" w:rsidP="00E07915">
      <w:pPr>
        <w:ind w:left="2160"/>
        <w:rPr>
          <w:color w:val="000000" w:themeColor="text1"/>
        </w:rPr>
      </w:pPr>
      <w:r>
        <w:rPr>
          <w:noProof/>
          <w:color w:val="000000" w:themeColor="text1"/>
        </w:rPr>
        <w:drawing>
          <wp:anchor distT="0" distB="0" distL="114300" distR="114300" simplePos="0" relativeHeight="251659264" behindDoc="0" locked="0" layoutInCell="1" allowOverlap="1" wp14:anchorId="3CCA62A4" wp14:editId="3B3714D4">
            <wp:simplePos x="0" y="0"/>
            <wp:positionH relativeFrom="column">
              <wp:posOffset>1485900</wp:posOffset>
            </wp:positionH>
            <wp:positionV relativeFrom="paragraph">
              <wp:posOffset>175260</wp:posOffset>
            </wp:positionV>
            <wp:extent cx="2518410" cy="2518410"/>
            <wp:effectExtent l="0" t="0" r="0" b="0"/>
            <wp:wrapSquare wrapText="bothSides"/>
            <wp:docPr id="10" name="Picture 10" descr="Macintosh HD:Users:abramfarley:Desktop:gw_modeling:Final_Project:Aguaseca_Project:Domain setup:Domain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bramfarley:Desktop:gw_modeling:Final_Project:Aguaseca_Project:Domain setup:Domain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410" cy="251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915">
        <w:rPr>
          <w:color w:val="000000" w:themeColor="text1"/>
        </w:rPr>
        <w:t xml:space="preserve">  </w:t>
      </w:r>
    </w:p>
    <w:p w14:paraId="3E6F332E" w14:textId="77777777" w:rsidR="0079794F" w:rsidRDefault="0079794F" w:rsidP="00F345FB">
      <w:pPr>
        <w:rPr>
          <w:color w:val="000000" w:themeColor="text1"/>
        </w:rPr>
      </w:pPr>
      <w:r>
        <w:rPr>
          <w:color w:val="000000" w:themeColor="text1"/>
        </w:rPr>
        <w:t xml:space="preserve"> </w:t>
      </w:r>
    </w:p>
    <w:p w14:paraId="4B0B5057" w14:textId="77777777" w:rsidR="0079794F" w:rsidRDefault="0079794F" w:rsidP="00F345FB">
      <w:pPr>
        <w:rPr>
          <w:color w:val="000000" w:themeColor="text1"/>
        </w:rPr>
      </w:pPr>
    </w:p>
    <w:p w14:paraId="0C15F146" w14:textId="77777777" w:rsidR="0079794F" w:rsidRDefault="0079794F" w:rsidP="00F345FB">
      <w:pPr>
        <w:rPr>
          <w:color w:val="000000" w:themeColor="text1"/>
        </w:rPr>
      </w:pPr>
    </w:p>
    <w:p w14:paraId="40D5D1D6" w14:textId="77777777" w:rsidR="0079794F" w:rsidRDefault="0079794F" w:rsidP="00F345FB">
      <w:pPr>
        <w:rPr>
          <w:color w:val="000000" w:themeColor="text1"/>
        </w:rPr>
      </w:pPr>
    </w:p>
    <w:p w14:paraId="65DFDC8D" w14:textId="77777777" w:rsidR="0079794F" w:rsidRDefault="0079794F" w:rsidP="00F345FB">
      <w:pPr>
        <w:rPr>
          <w:color w:val="000000" w:themeColor="text1"/>
        </w:rPr>
      </w:pPr>
      <w:r>
        <w:rPr>
          <w:noProof/>
          <w:color w:val="000000" w:themeColor="text1"/>
        </w:rPr>
        <w:drawing>
          <wp:anchor distT="0" distB="0" distL="114300" distR="114300" simplePos="0" relativeHeight="251658240" behindDoc="0" locked="0" layoutInCell="1" allowOverlap="1" wp14:anchorId="4B26EE65" wp14:editId="2F946951">
            <wp:simplePos x="0" y="0"/>
            <wp:positionH relativeFrom="column">
              <wp:posOffset>4000500</wp:posOffset>
            </wp:positionH>
            <wp:positionV relativeFrom="paragraph">
              <wp:posOffset>81915</wp:posOffset>
            </wp:positionV>
            <wp:extent cx="919480" cy="679450"/>
            <wp:effectExtent l="0" t="0" r="0" b="6350"/>
            <wp:wrapSquare wrapText="bothSides"/>
            <wp:docPr id="11" name="Picture 11" descr="Macintosh HD:Users:abramfarley:Desktop:Screen Shot 2020-04-20 at 7.4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bramfarley:Desktop:Screen Shot 2020-04-20 at 7.41.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480" cy="67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1CF6F2" w14:textId="77777777" w:rsidR="0079794F" w:rsidRDefault="0079794F" w:rsidP="00F345FB">
      <w:pPr>
        <w:rPr>
          <w:color w:val="000000" w:themeColor="text1"/>
        </w:rPr>
      </w:pPr>
    </w:p>
    <w:p w14:paraId="6A3A8711" w14:textId="77777777" w:rsidR="0079794F" w:rsidRDefault="0079794F" w:rsidP="00F345FB">
      <w:pPr>
        <w:rPr>
          <w:color w:val="000000" w:themeColor="text1"/>
        </w:rPr>
      </w:pPr>
    </w:p>
    <w:p w14:paraId="625C7941" w14:textId="77777777" w:rsidR="0079794F" w:rsidRDefault="0079794F" w:rsidP="00F345FB">
      <w:pPr>
        <w:rPr>
          <w:color w:val="000000" w:themeColor="text1"/>
        </w:rPr>
      </w:pPr>
    </w:p>
    <w:p w14:paraId="10A4A9E7" w14:textId="77777777" w:rsidR="0079794F" w:rsidRDefault="0079794F" w:rsidP="00F345FB">
      <w:pPr>
        <w:rPr>
          <w:color w:val="000000" w:themeColor="text1"/>
        </w:rPr>
      </w:pPr>
    </w:p>
    <w:p w14:paraId="1816BCFD" w14:textId="77777777" w:rsidR="0079794F" w:rsidRDefault="0079794F" w:rsidP="00F345FB">
      <w:pPr>
        <w:rPr>
          <w:color w:val="000000" w:themeColor="text1"/>
        </w:rPr>
      </w:pPr>
    </w:p>
    <w:p w14:paraId="3B5D06FC" w14:textId="77777777" w:rsidR="0079794F" w:rsidRDefault="0079794F" w:rsidP="00F345FB">
      <w:pPr>
        <w:rPr>
          <w:color w:val="000000" w:themeColor="text1"/>
        </w:rPr>
      </w:pPr>
    </w:p>
    <w:p w14:paraId="7AE1B98D" w14:textId="77777777" w:rsidR="0079794F" w:rsidRDefault="0079794F" w:rsidP="00F345FB">
      <w:pPr>
        <w:rPr>
          <w:color w:val="000000" w:themeColor="text1"/>
        </w:rPr>
      </w:pPr>
    </w:p>
    <w:p w14:paraId="4098456B" w14:textId="77777777" w:rsidR="0079794F" w:rsidRDefault="0079794F" w:rsidP="00F345FB">
      <w:pPr>
        <w:rPr>
          <w:color w:val="000000" w:themeColor="text1"/>
        </w:rPr>
      </w:pPr>
    </w:p>
    <w:p w14:paraId="2CABE2A1" w14:textId="77777777" w:rsidR="0079794F" w:rsidRDefault="0079794F" w:rsidP="00F345FB">
      <w:pPr>
        <w:rPr>
          <w:color w:val="000000" w:themeColor="text1"/>
        </w:rPr>
      </w:pPr>
    </w:p>
    <w:p w14:paraId="5921FC46" w14:textId="77777777" w:rsidR="00F345FB" w:rsidRDefault="0079794F" w:rsidP="00F345FB">
      <w:pPr>
        <w:rPr>
          <w:color w:val="000000" w:themeColor="text1"/>
        </w:rPr>
      </w:pPr>
      <w:r>
        <w:rPr>
          <w:color w:val="000000" w:themeColor="text1"/>
        </w:rPr>
        <w:t xml:space="preserve">  </w:t>
      </w:r>
    </w:p>
    <w:p w14:paraId="07D7F5B4" w14:textId="77777777" w:rsidR="00E07915" w:rsidRPr="00E07915" w:rsidRDefault="00E07915" w:rsidP="00E07915">
      <w:pPr>
        <w:jc w:val="center"/>
        <w:rPr>
          <w:i/>
          <w:color w:val="000000" w:themeColor="text1"/>
        </w:rPr>
      </w:pPr>
      <w:r w:rsidRPr="00E07915">
        <w:rPr>
          <w:i/>
          <w:color w:val="000000" w:themeColor="text1"/>
        </w:rPr>
        <w:t>Figure 2: Model Map View of Domain</w:t>
      </w:r>
    </w:p>
    <w:p w14:paraId="02F9BFEE" w14:textId="77777777" w:rsidR="00E07915" w:rsidRPr="006E1364" w:rsidRDefault="00E07915" w:rsidP="00F345FB">
      <w:pPr>
        <w:rPr>
          <w:color w:val="000000" w:themeColor="text1"/>
        </w:rPr>
      </w:pPr>
    </w:p>
    <w:p w14:paraId="4244B027" w14:textId="77777777" w:rsidR="00F345FB" w:rsidRPr="006E1364" w:rsidRDefault="00F345FB" w:rsidP="00F345FB">
      <w:pPr>
        <w:rPr>
          <w:b/>
          <w:bCs/>
          <w:color w:val="000000" w:themeColor="text1"/>
        </w:rPr>
      </w:pPr>
      <w:r w:rsidRPr="006E1364">
        <w:rPr>
          <w:color w:val="61721F" w:themeColor="accent1" w:themeShade="BF"/>
        </w:rPr>
        <w:t xml:space="preserve">  </w:t>
      </w:r>
      <w:r w:rsidRPr="006E1364">
        <w:rPr>
          <w:i/>
          <w:iCs/>
          <w:color w:val="61721F" w:themeColor="accent1" w:themeShade="BF"/>
        </w:rPr>
        <w:t xml:space="preserve"> </w:t>
      </w:r>
      <w:r w:rsidRPr="006E1364">
        <w:rPr>
          <w:b/>
          <w:bCs/>
          <w:color w:val="000000" w:themeColor="text1"/>
        </w:rPr>
        <w:t>Results:</w:t>
      </w:r>
    </w:p>
    <w:p w14:paraId="6026A5D4" w14:textId="77777777" w:rsidR="00F345FB" w:rsidRDefault="00D60123" w:rsidP="00D60123">
      <w:pPr>
        <w:pStyle w:val="ListParagraph"/>
        <w:numPr>
          <w:ilvl w:val="0"/>
          <w:numId w:val="7"/>
        </w:numPr>
      </w:pPr>
      <w:r>
        <w:t>The flux of water entering the aquifer from the stream is 13,021 m/d.</w:t>
      </w:r>
      <w:r w:rsidR="005C1B49">
        <w:t xml:space="preserve"> As shown in the Table 1, the starting head values at the wells decrease as we move from the left to right in the domain.</w:t>
      </w:r>
    </w:p>
    <w:p w14:paraId="45B4A8CE" w14:textId="77777777" w:rsidR="00A60662" w:rsidRDefault="00A60662" w:rsidP="00A60662">
      <w:pPr>
        <w:pStyle w:val="ListParagraph"/>
        <w:ind w:left="0"/>
        <w:jc w:val="center"/>
      </w:pPr>
      <w:r>
        <w:rPr>
          <w:noProof/>
        </w:rPr>
        <w:lastRenderedPageBreak/>
        <w:drawing>
          <wp:inline distT="0" distB="0" distL="0" distR="0" wp14:anchorId="6B990CFC" wp14:editId="6994011A">
            <wp:extent cx="3840480" cy="381122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ver_flowpaths.png"/>
                    <pic:cNvPicPr/>
                  </pic:nvPicPr>
                  <pic:blipFill rotWithShape="1">
                    <a:blip r:embed="rId8" cstate="print">
                      <a:extLst>
                        <a:ext uri="{28A0092B-C50C-407E-A947-70E740481C1C}">
                          <a14:useLocalDpi xmlns:a14="http://schemas.microsoft.com/office/drawing/2010/main" val="0"/>
                        </a:ext>
                      </a:extLst>
                    </a:blip>
                    <a:srcRect l="4549" t="7090" r="7688" b="5815"/>
                    <a:stretch/>
                  </pic:blipFill>
                  <pic:spPr bwMode="auto">
                    <a:xfrm>
                      <a:off x="0" y="0"/>
                      <a:ext cx="3856333" cy="382695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CCB2A" w14:textId="77777777" w:rsidR="00A60662" w:rsidRDefault="00A60662" w:rsidP="00A60662">
      <w:pPr>
        <w:pStyle w:val="ListParagraph"/>
        <w:ind w:left="0"/>
        <w:jc w:val="center"/>
      </w:pPr>
      <w:r w:rsidRPr="00637C2A">
        <w:rPr>
          <w:i/>
          <w:iCs/>
        </w:rPr>
        <w:t xml:space="preserve">Figure </w:t>
      </w:r>
      <w:r w:rsidR="00E07915">
        <w:rPr>
          <w:i/>
          <w:iCs/>
        </w:rPr>
        <w:t>3</w:t>
      </w:r>
      <w:r>
        <w:t>.</w:t>
      </w:r>
      <w:r w:rsidR="00637C2A">
        <w:t xml:space="preserve"> Particle path lines exiting into the river are shown above.</w:t>
      </w:r>
    </w:p>
    <w:p w14:paraId="6BCAEC69" w14:textId="77777777" w:rsidR="00A60662" w:rsidRDefault="00A60662" w:rsidP="00A60662">
      <w:pPr>
        <w:pStyle w:val="ListParagraph"/>
        <w:ind w:left="0"/>
        <w:jc w:val="center"/>
      </w:pPr>
      <w:r w:rsidRPr="00637C2A">
        <w:rPr>
          <w:i/>
          <w:iCs/>
        </w:rPr>
        <w:t>Table 1</w:t>
      </w:r>
      <w:r>
        <w:t xml:space="preserve">. </w:t>
      </w:r>
      <w:r w:rsidR="00637C2A">
        <w:t xml:space="preserve">The head values at the </w:t>
      </w:r>
      <w:proofErr w:type="spellStart"/>
      <w:r w:rsidR="00637C2A">
        <w:t>Aquaseca</w:t>
      </w:r>
      <w:proofErr w:type="spellEnd"/>
      <w:r w:rsidR="00637C2A">
        <w:t xml:space="preserve"> and monitoring wells are displayed below.</w:t>
      </w:r>
    </w:p>
    <w:tbl>
      <w:tblPr>
        <w:tblStyle w:val="ListTable4-Accent31"/>
        <w:tblW w:w="0" w:type="auto"/>
        <w:jc w:val="center"/>
        <w:tblLook w:val="04A0" w:firstRow="1" w:lastRow="0" w:firstColumn="1" w:lastColumn="0" w:noHBand="0" w:noVBand="1"/>
      </w:tblPr>
      <w:tblGrid>
        <w:gridCol w:w="3330"/>
        <w:gridCol w:w="1835"/>
      </w:tblGrid>
      <w:tr w:rsidR="00D60123" w14:paraId="0E0BDE78" w14:textId="77777777" w:rsidTr="00A60662">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330" w:type="dxa"/>
          </w:tcPr>
          <w:p w14:paraId="62DC7666" w14:textId="77777777" w:rsidR="00D60123" w:rsidRDefault="00D60123" w:rsidP="00D60123">
            <w:pPr>
              <w:pStyle w:val="ListParagraph"/>
              <w:ind w:left="0"/>
              <w:jc w:val="center"/>
            </w:pPr>
            <w:r>
              <w:t>Well ID</w:t>
            </w:r>
          </w:p>
        </w:tc>
        <w:tc>
          <w:tcPr>
            <w:tcW w:w="1835" w:type="dxa"/>
          </w:tcPr>
          <w:p w14:paraId="3EB70371" w14:textId="77777777" w:rsidR="00D60123" w:rsidRDefault="00D60123" w:rsidP="00D60123">
            <w:pPr>
              <w:pStyle w:val="ListParagraph"/>
              <w:ind w:left="0"/>
              <w:jc w:val="center"/>
              <w:cnfStyle w:val="100000000000" w:firstRow="1" w:lastRow="0" w:firstColumn="0" w:lastColumn="0" w:oddVBand="0" w:evenVBand="0" w:oddHBand="0" w:evenHBand="0" w:firstRowFirstColumn="0" w:firstRowLastColumn="0" w:lastRowFirstColumn="0" w:lastRowLastColumn="0"/>
            </w:pPr>
            <w:r>
              <w:t>Head (m)</w:t>
            </w:r>
          </w:p>
        </w:tc>
      </w:tr>
      <w:tr w:rsidR="00D60123" w14:paraId="5D94C759" w14:textId="77777777" w:rsidTr="00A60662">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330" w:type="dxa"/>
          </w:tcPr>
          <w:p w14:paraId="786261F4" w14:textId="77777777" w:rsidR="00D60123" w:rsidRDefault="00D60123" w:rsidP="00D60123">
            <w:pPr>
              <w:pStyle w:val="ListParagraph"/>
              <w:ind w:left="0"/>
              <w:jc w:val="center"/>
            </w:pPr>
            <w:r>
              <w:t>Well 1 (</w:t>
            </w:r>
            <w:proofErr w:type="spellStart"/>
            <w:r>
              <w:t>Aquaseca</w:t>
            </w:r>
            <w:proofErr w:type="spellEnd"/>
            <w:r>
              <w:t xml:space="preserve"> well)</w:t>
            </w:r>
          </w:p>
        </w:tc>
        <w:tc>
          <w:tcPr>
            <w:tcW w:w="1835" w:type="dxa"/>
          </w:tcPr>
          <w:p w14:paraId="7154CEF7" w14:textId="77777777" w:rsidR="00D60123" w:rsidRDefault="00D60123" w:rsidP="00D60123">
            <w:pPr>
              <w:pStyle w:val="ListParagraph"/>
              <w:ind w:left="0"/>
              <w:jc w:val="center"/>
              <w:cnfStyle w:val="000000100000" w:firstRow="0" w:lastRow="0" w:firstColumn="0" w:lastColumn="0" w:oddVBand="0" w:evenVBand="0" w:oddHBand="1" w:evenHBand="0" w:firstRowFirstColumn="0" w:firstRowLastColumn="0" w:lastRowFirstColumn="0" w:lastRowLastColumn="0"/>
            </w:pPr>
            <w:r>
              <w:t>75.34</w:t>
            </w:r>
          </w:p>
        </w:tc>
      </w:tr>
      <w:tr w:rsidR="00D60123" w14:paraId="04ADECE0" w14:textId="77777777" w:rsidTr="00A60662">
        <w:trPr>
          <w:trHeight w:val="280"/>
          <w:jc w:val="center"/>
        </w:trPr>
        <w:tc>
          <w:tcPr>
            <w:cnfStyle w:val="001000000000" w:firstRow="0" w:lastRow="0" w:firstColumn="1" w:lastColumn="0" w:oddVBand="0" w:evenVBand="0" w:oddHBand="0" w:evenHBand="0" w:firstRowFirstColumn="0" w:firstRowLastColumn="0" w:lastRowFirstColumn="0" w:lastRowLastColumn="0"/>
            <w:tcW w:w="3330" w:type="dxa"/>
          </w:tcPr>
          <w:p w14:paraId="2FB097A5" w14:textId="77777777" w:rsidR="00D60123" w:rsidRDefault="00D60123" w:rsidP="00D60123">
            <w:pPr>
              <w:pStyle w:val="ListParagraph"/>
              <w:ind w:left="0"/>
              <w:jc w:val="center"/>
            </w:pPr>
            <w:r>
              <w:t>Well 2 (Monitoring well 1)</w:t>
            </w:r>
          </w:p>
        </w:tc>
        <w:tc>
          <w:tcPr>
            <w:tcW w:w="1835" w:type="dxa"/>
          </w:tcPr>
          <w:p w14:paraId="24B66784" w14:textId="77777777" w:rsidR="00D60123" w:rsidRDefault="00D60123" w:rsidP="00D60123">
            <w:pPr>
              <w:pStyle w:val="ListParagraph"/>
              <w:ind w:left="0"/>
              <w:jc w:val="center"/>
              <w:cnfStyle w:val="000000000000" w:firstRow="0" w:lastRow="0" w:firstColumn="0" w:lastColumn="0" w:oddVBand="0" w:evenVBand="0" w:oddHBand="0" w:evenHBand="0" w:firstRowFirstColumn="0" w:firstRowLastColumn="0" w:lastRowFirstColumn="0" w:lastRowLastColumn="0"/>
            </w:pPr>
            <w:r>
              <w:t>78.68</w:t>
            </w:r>
          </w:p>
        </w:tc>
      </w:tr>
      <w:tr w:rsidR="00D60123" w14:paraId="79E59D2F" w14:textId="77777777" w:rsidTr="00A6066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330" w:type="dxa"/>
          </w:tcPr>
          <w:p w14:paraId="1F651083" w14:textId="77777777" w:rsidR="00D60123" w:rsidRDefault="00D60123" w:rsidP="00D60123">
            <w:pPr>
              <w:pStyle w:val="ListParagraph"/>
              <w:ind w:left="0"/>
              <w:jc w:val="center"/>
            </w:pPr>
            <w:r>
              <w:t>Well 3 (Monitoring well 2)</w:t>
            </w:r>
          </w:p>
        </w:tc>
        <w:tc>
          <w:tcPr>
            <w:tcW w:w="1835" w:type="dxa"/>
          </w:tcPr>
          <w:p w14:paraId="033741D8" w14:textId="77777777" w:rsidR="00D60123" w:rsidRDefault="00D60123" w:rsidP="00D60123">
            <w:pPr>
              <w:pStyle w:val="ListParagraph"/>
              <w:ind w:left="0"/>
              <w:jc w:val="center"/>
              <w:cnfStyle w:val="000000100000" w:firstRow="0" w:lastRow="0" w:firstColumn="0" w:lastColumn="0" w:oddVBand="0" w:evenVBand="0" w:oddHBand="1" w:evenHBand="0" w:firstRowFirstColumn="0" w:firstRowLastColumn="0" w:lastRowFirstColumn="0" w:lastRowLastColumn="0"/>
            </w:pPr>
            <w:r>
              <w:t>90.33</w:t>
            </w:r>
          </w:p>
        </w:tc>
      </w:tr>
    </w:tbl>
    <w:p w14:paraId="78CC0A3C" w14:textId="77777777" w:rsidR="00E62832" w:rsidRDefault="00E62832" w:rsidP="00E62832">
      <w:pPr>
        <w:pStyle w:val="ListParagraph"/>
      </w:pPr>
    </w:p>
    <w:p w14:paraId="46B1A1CC" w14:textId="77777777" w:rsidR="00D60123" w:rsidRDefault="0027100E" w:rsidP="005C1B49">
      <w:pPr>
        <w:pStyle w:val="ListParagraph"/>
        <w:numPr>
          <w:ilvl w:val="0"/>
          <w:numId w:val="7"/>
        </w:numPr>
      </w:pPr>
      <w:r>
        <w:t xml:space="preserve">The head in the </w:t>
      </w:r>
      <w:r w:rsidR="0079794F">
        <w:t>4 wells (</w:t>
      </w:r>
      <w:proofErr w:type="spellStart"/>
      <w:r w:rsidR="0079794F">
        <w:t>Aquaseca</w:t>
      </w:r>
      <w:proofErr w:type="spellEnd"/>
      <w:r w:rsidR="0079794F">
        <w:t>, Monitoring Well 1&amp;2, and Proposed Irrigation Well) over 50</w:t>
      </w:r>
      <w:r>
        <w:t xml:space="preserve"> years with seasonal fluctuations pre-development. </w:t>
      </w:r>
    </w:p>
    <w:p w14:paraId="2798EEA5" w14:textId="77777777" w:rsidR="0027100E" w:rsidRDefault="005F716B" w:rsidP="0027100E">
      <w:pPr>
        <w:pStyle w:val="ListParagraph"/>
      </w:pPr>
      <w:r>
        <w:rPr>
          <w:noProof/>
        </w:rPr>
        <w:drawing>
          <wp:anchor distT="0" distB="0" distL="114300" distR="114300" simplePos="0" relativeHeight="251661312" behindDoc="0" locked="0" layoutInCell="1" allowOverlap="1" wp14:anchorId="6DFB2F77" wp14:editId="5858CD15">
            <wp:simplePos x="0" y="0"/>
            <wp:positionH relativeFrom="column">
              <wp:posOffset>3200400</wp:posOffset>
            </wp:positionH>
            <wp:positionV relativeFrom="paragraph">
              <wp:posOffset>142240</wp:posOffset>
            </wp:positionV>
            <wp:extent cx="2994660" cy="1996440"/>
            <wp:effectExtent l="0" t="0" r="2540" b="10160"/>
            <wp:wrapSquare wrapText="bothSides"/>
            <wp:docPr id="13" name="Picture 13" descr="Macintosh HD:Users:abramfarley:Desktop:gw_modeling:Final_Project:Aguaseca_Project:Domain setup:MW1_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bramfarley:Desktop:gw_modeling:Final_Project:Aguaseca_Project:Domain setup:MW1_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60"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C08B59" wp14:editId="32AEC4AD">
            <wp:simplePos x="0" y="0"/>
            <wp:positionH relativeFrom="column">
              <wp:posOffset>-342900</wp:posOffset>
            </wp:positionH>
            <wp:positionV relativeFrom="paragraph">
              <wp:posOffset>27940</wp:posOffset>
            </wp:positionV>
            <wp:extent cx="3257550" cy="2171700"/>
            <wp:effectExtent l="0" t="0" r="0" b="12700"/>
            <wp:wrapSquare wrapText="bothSides"/>
            <wp:docPr id="12" name="Picture 12" descr="Macintosh HD:Users:abramfarley:Desktop:gw_modeling:Final_Project:Aguaseca_Project:Domain setup:Head_Aquas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bramfarley:Desktop:gw_modeling:Final_Project:Aguaseca_Project:Domain setup:Head_Aquase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7FA1F" w14:textId="77777777" w:rsidR="0079794F" w:rsidRDefault="0079794F" w:rsidP="0027100E">
      <w:pPr>
        <w:pStyle w:val="ListParagraph"/>
      </w:pPr>
    </w:p>
    <w:p w14:paraId="1A134A5C" w14:textId="77777777" w:rsidR="005F716B" w:rsidRDefault="005F716B" w:rsidP="0027100E">
      <w:pPr>
        <w:pStyle w:val="ListParagraph"/>
      </w:pPr>
    </w:p>
    <w:p w14:paraId="71186FC1" w14:textId="77777777" w:rsidR="005F716B" w:rsidRDefault="005F716B" w:rsidP="0027100E">
      <w:pPr>
        <w:pStyle w:val="ListParagraph"/>
      </w:pPr>
      <w:r>
        <w:rPr>
          <w:noProof/>
        </w:rPr>
        <w:lastRenderedPageBreak/>
        <w:drawing>
          <wp:anchor distT="0" distB="0" distL="114300" distR="114300" simplePos="0" relativeHeight="251663360" behindDoc="0" locked="0" layoutInCell="1" allowOverlap="1" wp14:anchorId="75BBF789" wp14:editId="4714490A">
            <wp:simplePos x="0" y="0"/>
            <wp:positionH relativeFrom="column">
              <wp:posOffset>2743200</wp:posOffset>
            </wp:positionH>
            <wp:positionV relativeFrom="paragraph">
              <wp:posOffset>-685800</wp:posOffset>
            </wp:positionV>
            <wp:extent cx="3518535" cy="2345690"/>
            <wp:effectExtent l="0" t="0" r="12065" b="0"/>
            <wp:wrapSquare wrapText="bothSides"/>
            <wp:docPr id="15" name="Picture 15" descr="Macintosh HD:Users:abramfarley:Desktop:gw_modeling:Final_Project:Aguaseca_Project:Domain setup:Head_irrigation_w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bramfarley:Desktop:gw_modeling:Final_Project:Aguaseca_Project:Domain setup:Head_irrigation_we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535"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042F1A7" wp14:editId="533D7885">
            <wp:simplePos x="0" y="0"/>
            <wp:positionH relativeFrom="column">
              <wp:posOffset>-457200</wp:posOffset>
            </wp:positionH>
            <wp:positionV relativeFrom="paragraph">
              <wp:posOffset>-685800</wp:posOffset>
            </wp:positionV>
            <wp:extent cx="3345180" cy="2230120"/>
            <wp:effectExtent l="0" t="0" r="7620" b="5080"/>
            <wp:wrapSquare wrapText="bothSides"/>
            <wp:docPr id="14" name="Picture 14" descr="Macintosh HD:Users:abramfarley:Desktop:gw_modeling:Final_Project:Aguaseca_Project:Domain setup:MW2_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bramfarley:Desktop:gw_modeling:Final_Project:Aguaseca_Project:Domain setup:MW2_he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223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43221" w14:textId="77777777" w:rsidR="005F716B" w:rsidRDefault="00AE4BA8" w:rsidP="00AE4BA8">
      <w:pPr>
        <w:rPr>
          <w:i/>
        </w:rPr>
      </w:pPr>
      <w:r w:rsidRPr="00AE4BA8">
        <w:rPr>
          <w:i/>
        </w:rPr>
        <w:t>Figure</w:t>
      </w:r>
      <w:r>
        <w:rPr>
          <w:i/>
        </w:rPr>
        <w:t xml:space="preserve"> 4 (a-d): Head plots for the 4 wells (</w:t>
      </w:r>
      <w:proofErr w:type="spellStart"/>
      <w:r>
        <w:rPr>
          <w:i/>
        </w:rPr>
        <w:t>Aquaseca</w:t>
      </w:r>
      <w:proofErr w:type="spellEnd"/>
      <w:r>
        <w:rPr>
          <w:i/>
        </w:rPr>
        <w:t xml:space="preserve">, Monitoring Well 1&amp;2, and Proposed Irrigation Well) for 50 years with seasonality (180 days of ET and 180 days of no ET each year). </w:t>
      </w:r>
    </w:p>
    <w:p w14:paraId="5783EEEF" w14:textId="77777777" w:rsidR="00AE4BA8" w:rsidRDefault="00AE4BA8" w:rsidP="00AE4BA8">
      <w:pPr>
        <w:rPr>
          <w:i/>
        </w:rPr>
      </w:pPr>
    </w:p>
    <w:p w14:paraId="7B722395" w14:textId="77777777" w:rsidR="00AE4BA8" w:rsidRPr="00AE4BA8" w:rsidRDefault="00AE4BA8" w:rsidP="00AE4BA8">
      <w:r w:rsidRPr="00AE4BA8">
        <w:t xml:space="preserve">Over 50 years there is still a slight upward trend in all the wells; however, the year to year increase is minimal. </w:t>
      </w:r>
      <w:r>
        <w:t xml:space="preserve">The MW1 and </w:t>
      </w:r>
      <w:proofErr w:type="spellStart"/>
      <w:r>
        <w:t>Aquaseca</w:t>
      </w:r>
      <w:proofErr w:type="spellEnd"/>
      <w:r>
        <w:t xml:space="preserve"> supply well both flatten out by year 35 and that is considered our “burn time” for the system to reach a near steady state with seasonal variations. </w:t>
      </w:r>
    </w:p>
    <w:p w14:paraId="64CC0662" w14:textId="77777777" w:rsidR="005F716B" w:rsidRPr="00AE4BA8" w:rsidRDefault="005F716B" w:rsidP="0027100E">
      <w:pPr>
        <w:pStyle w:val="ListParagraph"/>
      </w:pPr>
    </w:p>
    <w:p w14:paraId="021DD62A" w14:textId="77777777" w:rsidR="0027100E" w:rsidRDefault="0027100E" w:rsidP="0027100E">
      <w:pPr>
        <w:pStyle w:val="ListParagraph"/>
      </w:pPr>
    </w:p>
    <w:p w14:paraId="4DADC6B3" w14:textId="24966862" w:rsidR="0027100E" w:rsidRDefault="00F8293F" w:rsidP="00F8293F">
      <w:r>
        <w:t>Scenarios 3&amp;4. Increased Pumping every decade projected out 200 years. The head at the pumping well has dropped roughly 1.5 feet over the first 100 years and an additional 2 feet projected in the next 100 years.</w:t>
      </w:r>
    </w:p>
    <w:p w14:paraId="1EAC98C6" w14:textId="17802648" w:rsidR="005F716B" w:rsidRDefault="00F8293F" w:rsidP="00F8293F">
      <w:pPr>
        <w:pStyle w:val="ListParagraph"/>
        <w:jc w:val="center"/>
      </w:pPr>
      <w:r>
        <w:rPr>
          <w:noProof/>
        </w:rPr>
        <w:drawing>
          <wp:inline distT="0" distB="0" distL="0" distR="0" wp14:anchorId="0B813891" wp14:editId="0481E822">
            <wp:extent cx="330401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8526" cy="2346353"/>
                    </a:xfrm>
                    <a:prstGeom prst="rect">
                      <a:avLst/>
                    </a:prstGeom>
                    <a:noFill/>
                    <a:ln>
                      <a:noFill/>
                    </a:ln>
                  </pic:spPr>
                </pic:pic>
              </a:graphicData>
            </a:graphic>
          </wp:inline>
        </w:drawing>
      </w:r>
    </w:p>
    <w:p w14:paraId="5E6DA2F1" w14:textId="77777777" w:rsidR="005F716B" w:rsidRDefault="005F716B" w:rsidP="0027100E">
      <w:pPr>
        <w:pStyle w:val="ListParagraph"/>
      </w:pPr>
    </w:p>
    <w:p w14:paraId="2F10EE8A" w14:textId="77777777" w:rsidR="00F77FAF" w:rsidRDefault="00F77FAF" w:rsidP="0027100E">
      <w:pPr>
        <w:pStyle w:val="ListParagraph"/>
      </w:pPr>
    </w:p>
    <w:p w14:paraId="379BE8B1" w14:textId="77777777" w:rsidR="00F77FAF" w:rsidRDefault="00F77FAF" w:rsidP="0027100E">
      <w:pPr>
        <w:pStyle w:val="ListParagraph"/>
      </w:pPr>
    </w:p>
    <w:p w14:paraId="733AAFDB" w14:textId="77777777" w:rsidR="00F77FAF" w:rsidRDefault="00F77FAF" w:rsidP="0027100E">
      <w:pPr>
        <w:pStyle w:val="ListParagraph"/>
      </w:pPr>
    </w:p>
    <w:p w14:paraId="2D79516E" w14:textId="77777777" w:rsidR="00F77FAF" w:rsidRDefault="00F77FAF" w:rsidP="0027100E">
      <w:pPr>
        <w:pStyle w:val="ListParagraph"/>
      </w:pPr>
    </w:p>
    <w:p w14:paraId="2235BFF4" w14:textId="77777777" w:rsidR="00F77FAF" w:rsidRDefault="00F77FAF" w:rsidP="0027100E">
      <w:pPr>
        <w:pStyle w:val="ListParagraph"/>
      </w:pPr>
    </w:p>
    <w:p w14:paraId="0311C910" w14:textId="77777777" w:rsidR="00F77FAF" w:rsidRDefault="00F77FAF" w:rsidP="0027100E">
      <w:pPr>
        <w:pStyle w:val="ListParagraph"/>
      </w:pPr>
    </w:p>
    <w:p w14:paraId="5C5B20FC" w14:textId="77777777" w:rsidR="00F77FAF" w:rsidRPr="00F345FB" w:rsidRDefault="00F77FAF" w:rsidP="0027100E">
      <w:pPr>
        <w:pStyle w:val="ListParagraph"/>
      </w:pPr>
    </w:p>
    <w:sectPr w:rsidR="00F77FAF" w:rsidRPr="00F345FB" w:rsidSect="00B7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altName w:val="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1EB6"/>
    <w:multiLevelType w:val="hybridMultilevel"/>
    <w:tmpl w:val="B52C0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702F6"/>
    <w:multiLevelType w:val="multilevel"/>
    <w:tmpl w:val="8A5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47545"/>
    <w:multiLevelType w:val="hybridMultilevel"/>
    <w:tmpl w:val="94D0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3590B"/>
    <w:multiLevelType w:val="multilevel"/>
    <w:tmpl w:val="A0D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27384"/>
    <w:multiLevelType w:val="multilevel"/>
    <w:tmpl w:val="BE2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807F9"/>
    <w:multiLevelType w:val="hybridMultilevel"/>
    <w:tmpl w:val="2E2CD1E4"/>
    <w:lvl w:ilvl="0" w:tplc="5180F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3C1473"/>
    <w:multiLevelType w:val="hybridMultilevel"/>
    <w:tmpl w:val="B330D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3F"/>
    <w:rsid w:val="00065868"/>
    <w:rsid w:val="0027100E"/>
    <w:rsid w:val="0034378B"/>
    <w:rsid w:val="005603A3"/>
    <w:rsid w:val="005C1B49"/>
    <w:rsid w:val="005F716B"/>
    <w:rsid w:val="006206C3"/>
    <w:rsid w:val="00637C2A"/>
    <w:rsid w:val="006E1364"/>
    <w:rsid w:val="0079794F"/>
    <w:rsid w:val="00A60662"/>
    <w:rsid w:val="00AE4BA8"/>
    <w:rsid w:val="00B736C6"/>
    <w:rsid w:val="00CC0869"/>
    <w:rsid w:val="00CC29D8"/>
    <w:rsid w:val="00D60123"/>
    <w:rsid w:val="00E07915"/>
    <w:rsid w:val="00E54DFC"/>
    <w:rsid w:val="00E62832"/>
    <w:rsid w:val="00F345FB"/>
    <w:rsid w:val="00F57A16"/>
    <w:rsid w:val="00F77FAF"/>
    <w:rsid w:val="00F82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B0F9E"/>
  <w15:docId w15:val="{231F1A26-83DF-45BD-A7A2-7E27E870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5FB"/>
    <w:pPr>
      <w:keepNext/>
      <w:keepLines/>
      <w:spacing w:before="24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F345FB"/>
    <w:pPr>
      <w:keepNext/>
      <w:keepLines/>
      <w:spacing w:before="40"/>
      <w:outlineLvl w:val="1"/>
    </w:pPr>
    <w:rPr>
      <w:rFonts w:asciiTheme="majorHAnsi" w:eastAsiaTheme="majorEastAsia" w:hAnsiTheme="majorHAnsi" w:cstheme="majorBidi"/>
      <w:color w:val="61721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5FB"/>
    <w:rPr>
      <w:rFonts w:asciiTheme="majorHAnsi" w:eastAsiaTheme="majorEastAsia" w:hAnsiTheme="majorHAnsi" w:cstheme="majorBidi"/>
      <w:color w:val="61721F" w:themeColor="accent1" w:themeShade="BF"/>
      <w:sz w:val="32"/>
      <w:szCs w:val="32"/>
    </w:rPr>
  </w:style>
  <w:style w:type="character" w:customStyle="1" w:styleId="Heading2Char">
    <w:name w:val="Heading 2 Char"/>
    <w:basedOn w:val="DefaultParagraphFont"/>
    <w:link w:val="Heading2"/>
    <w:uiPriority w:val="9"/>
    <w:rsid w:val="00F345FB"/>
    <w:rPr>
      <w:rFonts w:asciiTheme="majorHAnsi" w:eastAsiaTheme="majorEastAsia" w:hAnsiTheme="majorHAnsi" w:cstheme="majorBidi"/>
      <w:color w:val="61721F" w:themeColor="accent1" w:themeShade="BF"/>
      <w:sz w:val="26"/>
      <w:szCs w:val="26"/>
    </w:rPr>
  </w:style>
  <w:style w:type="paragraph" w:styleId="ListParagraph">
    <w:name w:val="List Paragraph"/>
    <w:basedOn w:val="Normal"/>
    <w:uiPriority w:val="34"/>
    <w:qFormat/>
    <w:rsid w:val="00F345FB"/>
    <w:pPr>
      <w:ind w:left="720"/>
      <w:contextualSpacing/>
    </w:pPr>
    <w:rPr>
      <w:rFonts w:cs="Calibri"/>
    </w:rPr>
  </w:style>
  <w:style w:type="paragraph" w:styleId="NormalWeb">
    <w:name w:val="Normal (Web)"/>
    <w:basedOn w:val="Normal"/>
    <w:uiPriority w:val="99"/>
    <w:semiHidden/>
    <w:unhideWhenUsed/>
    <w:rsid w:val="006E1364"/>
    <w:pPr>
      <w:spacing w:before="100" w:beforeAutospacing="1" w:after="100" w:afterAutospacing="1"/>
    </w:pPr>
    <w:rPr>
      <w:rFonts w:ascii="Times New Roman" w:eastAsia="Times New Roman" w:hAnsi="Times New Roman"/>
    </w:rPr>
  </w:style>
  <w:style w:type="table" w:styleId="TableGrid">
    <w:name w:val="Table Grid"/>
    <w:basedOn w:val="TableNormal"/>
    <w:uiPriority w:val="39"/>
    <w:rsid w:val="00D60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123"/>
    <w:rPr>
      <w:rFonts w:ascii="Courier New" w:eastAsia="Times New Roman" w:hAnsi="Courier New" w:cs="Courier New"/>
      <w:sz w:val="20"/>
      <w:szCs w:val="20"/>
    </w:rPr>
  </w:style>
  <w:style w:type="table" w:customStyle="1" w:styleId="PlainTable41">
    <w:name w:val="Plain Table 41"/>
    <w:basedOn w:val="TableNormal"/>
    <w:uiPriority w:val="44"/>
    <w:rsid w:val="00A606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21">
    <w:name w:val="List Table 4 - Accent 21"/>
    <w:basedOn w:val="TableNormal"/>
    <w:uiPriority w:val="49"/>
    <w:rsid w:val="00A60662"/>
    <w:tblPr>
      <w:tblStyleRowBandSize w:val="1"/>
      <w:tblStyleColBandSize w:val="1"/>
      <w:tblBorders>
        <w:top w:val="single" w:sz="4" w:space="0" w:color="7ECCAA" w:themeColor="accent2" w:themeTint="99"/>
        <w:left w:val="single" w:sz="4" w:space="0" w:color="7ECCAA" w:themeColor="accent2" w:themeTint="99"/>
        <w:bottom w:val="single" w:sz="4" w:space="0" w:color="7ECCAA" w:themeColor="accent2" w:themeTint="99"/>
        <w:right w:val="single" w:sz="4" w:space="0" w:color="7ECCAA" w:themeColor="accent2" w:themeTint="99"/>
        <w:insideH w:val="single" w:sz="4" w:space="0" w:color="7ECCAA" w:themeColor="accent2" w:themeTint="99"/>
      </w:tblBorders>
    </w:tblPr>
    <w:tblStylePr w:type="firstRow">
      <w:rPr>
        <w:b/>
        <w:bCs/>
        <w:color w:val="FFFFFF" w:themeColor="background1"/>
      </w:rPr>
      <w:tblPr/>
      <w:tcPr>
        <w:tcBorders>
          <w:top w:val="single" w:sz="4" w:space="0" w:color="3C9770" w:themeColor="accent2"/>
          <w:left w:val="single" w:sz="4" w:space="0" w:color="3C9770" w:themeColor="accent2"/>
          <w:bottom w:val="single" w:sz="4" w:space="0" w:color="3C9770" w:themeColor="accent2"/>
          <w:right w:val="single" w:sz="4" w:space="0" w:color="3C9770" w:themeColor="accent2"/>
          <w:insideH w:val="nil"/>
        </w:tcBorders>
        <w:shd w:val="clear" w:color="auto" w:fill="3C9770" w:themeFill="accent2"/>
      </w:tcPr>
    </w:tblStylePr>
    <w:tblStylePr w:type="lastRow">
      <w:rPr>
        <w:b/>
        <w:bCs/>
      </w:rPr>
      <w:tblPr/>
      <w:tcPr>
        <w:tcBorders>
          <w:top w:val="double" w:sz="4" w:space="0" w:color="7ECCAA" w:themeColor="accent2" w:themeTint="99"/>
        </w:tcBorders>
      </w:tcPr>
    </w:tblStylePr>
    <w:tblStylePr w:type="firstCol">
      <w:rPr>
        <w:b/>
        <w:bCs/>
      </w:rPr>
    </w:tblStylePr>
    <w:tblStylePr w:type="lastCol">
      <w:rPr>
        <w:b/>
        <w:bCs/>
      </w:rPr>
    </w:tblStylePr>
    <w:tblStylePr w:type="band1Vert">
      <w:tblPr/>
      <w:tcPr>
        <w:shd w:val="clear" w:color="auto" w:fill="D4EEE2" w:themeFill="accent2" w:themeFillTint="33"/>
      </w:tcPr>
    </w:tblStylePr>
    <w:tblStylePr w:type="band1Horz">
      <w:tblPr/>
      <w:tcPr>
        <w:shd w:val="clear" w:color="auto" w:fill="D4EEE2" w:themeFill="accent2" w:themeFillTint="33"/>
      </w:tcPr>
    </w:tblStylePr>
  </w:style>
  <w:style w:type="table" w:customStyle="1" w:styleId="ListTable4-Accent11">
    <w:name w:val="List Table 4 - Accent 11"/>
    <w:basedOn w:val="TableNormal"/>
    <w:uiPriority w:val="49"/>
    <w:rsid w:val="00A60662"/>
    <w:tblPr>
      <w:tblStyleRowBandSize w:val="1"/>
      <w:tblStyleColBandSize w:val="1"/>
      <w:tblBorders>
        <w:top w:val="single" w:sz="4" w:space="0" w:color="C0D66A" w:themeColor="accent1" w:themeTint="99"/>
        <w:left w:val="single" w:sz="4" w:space="0" w:color="C0D66A" w:themeColor="accent1" w:themeTint="99"/>
        <w:bottom w:val="single" w:sz="4" w:space="0" w:color="C0D66A" w:themeColor="accent1" w:themeTint="99"/>
        <w:right w:val="single" w:sz="4" w:space="0" w:color="C0D66A" w:themeColor="accent1" w:themeTint="99"/>
        <w:insideH w:val="single" w:sz="4" w:space="0" w:color="C0D66A" w:themeColor="accent1" w:themeTint="99"/>
      </w:tblBorders>
    </w:tblPr>
    <w:tblStylePr w:type="firstRow">
      <w:rPr>
        <w:b/>
        <w:bCs/>
        <w:color w:val="FFFFFF" w:themeColor="background1"/>
      </w:rPr>
      <w:tblPr/>
      <w:tcPr>
        <w:tcBorders>
          <w:top w:val="single" w:sz="4" w:space="0" w:color="83992A" w:themeColor="accent1"/>
          <w:left w:val="single" w:sz="4" w:space="0" w:color="83992A" w:themeColor="accent1"/>
          <w:bottom w:val="single" w:sz="4" w:space="0" w:color="83992A" w:themeColor="accent1"/>
          <w:right w:val="single" w:sz="4" w:space="0" w:color="83992A" w:themeColor="accent1"/>
          <w:insideH w:val="nil"/>
        </w:tcBorders>
        <w:shd w:val="clear" w:color="auto" w:fill="83992A" w:themeFill="accent1"/>
      </w:tcPr>
    </w:tblStylePr>
    <w:tblStylePr w:type="lastRow">
      <w:rPr>
        <w:b/>
        <w:bCs/>
      </w:rPr>
      <w:tblPr/>
      <w:tcPr>
        <w:tcBorders>
          <w:top w:val="double" w:sz="4" w:space="0" w:color="C0D66A" w:themeColor="accent1" w:themeTint="99"/>
        </w:tcBorders>
      </w:tcPr>
    </w:tblStylePr>
    <w:tblStylePr w:type="firstCol">
      <w:rPr>
        <w:b/>
        <w:bCs/>
      </w:rPr>
    </w:tblStylePr>
    <w:tblStylePr w:type="lastCol">
      <w:rPr>
        <w:b/>
        <w:bCs/>
      </w:rPr>
    </w:tblStylePr>
    <w:tblStylePr w:type="band1Vert">
      <w:tblPr/>
      <w:tcPr>
        <w:shd w:val="clear" w:color="auto" w:fill="EAF1CD" w:themeFill="accent1" w:themeFillTint="33"/>
      </w:tcPr>
    </w:tblStylePr>
    <w:tblStylePr w:type="band1Horz">
      <w:tblPr/>
      <w:tcPr>
        <w:shd w:val="clear" w:color="auto" w:fill="EAF1CD" w:themeFill="accent1" w:themeFillTint="33"/>
      </w:tcPr>
    </w:tblStylePr>
  </w:style>
  <w:style w:type="table" w:customStyle="1" w:styleId="ListTable4-Accent31">
    <w:name w:val="List Table 4 - Accent 31"/>
    <w:basedOn w:val="TableNormal"/>
    <w:uiPriority w:val="49"/>
    <w:rsid w:val="00A60662"/>
    <w:tblPr>
      <w:tblStyleRowBandSize w:val="1"/>
      <w:tblStyleColBandSize w:val="1"/>
      <w:tblBorders>
        <w:top w:val="single" w:sz="4" w:space="0" w:color="87A9CB" w:themeColor="accent3" w:themeTint="99"/>
        <w:left w:val="single" w:sz="4" w:space="0" w:color="87A9CB" w:themeColor="accent3" w:themeTint="99"/>
        <w:bottom w:val="single" w:sz="4" w:space="0" w:color="87A9CB" w:themeColor="accent3" w:themeTint="99"/>
        <w:right w:val="single" w:sz="4" w:space="0" w:color="87A9CB" w:themeColor="accent3" w:themeTint="99"/>
        <w:insideH w:val="single" w:sz="4" w:space="0" w:color="87A9CB" w:themeColor="accent3" w:themeTint="99"/>
      </w:tblBorders>
    </w:tblPr>
    <w:tblStylePr w:type="firstRow">
      <w:rPr>
        <w:b/>
        <w:bCs/>
        <w:color w:val="FFFFFF" w:themeColor="background1"/>
      </w:rPr>
      <w:tblPr/>
      <w:tcPr>
        <w:tcBorders>
          <w:top w:val="single" w:sz="4" w:space="0" w:color="44709D" w:themeColor="accent3"/>
          <w:left w:val="single" w:sz="4" w:space="0" w:color="44709D" w:themeColor="accent3"/>
          <w:bottom w:val="single" w:sz="4" w:space="0" w:color="44709D" w:themeColor="accent3"/>
          <w:right w:val="single" w:sz="4" w:space="0" w:color="44709D" w:themeColor="accent3"/>
          <w:insideH w:val="nil"/>
        </w:tcBorders>
        <w:shd w:val="clear" w:color="auto" w:fill="44709D" w:themeFill="accent3"/>
      </w:tcPr>
    </w:tblStylePr>
    <w:tblStylePr w:type="lastRow">
      <w:rPr>
        <w:b/>
        <w:bCs/>
      </w:rPr>
      <w:tblPr/>
      <w:tcPr>
        <w:tcBorders>
          <w:top w:val="double" w:sz="4" w:space="0" w:color="87A9CB" w:themeColor="accent3" w:themeTint="99"/>
        </w:tcBorders>
      </w:tcPr>
    </w:tblStylePr>
    <w:tblStylePr w:type="firstCol">
      <w:rPr>
        <w:b/>
        <w:bCs/>
      </w:rPr>
    </w:tblStylePr>
    <w:tblStylePr w:type="lastCol">
      <w:rPr>
        <w:b/>
        <w:bCs/>
      </w:rPr>
    </w:tblStylePr>
    <w:tblStylePr w:type="band1Vert">
      <w:tblPr/>
      <w:tcPr>
        <w:shd w:val="clear" w:color="auto" w:fill="D7E2ED" w:themeFill="accent3" w:themeFillTint="33"/>
      </w:tcPr>
    </w:tblStylePr>
    <w:tblStylePr w:type="band1Horz">
      <w:tblPr/>
      <w:tcPr>
        <w:shd w:val="clear" w:color="auto" w:fill="D7E2ED" w:themeFill="accent3" w:themeFillTint="33"/>
      </w:tcPr>
    </w:tblStylePr>
  </w:style>
  <w:style w:type="paragraph" w:styleId="BalloonText">
    <w:name w:val="Balloon Text"/>
    <w:basedOn w:val="Normal"/>
    <w:link w:val="BalloonTextChar"/>
    <w:uiPriority w:val="99"/>
    <w:semiHidden/>
    <w:unhideWhenUsed/>
    <w:rsid w:val="00F57A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A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45581">
      <w:bodyDiv w:val="1"/>
      <w:marLeft w:val="0"/>
      <w:marRight w:val="0"/>
      <w:marTop w:val="0"/>
      <w:marBottom w:val="0"/>
      <w:divBdr>
        <w:top w:val="none" w:sz="0" w:space="0" w:color="auto"/>
        <w:left w:val="none" w:sz="0" w:space="0" w:color="auto"/>
        <w:bottom w:val="none" w:sz="0" w:space="0" w:color="auto"/>
        <w:right w:val="none" w:sz="0" w:space="0" w:color="auto"/>
      </w:divBdr>
    </w:div>
    <w:div w:id="638193383">
      <w:bodyDiv w:val="1"/>
      <w:marLeft w:val="0"/>
      <w:marRight w:val="0"/>
      <w:marTop w:val="0"/>
      <w:marBottom w:val="0"/>
      <w:divBdr>
        <w:top w:val="none" w:sz="0" w:space="0" w:color="auto"/>
        <w:left w:val="none" w:sz="0" w:space="0" w:color="auto"/>
        <w:bottom w:val="none" w:sz="0" w:space="0" w:color="auto"/>
        <w:right w:val="none" w:sz="0" w:space="0" w:color="auto"/>
      </w:divBdr>
    </w:div>
    <w:div w:id="721750941">
      <w:bodyDiv w:val="1"/>
      <w:marLeft w:val="0"/>
      <w:marRight w:val="0"/>
      <w:marTop w:val="0"/>
      <w:marBottom w:val="0"/>
      <w:divBdr>
        <w:top w:val="none" w:sz="0" w:space="0" w:color="auto"/>
        <w:left w:val="none" w:sz="0" w:space="0" w:color="auto"/>
        <w:bottom w:val="none" w:sz="0" w:space="0" w:color="auto"/>
        <w:right w:val="none" w:sz="0" w:space="0" w:color="auto"/>
      </w:divBdr>
    </w:div>
    <w:div w:id="1050180414">
      <w:bodyDiv w:val="1"/>
      <w:marLeft w:val="0"/>
      <w:marRight w:val="0"/>
      <w:marTop w:val="0"/>
      <w:marBottom w:val="0"/>
      <w:divBdr>
        <w:top w:val="none" w:sz="0" w:space="0" w:color="auto"/>
        <w:left w:val="none" w:sz="0" w:space="0" w:color="auto"/>
        <w:bottom w:val="none" w:sz="0" w:space="0" w:color="auto"/>
        <w:right w:val="none" w:sz="0" w:space="0" w:color="auto"/>
      </w:divBdr>
    </w:div>
    <w:div w:id="1770003333">
      <w:bodyDiv w:val="1"/>
      <w:marLeft w:val="0"/>
      <w:marRight w:val="0"/>
      <w:marTop w:val="0"/>
      <w:marBottom w:val="0"/>
      <w:divBdr>
        <w:top w:val="none" w:sz="0" w:space="0" w:color="auto"/>
        <w:left w:val="none" w:sz="0" w:space="0" w:color="auto"/>
        <w:bottom w:val="none" w:sz="0" w:space="0" w:color="auto"/>
        <w:right w:val="none" w:sz="0" w:space="0" w:color="auto"/>
      </w:divBdr>
    </w:div>
    <w:div w:id="1770544166">
      <w:bodyDiv w:val="1"/>
      <w:marLeft w:val="0"/>
      <w:marRight w:val="0"/>
      <w:marTop w:val="0"/>
      <w:marBottom w:val="0"/>
      <w:divBdr>
        <w:top w:val="none" w:sz="0" w:space="0" w:color="auto"/>
        <w:left w:val="none" w:sz="0" w:space="0" w:color="auto"/>
        <w:bottom w:val="none" w:sz="0" w:space="0" w:color="auto"/>
        <w:right w:val="none" w:sz="0" w:space="0" w:color="auto"/>
      </w:divBdr>
    </w:div>
    <w:div w:id="18029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GWModel\Aguaseca_Project\Scenarios\Aquaseca_Report1_4.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Aquaseca_Report1_4</Template>
  <TotalTime>32</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davem</dc:creator>
  <cp:keywords/>
  <dc:description/>
  <cp:lastModifiedBy>Murray, David - (davemurray)</cp:lastModifiedBy>
  <cp:revision>1</cp:revision>
  <dcterms:created xsi:type="dcterms:W3CDTF">2020-04-21T03:54:00Z</dcterms:created>
  <dcterms:modified xsi:type="dcterms:W3CDTF">2020-04-21T04:26:00Z</dcterms:modified>
</cp:coreProperties>
</file>