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E8F8C" w14:textId="5553E3F6" w:rsidR="00C678F1" w:rsidRDefault="00C678F1">
      <w:r>
        <w:t>Friends of the Environment Report</w:t>
      </w:r>
      <w:r w:rsidR="003D3D68">
        <w:t xml:space="preserve"> – Scenarios 1-2</w:t>
      </w:r>
    </w:p>
    <w:p w14:paraId="59428D1F" w14:textId="020D9B16" w:rsidR="00AF5D52" w:rsidRDefault="003D3D68">
      <w:r>
        <w:t>Groundwater Modelling, HWRS518</w:t>
      </w:r>
    </w:p>
    <w:p w14:paraId="3E8D2FD3" w14:textId="122ADCEE" w:rsidR="00AF5D52" w:rsidRDefault="00AF5D52">
      <w:r>
        <w:t xml:space="preserve">Jake </w:t>
      </w:r>
      <w:proofErr w:type="spellStart"/>
      <w:r>
        <w:t>Ridlinghifer</w:t>
      </w:r>
      <w:proofErr w:type="spellEnd"/>
      <w:r>
        <w:t xml:space="preserve">, Ben </w:t>
      </w:r>
      <w:r w:rsidR="003D3D68">
        <w:t>Mitchell, Danielle Tadych</w:t>
      </w:r>
    </w:p>
    <w:p w14:paraId="116A5C26" w14:textId="7F78F0B7" w:rsidR="003D3D68" w:rsidRDefault="003D3D68">
      <w:r>
        <w:t>4/21/2020</w:t>
      </w:r>
    </w:p>
    <w:p w14:paraId="7DD2305F" w14:textId="77777777" w:rsidR="00AF5D52" w:rsidRDefault="00AF5D52"/>
    <w:p w14:paraId="2770714C" w14:textId="77777777" w:rsidR="00AF5D52" w:rsidRPr="00AF5D52" w:rsidRDefault="00AF5D52" w:rsidP="00AF5D52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Scenario 1: </w:t>
      </w:r>
      <w:proofErr w:type="gramStart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 Development</w:t>
      </w:r>
      <w:proofErr w:type="gramEnd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model, no seasonality</w:t>
      </w:r>
    </w:p>
    <w:p w14:paraId="1FB73446" w14:textId="77777777" w:rsidR="00AF5D52" w:rsidRPr="00AF5D52" w:rsidRDefault="00AF5D52" w:rsidP="00AF5D5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Build the base model as described above without the proposed agricultural activity.</w:t>
      </w:r>
    </w:p>
    <w:p w14:paraId="525D15BB" w14:textId="77777777" w:rsidR="00AF5D52" w:rsidRPr="00AF5D52" w:rsidRDefault="00AF5D52" w:rsidP="00AF5D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Run the model as steady state with no pumping from the town's well.</w:t>
      </w:r>
    </w:p>
    <w:p w14:paraId="58177888" w14:textId="0E5D26A4" w:rsidR="00AF5D52" w:rsidRDefault="00AF5D52" w:rsidP="00AF5D5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Calculate the flux from the stream to the groundwater</w:t>
      </w:r>
    </w:p>
    <w:p w14:paraId="26A025FD" w14:textId="5EC8148B" w:rsidR="003D3D68" w:rsidRPr="00AF5D52" w:rsidRDefault="003D3D68" w:rsidP="003D3D6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Flux: </w:t>
      </w:r>
      <w:r w:rsidRPr="003D3D68">
        <w:rPr>
          <w:rFonts w:ascii="Segoe UI" w:eastAsia="Times New Roman" w:hAnsi="Segoe UI" w:cs="Segoe UI"/>
          <w:color w:val="24292E"/>
        </w:rPr>
        <w:t>6313</w:t>
      </w:r>
    </w:p>
    <w:p w14:paraId="1777CBD5" w14:textId="0A1CEA1A" w:rsidR="00AF5D52" w:rsidRDefault="00AF5D52" w:rsidP="00AF5D5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Also show a reverse particle track map to identify the source of the water to the stream.</w:t>
      </w:r>
    </w:p>
    <w:p w14:paraId="1A6284D8" w14:textId="6813C5D1" w:rsidR="00FB42FC" w:rsidRPr="00FB42FC" w:rsidRDefault="00FB42FC" w:rsidP="00FB42FC">
      <w:pPr>
        <w:pStyle w:val="ListParagraph"/>
        <w:rPr>
          <w:rFonts w:ascii="Times New Roman" w:eastAsia="Times New Roman" w:hAnsi="Times New Roman" w:cs="Times New Roman"/>
        </w:rPr>
      </w:pPr>
      <w:r w:rsidRPr="00FB42FC">
        <w:rPr>
          <w:noProof/>
        </w:rPr>
        <w:drawing>
          <wp:inline distT="0" distB="0" distL="0" distR="0" wp14:anchorId="204F39A0" wp14:editId="25B33C0F">
            <wp:extent cx="5113655" cy="3674745"/>
            <wp:effectExtent l="0" t="0" r="4445" b="0"/>
            <wp:docPr id="2" name="Picture 2" descr="A picture containing monitor, screen, ho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565C" w14:textId="5BE494CF" w:rsidR="00AF5D52" w:rsidRDefault="00AF5D52" w:rsidP="00AF5D5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Finally, report the water level at the monitoring wells and at the town's well (even though it isn't pumping for this scenario).</w:t>
      </w:r>
    </w:p>
    <w:p w14:paraId="1AB5B391" w14:textId="3BAE2F84" w:rsidR="00291777" w:rsidRPr="00291777" w:rsidRDefault="00291777" w:rsidP="0029177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Town Well: </w:t>
      </w:r>
      <w:r w:rsidRPr="00291777">
        <w:rPr>
          <w:rFonts w:ascii="Segoe UI" w:eastAsia="Times New Roman" w:hAnsi="Segoe UI" w:cs="Segoe UI"/>
          <w:color w:val="24292E"/>
        </w:rPr>
        <w:t>85.3</w:t>
      </w:r>
      <w:r>
        <w:rPr>
          <w:rFonts w:ascii="Segoe UI" w:eastAsia="Times New Roman" w:hAnsi="Segoe UI" w:cs="Segoe UI"/>
          <w:color w:val="24292E"/>
        </w:rPr>
        <w:t>9</w:t>
      </w:r>
    </w:p>
    <w:p w14:paraId="2B6D6DF1" w14:textId="424DF506" w:rsidR="00291777" w:rsidRPr="00291777" w:rsidRDefault="00291777" w:rsidP="00291777">
      <w:pPr>
        <w:numPr>
          <w:ilvl w:val="1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Monitoring Well 1 [25000,25000]: </w:t>
      </w:r>
      <w:r w:rsidRPr="00291777">
        <w:rPr>
          <w:rFonts w:ascii="Segoe UI" w:eastAsia="Times New Roman" w:hAnsi="Segoe UI" w:cs="Segoe UI"/>
          <w:color w:val="24292E"/>
        </w:rPr>
        <w:t>83.</w:t>
      </w:r>
      <w:r>
        <w:rPr>
          <w:rFonts w:ascii="Segoe UI" w:eastAsia="Times New Roman" w:hAnsi="Segoe UI" w:cs="Segoe UI"/>
          <w:color w:val="24292E"/>
        </w:rPr>
        <w:t>10</w:t>
      </w:r>
    </w:p>
    <w:p w14:paraId="6B2DAD73" w14:textId="7AF1B000" w:rsidR="00291777" w:rsidRPr="00AF5D52" w:rsidRDefault="00291777" w:rsidP="0029177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Monitoring Well 2 [12500,125000]: </w:t>
      </w:r>
      <w:r w:rsidRPr="00291777">
        <w:rPr>
          <w:rFonts w:ascii="Segoe UI" w:eastAsia="Times New Roman" w:hAnsi="Segoe UI" w:cs="Segoe UI"/>
          <w:color w:val="24292E"/>
        </w:rPr>
        <w:t>90.17</w:t>
      </w:r>
    </w:p>
    <w:p w14:paraId="6BA4F929" w14:textId="77777777" w:rsidR="00AF5D52" w:rsidRPr="00AF5D52" w:rsidRDefault="00AF5D52" w:rsidP="00AF5D52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 xml:space="preserve">Scenario 2: </w:t>
      </w:r>
      <w:proofErr w:type="gramStart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 development</w:t>
      </w:r>
      <w:proofErr w:type="gramEnd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model with seasonality</w:t>
      </w:r>
    </w:p>
    <w:p w14:paraId="32F78FC2" w14:textId="77777777" w:rsidR="00AF5D52" w:rsidRPr="00AF5D52" w:rsidRDefault="00AF5D52" w:rsidP="00AF5D5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Build the base model as described above without the proposed agricultural activity.</w:t>
      </w:r>
    </w:p>
    <w:p w14:paraId="5E52D4AD" w14:textId="77777777" w:rsidR="00AF5D52" w:rsidRPr="00AF5D52" w:rsidRDefault="00AF5D52" w:rsidP="00AF5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Run the model as transient for 25 years with no pumping from the town's well. Recharge occurs at a constant rate all year, but ET takes place from April through September (inclusive) at the rate given in the problem description.</w:t>
      </w:r>
    </w:p>
    <w:p w14:paraId="2AB5CA77" w14:textId="77777777" w:rsidR="00AF5D52" w:rsidRPr="00AF5D52" w:rsidRDefault="00AF5D52" w:rsidP="00AF5D5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How long does it take for the model to reach a cyclical steady state (annual variations, but no trends)? Use monthly water levels at the monitoring wells to support your conclusion. This is the required 'burn in' time of your model.</w:t>
      </w:r>
    </w:p>
    <w:p w14:paraId="2A887601" w14:textId="2C7FD4B0" w:rsidR="003D3D68" w:rsidRPr="003D3D68" w:rsidRDefault="003D3D68" w:rsidP="003D3D68">
      <w:pPr>
        <w:pStyle w:val="ListParagraph"/>
        <w:rPr>
          <w:rFonts w:ascii="Times New Roman" w:eastAsia="Times New Roman" w:hAnsi="Times New Roman" w:cs="Times New Roman"/>
        </w:rPr>
      </w:pPr>
    </w:p>
    <w:p w14:paraId="5F79B852" w14:textId="370A7CE3" w:rsidR="00291777" w:rsidRPr="00291777" w:rsidRDefault="00291777" w:rsidP="00291777">
      <w:pPr>
        <w:jc w:val="center"/>
        <w:rPr>
          <w:rFonts w:ascii="Times New Roman" w:eastAsia="Times New Roman" w:hAnsi="Times New Roman" w:cs="Times New Roman"/>
        </w:rPr>
      </w:pPr>
      <w:r w:rsidRPr="00291777">
        <w:rPr>
          <w:noProof/>
        </w:rPr>
        <w:drawing>
          <wp:inline distT="0" distB="0" distL="0" distR="0" wp14:anchorId="4B38DCC1" wp14:editId="11811AF2">
            <wp:extent cx="2658745" cy="176974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F9C5" w14:textId="42530854" w:rsidR="00AF5D52" w:rsidRPr="006B4E14" w:rsidRDefault="006B4E14">
      <w:pPr>
        <w:rPr>
          <w:b/>
          <w:bCs/>
          <w:i/>
          <w:iCs/>
        </w:rPr>
      </w:pPr>
      <w:r w:rsidRPr="006B4E14">
        <w:rPr>
          <w:b/>
          <w:bCs/>
          <w:i/>
          <w:iCs/>
        </w:rPr>
        <w:tab/>
        <w:t>According to our time series, it reached steady state almost immediately.</w:t>
      </w:r>
    </w:p>
    <w:sectPr w:rsidR="00AF5D52" w:rsidRPr="006B4E14" w:rsidSect="00AB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740A0"/>
    <w:multiLevelType w:val="multilevel"/>
    <w:tmpl w:val="E69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5434B"/>
    <w:multiLevelType w:val="multilevel"/>
    <w:tmpl w:val="BC6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F1"/>
    <w:rsid w:val="00131441"/>
    <w:rsid w:val="00291777"/>
    <w:rsid w:val="00363F1A"/>
    <w:rsid w:val="003D3D68"/>
    <w:rsid w:val="006B4E14"/>
    <w:rsid w:val="00726FF7"/>
    <w:rsid w:val="009500D8"/>
    <w:rsid w:val="00A63FF2"/>
    <w:rsid w:val="00AB6D1C"/>
    <w:rsid w:val="00AF5D52"/>
    <w:rsid w:val="00C44DCE"/>
    <w:rsid w:val="00C678F1"/>
    <w:rsid w:val="00D65730"/>
    <w:rsid w:val="00E01150"/>
    <w:rsid w:val="00E33083"/>
    <w:rsid w:val="00FB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93A17"/>
  <w15:chartTrackingRefBased/>
  <w15:docId w15:val="{DA5D7ECA-8C3F-3342-B08E-40D828F3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5D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5D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5D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3D68"/>
    <w:pPr>
      <w:ind w:left="720"/>
      <w:contextualSpacing/>
    </w:pPr>
  </w:style>
  <w:style w:type="table" w:styleId="TableGrid">
    <w:name w:val="Table Grid"/>
    <w:basedOn w:val="TableNormal"/>
    <w:uiPriority w:val="39"/>
    <w:rsid w:val="00291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77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77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Tadych, Danielle Elizabeth - (dtadych)</dc:creator>
  <cp:keywords/>
  <dc:description/>
  <cp:lastModifiedBy>Tadych, Danielle Elizabeth - (dtadych)</cp:lastModifiedBy>
  <cp:revision>4</cp:revision>
  <dcterms:created xsi:type="dcterms:W3CDTF">2020-04-21T18:17:00Z</dcterms:created>
  <dcterms:modified xsi:type="dcterms:W3CDTF">2020-04-21T19:20:00Z</dcterms:modified>
</cp:coreProperties>
</file>