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8F8C" w14:textId="6B4D9804" w:rsidR="00C678F1" w:rsidRDefault="00C678F1">
      <w:r>
        <w:t>Friends of the Environment Report</w:t>
      </w:r>
    </w:p>
    <w:p w14:paraId="59428D1F" w14:textId="76A7AC32" w:rsidR="00AF5D52" w:rsidRDefault="00AF5D52">
      <w:r>
        <w:t>HWRS 518</w:t>
      </w:r>
    </w:p>
    <w:p w14:paraId="3E8D2FD3" w14:textId="77777777" w:rsidR="00AF5D52" w:rsidRDefault="00AF5D52">
      <w:r>
        <w:t xml:space="preserve">Jake </w:t>
      </w:r>
      <w:proofErr w:type="spellStart"/>
      <w:r>
        <w:t>Ridlinghifer</w:t>
      </w:r>
      <w:proofErr w:type="spellEnd"/>
      <w:r>
        <w:t xml:space="preserve">, Ben </w:t>
      </w:r>
    </w:p>
    <w:p w14:paraId="7DD2305F" w14:textId="77777777" w:rsidR="00AF5D52" w:rsidRDefault="00AF5D52"/>
    <w:p w14:paraId="2770714C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1: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model, no seasonality</w:t>
      </w:r>
    </w:p>
    <w:p w14:paraId="1FB73446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25D15BB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steady state with no pumping from the town's well.</w:t>
      </w:r>
    </w:p>
    <w:p w14:paraId="58177888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Calculate the flux from the stream to the groundwater</w:t>
      </w:r>
    </w:p>
    <w:p w14:paraId="1777CBD5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Also show a reverse particle track map to identify the source of the water to the stream.</w:t>
      </w:r>
    </w:p>
    <w:p w14:paraId="69D3565C" w14:textId="77777777" w:rsidR="00AF5D52" w:rsidRPr="00AF5D52" w:rsidRDefault="00AF5D52" w:rsidP="00AF5D52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Finally, report the water level at the monitoring wells and at the town's well (even though it isn't pumping for this scenario).</w:t>
      </w:r>
    </w:p>
    <w:p w14:paraId="6BA4F929" w14:textId="77777777" w:rsidR="00AF5D52" w:rsidRPr="00AF5D52" w:rsidRDefault="00AF5D52" w:rsidP="00AF5D52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Scenario 2: </w:t>
      </w:r>
      <w:proofErr w:type="gramStart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 development</w:t>
      </w:r>
      <w:proofErr w:type="gramEnd"/>
      <w:r w:rsidRPr="00AF5D5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model with seasonality</w:t>
      </w:r>
    </w:p>
    <w:p w14:paraId="32F78FC2" w14:textId="77777777" w:rsidR="00AF5D52" w:rsidRPr="00AF5D52" w:rsidRDefault="00AF5D52" w:rsidP="00AF5D5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Build the base model as described above without the proposed agricultural activity.</w:t>
      </w:r>
    </w:p>
    <w:p w14:paraId="5E52D4AD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Run the model as transient for 25 years with no pumping from the town's well. Recharge occurs at a constant rate all year, but ET takes place from April through September (inclusive) at the rate given in the problem description.</w:t>
      </w:r>
    </w:p>
    <w:p w14:paraId="2AB5CA77" w14:textId="77777777" w:rsidR="00AF5D52" w:rsidRPr="00AF5D52" w:rsidRDefault="00AF5D52" w:rsidP="00AF5D5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AF5D52">
        <w:rPr>
          <w:rFonts w:ascii="Segoe UI" w:eastAsia="Times New Roman" w:hAnsi="Segoe UI" w:cs="Segoe UI"/>
          <w:color w:val="24292E"/>
        </w:rPr>
        <w:t>How long does it take for the model to reach a cyclical steady state (annual variations, but no trends)? Use monthly water levels at the monitoring wells to support your conclusion. This is the required 'burn in' time of your model.</w:t>
      </w:r>
    </w:p>
    <w:p w14:paraId="1985F9C5" w14:textId="49708CB1" w:rsidR="00AF5D52" w:rsidRDefault="00AF5D52">
      <w:r>
        <w:t xml:space="preserve"> </w:t>
      </w:r>
    </w:p>
    <w:sectPr w:rsidR="00AF5D52" w:rsidSect="00AB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740A0"/>
    <w:multiLevelType w:val="multilevel"/>
    <w:tmpl w:val="E69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5434B"/>
    <w:multiLevelType w:val="multilevel"/>
    <w:tmpl w:val="BC6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F1"/>
    <w:rsid w:val="00131441"/>
    <w:rsid w:val="00363F1A"/>
    <w:rsid w:val="00726FF7"/>
    <w:rsid w:val="009500D8"/>
    <w:rsid w:val="00A63FF2"/>
    <w:rsid w:val="00AB6D1C"/>
    <w:rsid w:val="00AF5D52"/>
    <w:rsid w:val="00C44DCE"/>
    <w:rsid w:val="00C678F1"/>
    <w:rsid w:val="00D65730"/>
    <w:rsid w:val="00E01150"/>
    <w:rsid w:val="00E3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3A17"/>
  <w15:chartTrackingRefBased/>
  <w15:docId w15:val="{DA5D7ECA-8C3F-3342-B08E-40D828F3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5D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D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5D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Tadych, Danielle Elizabeth - (dtadych)</dc:creator>
  <cp:keywords/>
  <dc:description/>
  <cp:lastModifiedBy>Tadych, Danielle Elizabeth - (dtadych)</cp:lastModifiedBy>
  <cp:revision>2</cp:revision>
  <dcterms:created xsi:type="dcterms:W3CDTF">2020-04-21T18:17:00Z</dcterms:created>
  <dcterms:modified xsi:type="dcterms:W3CDTF">2020-04-21T18:23:00Z</dcterms:modified>
</cp:coreProperties>
</file>