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238E" w14:textId="77777777" w:rsidR="009C56CA" w:rsidRPr="009C56CA" w:rsidRDefault="009C56CA" w:rsidP="009C56CA">
      <w:pPr>
        <w:keepNext/>
        <w:keepLines/>
        <w:numPr>
          <w:ilvl w:val="0"/>
          <w:numId w:val="1"/>
        </w:numPr>
        <w:spacing w:before="400" w:after="120"/>
        <w:ind w:left="357" w:hanging="357"/>
        <w:outlineLvl w:val="0"/>
        <w:rPr>
          <w:b/>
          <w:color w:val="193F81"/>
          <w:sz w:val="40"/>
          <w:szCs w:val="40"/>
        </w:rPr>
      </w:pPr>
      <w:bookmarkStart w:id="0" w:name="_Toc116390377"/>
      <w:r>
        <w:rPr>
          <w:b/>
          <w:color w:val="193F81"/>
          <w:sz w:val="40"/>
          <w:szCs w:val="40"/>
        </w:rPr>
        <w:t>Requisiti Non Funzionali</w:t>
      </w:r>
      <w:bookmarkEnd w:id="0"/>
    </w:p>
    <w:p w14:paraId="78D6BF2C" w14:textId="77777777" w:rsidR="009C56CA" w:rsidRDefault="009C56CA" w:rsidP="009C56CA">
      <w:r>
        <w:t xml:space="preserve">Nel presente capitolo vengono riportati i requisiti non funzionali (RNF) del sistema utilizzando tabelle strutturate </w:t>
      </w:r>
      <w:r w:rsidR="00AC2840">
        <w:t>con la proprietà</w:t>
      </w:r>
      <w:r w:rsidR="00AB5BBF">
        <w:t>, la sua descrizione ed il metodo di misura per verificare che tale RNF sia stato implementato</w:t>
      </w:r>
      <w:r>
        <w:t>.</w:t>
      </w:r>
    </w:p>
    <w:p w14:paraId="6170EADA" w14:textId="77777777" w:rsidR="00AC79CB" w:rsidRDefault="00AC79CB" w:rsidP="43DFB85E"/>
    <w:p w14:paraId="43EE8E61" w14:textId="77777777" w:rsidR="43DFB85E" w:rsidRDefault="43DFB85E" w:rsidP="43DFB85E">
      <w:r>
        <w:t>RNF1. Pagamenti</w:t>
      </w:r>
    </w:p>
    <w:tbl>
      <w:tblPr>
        <w:tblStyle w:val="Tabellagriglia4-colore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340"/>
        <w:gridCol w:w="4815"/>
        <w:gridCol w:w="1860"/>
      </w:tblGrid>
      <w:tr w:rsidR="43DFB85E" w14:paraId="55979E35" w14:textId="77777777" w:rsidTr="43DFB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31D8E945" w14:textId="77777777" w:rsidR="43DFB85E" w:rsidRDefault="43DFB85E" w:rsidP="43DFB85E">
            <w:r>
              <w:t>Proprietà</w:t>
            </w:r>
          </w:p>
        </w:tc>
        <w:tc>
          <w:tcPr>
            <w:tcW w:w="4815" w:type="dxa"/>
            <w:vAlign w:val="center"/>
          </w:tcPr>
          <w:p w14:paraId="6979C139" w14:textId="77777777" w:rsidR="43DFB85E" w:rsidRDefault="43DFB85E" w:rsidP="43DFB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860" w:type="dxa"/>
            <w:vAlign w:val="center"/>
          </w:tcPr>
          <w:p w14:paraId="7EF69AA5" w14:textId="77777777" w:rsidR="43DFB85E" w:rsidRDefault="43DFB85E" w:rsidP="43DFB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43DFB85E" w14:paraId="4FABBA07" w14:textId="77777777" w:rsidTr="43DFB85E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49D313E" w14:textId="77777777" w:rsidR="43DFB85E" w:rsidRDefault="43DFB85E" w:rsidP="43DFB85E">
            <w:r>
              <w:t>Trattenuta pagamento</w:t>
            </w:r>
          </w:p>
        </w:tc>
        <w:tc>
          <w:tcPr>
            <w:tcW w:w="4815" w:type="dxa"/>
          </w:tcPr>
          <w:p w14:paraId="0D76F723" w14:textId="77777777" w:rsidR="43DFB85E" w:rsidRDefault="43DFB85E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sito si interpone nei pagamenti trattenendo la somma pagata dall’acquirente fino a</w:t>
            </w:r>
          </w:p>
          <w:p w14:paraId="27F3A480" w14:textId="77777777" w:rsidR="43DFB85E" w:rsidRDefault="43DFB85E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 giorni dopo la ricezione del prodotto.</w:t>
            </w:r>
          </w:p>
        </w:tc>
        <w:tc>
          <w:tcPr>
            <w:tcW w:w="1860" w:type="dxa"/>
          </w:tcPr>
          <w:p w14:paraId="48FA9179" w14:textId="77777777" w:rsidR="43DFB85E" w:rsidRDefault="43DFB85E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venditore non riceverà nessun pagamento fin tanto che l’acquirente non riceve il prodotto.</w:t>
            </w:r>
          </w:p>
        </w:tc>
      </w:tr>
      <w:tr w:rsidR="43DFB85E" w14:paraId="5064B01D" w14:textId="77777777" w:rsidTr="43DFB85E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A0C8E0A" w14:textId="77777777" w:rsidR="43DFB85E" w:rsidRDefault="43DFB85E" w:rsidP="43DFB85E">
            <w:r>
              <w:t>Trattenuta commissione</w:t>
            </w:r>
          </w:p>
        </w:tc>
        <w:tc>
          <w:tcPr>
            <w:tcW w:w="4815" w:type="dxa"/>
          </w:tcPr>
          <w:p w14:paraId="1EB1D3E7" w14:textId="77777777" w:rsidR="43DFB85E" w:rsidRDefault="43DFB85E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termine del periodo di trattenuta del pagamento effettuato dall’acquirente</w:t>
            </w:r>
            <w:r w:rsidR="00122EC4">
              <w:t>.</w:t>
            </w:r>
            <w:r w:rsidR="007E53B1">
              <w:t xml:space="preserve">, la relativa </w:t>
            </w:r>
            <w:r w:rsidR="00AA5421">
              <w:t>commissione viene</w:t>
            </w:r>
            <w:r>
              <w:t xml:space="preserve"> inoltrat</w:t>
            </w:r>
            <w:r w:rsidR="00D27345">
              <w:t>a</w:t>
            </w:r>
            <w:r>
              <w:t xml:space="preserve"> al venditore con una detrazione</w:t>
            </w:r>
            <w:r w:rsidR="002E2620">
              <w:t xml:space="preserve"> da essa</w:t>
            </w:r>
            <w:r w:rsidR="009B4570">
              <w:t xml:space="preserve"> a fine manutentivo della piattaforma</w:t>
            </w:r>
            <w:r>
              <w:t>.</w:t>
            </w:r>
          </w:p>
        </w:tc>
        <w:tc>
          <w:tcPr>
            <w:tcW w:w="1860" w:type="dxa"/>
          </w:tcPr>
          <w:p w14:paraId="271AF639" w14:textId="77777777" w:rsidR="43DFB85E" w:rsidRDefault="00A17474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L’entrata complessiva</w:t>
            </w:r>
            <w:r w:rsidR="001D3757">
              <w:t>,</w:t>
            </w:r>
            <w:r>
              <w:t xml:space="preserve"> </w:t>
            </w:r>
            <w:r w:rsidR="00703D9F">
              <w:t xml:space="preserve">derivata </w:t>
            </w:r>
            <w:r w:rsidR="009B4570">
              <w:t>dalla commissione</w:t>
            </w:r>
            <w:r w:rsidR="001D3757">
              <w:t>,</w:t>
            </w:r>
            <w:r w:rsidR="009B4570">
              <w:t xml:space="preserve"> è pari al 5%</w:t>
            </w:r>
            <w:r w:rsidR="00CD5AF7">
              <w:t>.</w:t>
            </w:r>
          </w:p>
        </w:tc>
      </w:tr>
      <w:tr w:rsidR="43DFB85E" w14:paraId="25CE8239" w14:textId="77777777" w:rsidTr="7BA7A88F">
        <w:trPr>
          <w:trHeight w:val="3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1C52658" w14:textId="77777777" w:rsidR="43DFB85E" w:rsidRDefault="43DFB85E" w:rsidP="43DFB85E">
            <w:r>
              <w:t>Pagamenti sicuri</w:t>
            </w:r>
          </w:p>
        </w:tc>
        <w:tc>
          <w:tcPr>
            <w:tcW w:w="4815" w:type="dxa"/>
          </w:tcPr>
          <w:p w14:paraId="435CE7B1" w14:textId="77777777" w:rsidR="43DFB85E" w:rsidRDefault="43DFB85E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ogni pagamento effettuato, il sito assicura che tutte le parti coinvolte nella fase di transazione siano assicurate sulla protezione dei dati di pagamento personali grazie all’utilizzo di API terze.</w:t>
            </w:r>
          </w:p>
        </w:tc>
        <w:tc>
          <w:tcPr>
            <w:tcW w:w="1860" w:type="dxa"/>
          </w:tcPr>
          <w:p w14:paraId="5E315674" w14:textId="77777777" w:rsidR="43DFB85E" w:rsidRDefault="43DFB85E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sito non archivia informazioni personali sui dati di pagamento</w:t>
            </w:r>
            <w:r w:rsidR="004A395A">
              <w:t xml:space="preserve"> in quanto utilizza servizi esterni </w:t>
            </w:r>
            <w:r w:rsidR="00840DF5">
              <w:t xml:space="preserve">riconosciuti come Paypal </w:t>
            </w:r>
            <w:r w:rsidR="0074116C">
              <w:t>per effettuare le transazioni.</w:t>
            </w:r>
          </w:p>
        </w:tc>
      </w:tr>
    </w:tbl>
    <w:p w14:paraId="7E6695A0" w14:textId="77777777" w:rsidR="00A53749" w:rsidRDefault="00A53749" w:rsidP="43DFB85E"/>
    <w:p w14:paraId="408721EC" w14:textId="77777777" w:rsidR="002D21C2" w:rsidRDefault="002D21C2" w:rsidP="43DFB85E"/>
    <w:p w14:paraId="1B2D2BE2" w14:textId="77777777" w:rsidR="43DFB85E" w:rsidRDefault="43DFB85E" w:rsidP="43DFB85E">
      <w:r>
        <w:t>RNF2. Password e sicurezza</w:t>
      </w:r>
    </w:p>
    <w:tbl>
      <w:tblPr>
        <w:tblStyle w:val="Tabellagriglia4-colore1"/>
        <w:tblW w:w="9254" w:type="dxa"/>
        <w:tblLayout w:type="fixed"/>
        <w:tblLook w:val="06A0" w:firstRow="1" w:lastRow="0" w:firstColumn="1" w:lastColumn="0" w:noHBand="1" w:noVBand="1"/>
      </w:tblPr>
      <w:tblGrid>
        <w:gridCol w:w="2463"/>
        <w:gridCol w:w="3706"/>
        <w:gridCol w:w="3085"/>
      </w:tblGrid>
      <w:tr w:rsidR="43DFB85E" w14:paraId="2361C8E8" w14:textId="77777777" w:rsidTr="00997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2EF94C14" w14:textId="77777777" w:rsidR="43DFB85E" w:rsidRDefault="43DFB85E" w:rsidP="43DFB85E">
            <w:r>
              <w:t>Proprietà</w:t>
            </w:r>
          </w:p>
        </w:tc>
        <w:tc>
          <w:tcPr>
            <w:tcW w:w="3706" w:type="dxa"/>
          </w:tcPr>
          <w:p w14:paraId="2CE85FFA" w14:textId="77777777" w:rsidR="43DFB85E" w:rsidRDefault="43DFB85E" w:rsidP="43DFB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085" w:type="dxa"/>
          </w:tcPr>
          <w:p w14:paraId="69B6C2F3" w14:textId="77777777" w:rsidR="43DFB85E" w:rsidRDefault="43DFB85E" w:rsidP="43DFB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43DFB85E" w14:paraId="77655F9E" w14:textId="77777777" w:rsidTr="7BA7A88F">
        <w:trPr>
          <w:trHeight w:val="2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796543F2" w14:textId="77777777" w:rsidR="43DFB85E" w:rsidRDefault="43DFB85E" w:rsidP="43DFB85E">
            <w:r>
              <w:t>Lunghezza password</w:t>
            </w:r>
          </w:p>
        </w:tc>
        <w:tc>
          <w:tcPr>
            <w:tcW w:w="3706" w:type="dxa"/>
          </w:tcPr>
          <w:p w14:paraId="3CEC88AF" w14:textId="77777777" w:rsidR="43DFB85E" w:rsidRDefault="43DFB85E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password creata dall’utente per il proprio profilo deve avere un numero minimo di caratteri alfanumerici e speciali per poter avere un livello di sicurezza minimo per proteggere i propri dati personali.</w:t>
            </w:r>
          </w:p>
        </w:tc>
        <w:tc>
          <w:tcPr>
            <w:tcW w:w="3085" w:type="dxa"/>
          </w:tcPr>
          <w:p w14:paraId="59447F75" w14:textId="77777777" w:rsidR="43DFB85E" w:rsidRDefault="43DFB85E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password valida deve essere lunga almeno 8 caratteri, contenere almeno una lettera maiuscola una</w:t>
            </w:r>
          </w:p>
          <w:p w14:paraId="33DA9C32" w14:textId="77777777" w:rsidR="43DFB85E" w:rsidRDefault="43DFB85E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eastAsia="IBM Plex Sans" w:hAnsi="IBM Plex Sans" w:cs="IBM Plex Sans"/>
                <w:color w:val="323232"/>
                <w:sz w:val="24"/>
                <w:szCs w:val="24"/>
              </w:rPr>
            </w:pPr>
            <w:r>
              <w:t xml:space="preserve">minuscola, un numero ed un carattere speciale tra i seguenti: </w:t>
            </w:r>
            <w:r w:rsidR="00AA5421">
              <w:t xml:space="preserve">(! @ </w:t>
            </w:r>
            <w:r>
              <w:t>#</w:t>
            </w:r>
            <w:r w:rsidR="00AA5421">
              <w:t xml:space="preserve"> </w:t>
            </w:r>
            <w:r>
              <w:t>$</w:t>
            </w:r>
            <w:r w:rsidR="00AA5421">
              <w:t xml:space="preserve"> </w:t>
            </w:r>
            <w:r>
              <w:t>%</w:t>
            </w:r>
            <w:r w:rsidR="00AA5421">
              <w:t xml:space="preserve"> </w:t>
            </w:r>
            <w:r>
              <w:t>^</w:t>
            </w:r>
            <w:r w:rsidR="00AA5421">
              <w:t xml:space="preserve"> </w:t>
            </w:r>
            <w:r>
              <w:t>&amp;</w:t>
            </w:r>
            <w:r w:rsidR="00AA5421">
              <w:t xml:space="preserve"> </w:t>
            </w:r>
            <w:r>
              <w:t>*).</w:t>
            </w:r>
          </w:p>
          <w:p w14:paraId="64A70B32" w14:textId="77777777" w:rsidR="43DFB85E" w:rsidRDefault="43DFB85E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3DFB85E" w14:paraId="4138E6D7" w14:textId="77777777" w:rsidTr="7BA7A88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0712242B" w14:textId="77777777" w:rsidR="43DFB85E" w:rsidRDefault="43DFB85E" w:rsidP="43DFB85E">
            <w:r>
              <w:lastRenderedPageBreak/>
              <w:t>Segretezza password</w:t>
            </w:r>
          </w:p>
        </w:tc>
        <w:tc>
          <w:tcPr>
            <w:tcW w:w="3706" w:type="dxa"/>
          </w:tcPr>
          <w:p w14:paraId="5E022B29" w14:textId="77777777" w:rsidR="43DFB85E" w:rsidRDefault="43DFB85E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password non può essere archiviata in chiaro ma con un metodo di crittografia o di hashing.</w:t>
            </w:r>
          </w:p>
        </w:tc>
        <w:tc>
          <w:tcPr>
            <w:tcW w:w="3085" w:type="dxa"/>
          </w:tcPr>
          <w:p w14:paraId="143E9DD0" w14:textId="77777777" w:rsidR="43DFB85E" w:rsidRDefault="43DFB85E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Tutte le password sono memorizzare nel sistema utilizzando l’algoritmo di hashing SHA-256</w:t>
            </w:r>
            <w:r w:rsidR="00781F51">
              <w:t>.</w:t>
            </w:r>
          </w:p>
        </w:tc>
      </w:tr>
      <w:tr w:rsidR="43DFB85E" w14:paraId="51584EF5" w14:textId="77777777" w:rsidTr="0099707E">
        <w:trPr>
          <w:trHeight w:val="1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3EFC9B60" w14:textId="77777777" w:rsidR="43DFB85E" w:rsidRDefault="43DFB85E" w:rsidP="43DFB85E">
            <w:r>
              <w:t xml:space="preserve">Livello applicazione </w:t>
            </w:r>
          </w:p>
        </w:tc>
        <w:tc>
          <w:tcPr>
            <w:tcW w:w="3706" w:type="dxa"/>
          </w:tcPr>
          <w:p w14:paraId="7BE18079" w14:textId="77777777" w:rsidR="43DFB85E" w:rsidRDefault="43DFB85E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 scambio di protocolli al livello applicazione </w:t>
            </w:r>
            <w:r w:rsidR="00AA5421">
              <w:t>deve avvenire</w:t>
            </w:r>
            <w:r>
              <w:t xml:space="preserve"> in modo sicuro per garantire la protezione dei dati.</w:t>
            </w:r>
          </w:p>
        </w:tc>
        <w:tc>
          <w:tcPr>
            <w:tcW w:w="3085" w:type="dxa"/>
          </w:tcPr>
          <w:p w14:paraId="150A908E" w14:textId="77777777" w:rsidR="43DFB85E" w:rsidRDefault="43DFB85E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Tutte le comunicazioni con il server devono avvenire utilizzando il protocollo HTTPS.</w:t>
            </w:r>
          </w:p>
        </w:tc>
      </w:tr>
      <w:tr w:rsidR="0099707E" w14:paraId="5248C5F3" w14:textId="77777777" w:rsidTr="0099707E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43D9EFC2" w14:textId="77777777" w:rsidR="0099707E" w:rsidRDefault="0099707E" w:rsidP="43DFB85E">
            <w:r>
              <w:t>Raccolta dati tramite form</w:t>
            </w:r>
          </w:p>
        </w:tc>
        <w:tc>
          <w:tcPr>
            <w:tcW w:w="3706" w:type="dxa"/>
          </w:tcPr>
          <w:p w14:paraId="1ACFCEC1" w14:textId="77777777" w:rsidR="0099707E" w:rsidRDefault="00B77E00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Modalità </w:t>
            </w:r>
            <w:r w:rsidR="00BD2705">
              <w:t>con cui vengono trasmessi i dati raccolti tramite i form proposti dall’applicazione.</w:t>
            </w:r>
          </w:p>
        </w:tc>
        <w:tc>
          <w:tcPr>
            <w:tcW w:w="3085" w:type="dxa"/>
          </w:tcPr>
          <w:p w14:paraId="313B7D75" w14:textId="77777777" w:rsidR="0099707E" w:rsidRDefault="00BD2705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Utilizzo protocollo HTTPS.</w:t>
            </w:r>
          </w:p>
        </w:tc>
      </w:tr>
      <w:tr w:rsidR="00B96DA0" w14:paraId="115626FA" w14:textId="77777777" w:rsidTr="0099707E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4CDEC9F4" w14:textId="77777777" w:rsidR="00B96DA0" w:rsidRDefault="00B96DA0" w:rsidP="43DFB85E">
            <w:r>
              <w:t>Trasmissione dati autenticazione e registrazione</w:t>
            </w:r>
          </w:p>
        </w:tc>
        <w:tc>
          <w:tcPr>
            <w:tcW w:w="3706" w:type="dxa"/>
          </w:tcPr>
          <w:p w14:paraId="19F664D8" w14:textId="77777777" w:rsidR="00B96DA0" w:rsidRDefault="00B96DA0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Modalità di trasmissione delle credenziali raccolte in fase di autenticazione e di registrazione</w:t>
            </w:r>
          </w:p>
        </w:tc>
        <w:tc>
          <w:tcPr>
            <w:tcW w:w="3085" w:type="dxa"/>
          </w:tcPr>
          <w:p w14:paraId="1C8765B9" w14:textId="77777777" w:rsidR="00B96DA0" w:rsidRDefault="00B96DA0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Utilizzo protocollo HTTPS.</w:t>
            </w:r>
          </w:p>
        </w:tc>
      </w:tr>
    </w:tbl>
    <w:p w14:paraId="31220436" w14:textId="77777777" w:rsidR="43DFB85E" w:rsidRDefault="43DFB85E" w:rsidP="43DFB85E"/>
    <w:p w14:paraId="010858B9" w14:textId="77777777" w:rsidR="002D21C2" w:rsidRDefault="002D21C2" w:rsidP="43DFB85E"/>
    <w:p w14:paraId="38406129" w14:textId="77777777" w:rsidR="43DFB85E" w:rsidRDefault="43DFB85E" w:rsidP="43DFB85E">
      <w:r>
        <w:t>RNF3. Privacy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3DFB85E" w14:paraId="7B56A97F" w14:textId="77777777" w:rsidTr="43DFB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DC4554" w14:textId="77777777" w:rsidR="43DFB85E" w:rsidRDefault="43DFB85E" w:rsidP="43DFB85E">
            <w:pPr>
              <w:spacing w:line="259" w:lineRule="auto"/>
            </w:pPr>
            <w:r>
              <w:t>Proprietà</w:t>
            </w:r>
          </w:p>
        </w:tc>
        <w:tc>
          <w:tcPr>
            <w:tcW w:w="3005" w:type="dxa"/>
          </w:tcPr>
          <w:p w14:paraId="555C67E1" w14:textId="77777777" w:rsidR="43DFB85E" w:rsidRDefault="43DFB85E" w:rsidP="43DFB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005" w:type="dxa"/>
          </w:tcPr>
          <w:p w14:paraId="5509FDB3" w14:textId="77777777" w:rsidR="43DFB85E" w:rsidRDefault="43DFB85E" w:rsidP="43DFB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43DFB85E" w14:paraId="76203503" w14:textId="77777777" w:rsidTr="43DFB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B15570" w14:textId="77777777" w:rsidR="43DFB85E" w:rsidRDefault="43DFB85E" w:rsidP="43DFB85E">
            <w:r>
              <w:t>Termini e condizioni d’uso</w:t>
            </w:r>
          </w:p>
        </w:tc>
        <w:tc>
          <w:tcPr>
            <w:tcW w:w="3005" w:type="dxa"/>
          </w:tcPr>
          <w:p w14:paraId="1C277D89" w14:textId="77777777" w:rsidR="43DFB85E" w:rsidRDefault="43DFB85E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sito deve assicurarsi che l’utente sia consapevole che vengono trattati dei dati </w:t>
            </w:r>
            <w:r w:rsidR="00AA5421">
              <w:t>personali nei</w:t>
            </w:r>
            <w:r>
              <w:t xml:space="preserve"> limiti definiti dal GDPR.</w:t>
            </w:r>
          </w:p>
        </w:tc>
        <w:tc>
          <w:tcPr>
            <w:tcW w:w="3005" w:type="dxa"/>
          </w:tcPr>
          <w:p w14:paraId="3207AE10" w14:textId="77777777" w:rsidR="43DFB85E" w:rsidRDefault="43DFB85E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deve</w:t>
            </w:r>
          </w:p>
          <w:p w14:paraId="6BAD659D" w14:textId="77777777" w:rsidR="43DFB85E" w:rsidRDefault="43DFB85E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accettare le condizioni e i termini d'uso in materia di trattamento dei dati personali reperibili in fase di registrazione.</w:t>
            </w:r>
          </w:p>
        </w:tc>
      </w:tr>
      <w:tr w:rsidR="00AA1D46" w14:paraId="4C048064" w14:textId="77777777" w:rsidTr="7BA7A88F">
        <w:trPr>
          <w:trHeight w:val="4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9EB364" w14:textId="77777777" w:rsidR="00AA1D46" w:rsidRDefault="00AA1D46" w:rsidP="43DFB85E">
            <w:r>
              <w:t>Regolamento per la protezione dei dati (GDPR)</w:t>
            </w:r>
          </w:p>
        </w:tc>
        <w:tc>
          <w:tcPr>
            <w:tcW w:w="3005" w:type="dxa"/>
          </w:tcPr>
          <w:p w14:paraId="7F54F48B" w14:textId="77777777" w:rsidR="007B0C50" w:rsidRDefault="00AA1D46" w:rsidP="007B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Tutti i dati sensibili sono trattati in conformità con le normative definite dal</w:t>
            </w:r>
            <w:r w:rsidR="007B0C50">
              <w:t xml:space="preserve"> Regolamento Generale sulla Protezione dei Dati in sigla RGPD (o GDPR in inglese General Data Protection Regulation), ufficialmente regolamento (UE) n. 2016/679, è un regolamento dell'Unione europea in materia di trattamento dei dati personali e di privacy, adottato il 27 aprile 2016</w:t>
            </w:r>
            <w:r w:rsidR="000A3524">
              <w:t>.</w:t>
            </w:r>
          </w:p>
          <w:p w14:paraId="793663F1" w14:textId="77777777" w:rsidR="007B0C50" w:rsidRDefault="007B0C50" w:rsidP="00AA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36A500AC" w14:textId="77777777" w:rsidR="003D4A5A" w:rsidRDefault="003D4A5A" w:rsidP="003D4A5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Vengono riportati di seguito alcuni articoli del GDPR:</w:t>
            </w:r>
          </w:p>
          <w:p w14:paraId="7317A484" w14:textId="77777777" w:rsidR="003D4A5A" w:rsidRDefault="003D4A5A" w:rsidP="003D4A5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Art.7 Condizioni per il consenso;</w:t>
            </w:r>
          </w:p>
          <w:p w14:paraId="6D0F5A94" w14:textId="77777777" w:rsidR="003D4A5A" w:rsidRDefault="003D4A5A" w:rsidP="003D4A5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Art.15 Diritto di accesso ai dati del soggetto;</w:t>
            </w:r>
          </w:p>
          <w:p w14:paraId="0112DF13" w14:textId="77777777" w:rsidR="00AA1D46" w:rsidRDefault="003D4A5A" w:rsidP="003D4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Art.17 Diritto alla cancellazione;</w:t>
            </w:r>
          </w:p>
        </w:tc>
      </w:tr>
      <w:tr w:rsidR="005D26C6" w14:paraId="74CA6B5C" w14:textId="77777777" w:rsidTr="43DFB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BE67C6" w14:textId="77777777" w:rsidR="005D26C6" w:rsidRDefault="005D26C6" w:rsidP="43DFB85E">
            <w:r>
              <w:t>Codice della privacy</w:t>
            </w:r>
          </w:p>
        </w:tc>
        <w:tc>
          <w:tcPr>
            <w:tcW w:w="3005" w:type="dxa"/>
          </w:tcPr>
          <w:p w14:paraId="1AA00E5E" w14:textId="77777777" w:rsidR="005D26C6" w:rsidRDefault="00254BAF" w:rsidP="007B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 codice dalla privacy intendiamo la norma della Repubblica Italiana, emanata con il Decreto legislativo 30 </w:t>
            </w:r>
            <w:r>
              <w:lastRenderedPageBreak/>
              <w:t>giugno 2003, n. 196, in vigore dal 1º gennaio 2004</w:t>
            </w:r>
            <w:r w:rsidR="00212726">
              <w:t xml:space="preserve"> con cui </w:t>
            </w:r>
            <w:r w:rsidR="00E9695C">
              <w:t xml:space="preserve">si assicura che i dati dell’utente non vengano usati per terzi scopi e non vengano divulgati </w:t>
            </w:r>
            <w:r w:rsidR="00826649">
              <w:t>per il mantenimento della privacy personale</w:t>
            </w:r>
            <w:r>
              <w:t>.</w:t>
            </w:r>
          </w:p>
        </w:tc>
        <w:tc>
          <w:tcPr>
            <w:tcW w:w="3005" w:type="dxa"/>
          </w:tcPr>
          <w:p w14:paraId="0953F428" w14:textId="77777777" w:rsidR="005D26C6" w:rsidRDefault="00E92EE2" w:rsidP="003D4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lastRenderedPageBreak/>
              <w:t xml:space="preserve">L'interessato (ossia il soggetto cui si riferiscono i dati) vede garantito il proprio diritto di accesso a tutte le informazioni pertinenti la sua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lastRenderedPageBreak/>
              <w:t>persona detenute e trattate da terzi. Tutto ciò è garantito dall'art. 7 del d. lgs. 196/03 il quale ricomprende la possibilità di sapere: l'autore del trattamento, come e con quali fini avviene il trattamento, i soggetti a cui detti dati possono essere ceduti</w:t>
            </w:r>
            <w:r w:rsidR="008B600B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14:paraId="1485978B" w14:textId="77777777" w:rsidR="43DFB85E" w:rsidRDefault="43DFB85E" w:rsidP="43DFB85E"/>
    <w:p w14:paraId="6413715B" w14:textId="77777777" w:rsidR="002D21C2" w:rsidRDefault="002D21C2"/>
    <w:p w14:paraId="58F0A34C" w14:textId="77777777" w:rsidR="43DFB85E" w:rsidRDefault="43DFB85E">
      <w:r>
        <w:t>RNF4. Lingua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3DFB85E" w14:paraId="0AED9F90" w14:textId="77777777" w:rsidTr="43DFB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B58263" w14:textId="77777777" w:rsidR="43DFB85E" w:rsidRDefault="43DFB85E" w:rsidP="43DFB85E">
            <w:r>
              <w:t>Proprietà</w:t>
            </w:r>
          </w:p>
        </w:tc>
        <w:tc>
          <w:tcPr>
            <w:tcW w:w="3005" w:type="dxa"/>
          </w:tcPr>
          <w:p w14:paraId="2857D965" w14:textId="77777777" w:rsidR="43DFB85E" w:rsidRDefault="43DFB85E" w:rsidP="43DFB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005" w:type="dxa"/>
          </w:tcPr>
          <w:p w14:paraId="4D3BD1D4" w14:textId="77777777" w:rsidR="43DFB85E" w:rsidRDefault="43DFB85E" w:rsidP="43DFB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43DFB85E" w14:paraId="5FA5DB89" w14:textId="77777777" w:rsidTr="43DFB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0F2037" w14:textId="77777777" w:rsidR="43DFB85E" w:rsidRDefault="43DFB85E" w:rsidP="43DFB85E">
            <w:r>
              <w:t>Lingua di sistema</w:t>
            </w:r>
          </w:p>
        </w:tc>
        <w:tc>
          <w:tcPr>
            <w:tcW w:w="3005" w:type="dxa"/>
          </w:tcPr>
          <w:p w14:paraId="3453D412" w14:textId="77777777" w:rsidR="43DFB85E" w:rsidRDefault="00D06062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Lingue previste su tute le schermate di cui è composta la piattaforma web.</w:t>
            </w:r>
          </w:p>
        </w:tc>
        <w:tc>
          <w:tcPr>
            <w:tcW w:w="3005" w:type="dxa"/>
          </w:tcPr>
          <w:p w14:paraId="0EFB7435" w14:textId="77777777" w:rsidR="43DFB85E" w:rsidRDefault="00D06062" w:rsidP="43DFB85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Schermate disponibili sola lingua italiana.</w:t>
            </w:r>
          </w:p>
        </w:tc>
      </w:tr>
    </w:tbl>
    <w:p w14:paraId="78E3FF24" w14:textId="77777777" w:rsidR="43DFB85E" w:rsidRDefault="43DFB85E" w:rsidP="43DFB85E">
      <w:pPr>
        <w:rPr>
          <w:rFonts w:ascii="Calibri" w:eastAsia="Calibri" w:hAnsi="Calibri" w:cs="Calibri"/>
          <w:color w:val="000000" w:themeColor="text1"/>
        </w:rPr>
      </w:pPr>
    </w:p>
    <w:p w14:paraId="5DC00941" w14:textId="77777777" w:rsidR="002D21C2" w:rsidRDefault="002D21C2" w:rsidP="43DFB85E">
      <w:pPr>
        <w:rPr>
          <w:rFonts w:ascii="Calibri" w:eastAsia="Calibri" w:hAnsi="Calibri" w:cs="Calibri"/>
          <w:color w:val="000000" w:themeColor="text1"/>
        </w:rPr>
      </w:pPr>
    </w:p>
    <w:p w14:paraId="2B2FE226" w14:textId="77777777" w:rsidR="43DFB85E" w:rsidRDefault="43DFB85E" w:rsidP="43DFB85E">
      <w:pPr>
        <w:rPr>
          <w:rFonts w:ascii="Calibri" w:eastAsia="Calibri" w:hAnsi="Calibri" w:cs="Calibri"/>
          <w:color w:val="000000" w:themeColor="text1"/>
          <w:lang w:val="en-GB"/>
        </w:rPr>
      </w:pPr>
      <w:r w:rsidRPr="43DFB85E">
        <w:rPr>
          <w:rFonts w:ascii="Calibri" w:eastAsia="Calibri" w:hAnsi="Calibri" w:cs="Calibri"/>
          <w:color w:val="000000" w:themeColor="text1"/>
        </w:rPr>
        <w:t>RNF5. API terze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43DFB85E" w14:paraId="4459E572" w14:textId="77777777" w:rsidTr="43DFB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</w:tcBorders>
          </w:tcPr>
          <w:p w14:paraId="670395FB" w14:textId="77777777" w:rsidR="43DFB85E" w:rsidRDefault="43DFB85E" w:rsidP="43DFB85E">
            <w:pPr>
              <w:spacing w:line="259" w:lineRule="auto"/>
              <w:rPr>
                <w:rFonts w:ascii="Calibri" w:eastAsia="Calibri" w:hAnsi="Calibri" w:cs="Calibri"/>
                <w:lang w:val="en-GB"/>
              </w:rPr>
            </w:pPr>
            <w:r w:rsidRPr="43DFB85E">
              <w:rPr>
                <w:rFonts w:ascii="Calibri" w:eastAsia="Calibri" w:hAnsi="Calibri" w:cs="Calibri"/>
              </w:rPr>
              <w:t>Proprietà</w:t>
            </w:r>
          </w:p>
        </w:tc>
        <w:tc>
          <w:tcPr>
            <w:tcW w:w="3000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0F9DB7A5" w14:textId="77777777" w:rsidR="43DFB85E" w:rsidRDefault="43DFB85E" w:rsidP="43DFB85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3DFB85E">
              <w:rPr>
                <w:rFonts w:ascii="Calibri" w:eastAsia="Calibri" w:hAnsi="Calibri" w:cs="Calibri"/>
              </w:rPr>
              <w:t>Descrizione</w:t>
            </w:r>
          </w:p>
        </w:tc>
        <w:tc>
          <w:tcPr>
            <w:tcW w:w="3000" w:type="dxa"/>
            <w:tcBorders>
              <w:top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</w:tcPr>
          <w:p w14:paraId="309AF947" w14:textId="77777777" w:rsidR="43DFB85E" w:rsidRDefault="43DFB85E" w:rsidP="43DFB85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3DFB85E">
              <w:rPr>
                <w:rFonts w:ascii="Calibri" w:eastAsia="Calibri" w:hAnsi="Calibri" w:cs="Calibri"/>
              </w:rPr>
              <w:t>Misura</w:t>
            </w:r>
          </w:p>
        </w:tc>
      </w:tr>
      <w:tr w:rsidR="43DFB85E" w14:paraId="650E8203" w14:textId="77777777" w:rsidTr="43DFB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47C41949" w14:textId="77777777" w:rsidR="43DFB85E" w:rsidRDefault="43DFB85E" w:rsidP="43DFB85E">
            <w:pPr>
              <w:spacing w:line="259" w:lineRule="auto"/>
              <w:rPr>
                <w:rFonts w:ascii="Calibri" w:eastAsia="Calibri" w:hAnsi="Calibri" w:cs="Calibri"/>
              </w:rPr>
            </w:pPr>
            <w:r w:rsidRPr="43DFB85E">
              <w:rPr>
                <w:rFonts w:ascii="Calibri" w:eastAsia="Calibri" w:hAnsi="Calibri" w:cs="Calibri"/>
              </w:rPr>
              <w:t>Archiviazione</w:t>
            </w:r>
          </w:p>
        </w:tc>
        <w:tc>
          <w:tcPr>
            <w:tcW w:w="3000" w:type="dxa"/>
          </w:tcPr>
          <w:p w14:paraId="490ADB50" w14:textId="77777777" w:rsidR="43DFB85E" w:rsidRDefault="002F76DC" w:rsidP="43DFB85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Modalità di archiviazione dei dati reperiti dai form</w:t>
            </w:r>
            <w:r w:rsidR="0074179F">
              <w:rPr>
                <w:rFonts w:ascii="Calibri" w:eastAsia="Calibri" w:hAnsi="Calibri" w:cs="Calibri"/>
              </w:rPr>
              <w:t>, di gestione e manipolazione di essi</w:t>
            </w:r>
            <w:r w:rsidR="007E5A52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000" w:type="dxa"/>
          </w:tcPr>
          <w:p w14:paraId="408C6514" w14:textId="77777777" w:rsidR="43DFB85E" w:rsidRDefault="007E5A52" w:rsidP="43DFB85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dati </w:t>
            </w:r>
            <w:r w:rsidR="00684660">
              <w:rPr>
                <w:rFonts w:ascii="Calibri" w:eastAsia="Calibri" w:hAnsi="Calibri" w:cs="Calibri"/>
              </w:rPr>
              <w:t xml:space="preserve">vengono archiviati </w:t>
            </w:r>
            <w:r w:rsidR="004F69EF">
              <w:rPr>
                <w:rFonts w:ascii="Calibri" w:eastAsia="Calibri" w:hAnsi="Calibri" w:cs="Calibri"/>
              </w:rPr>
              <w:t>utilizzando il servizio di database remoto offerto da MongoDB</w:t>
            </w:r>
            <w:r w:rsidR="008D5F18">
              <w:rPr>
                <w:rFonts w:ascii="Calibri" w:eastAsia="Calibri" w:hAnsi="Calibri" w:cs="Calibri"/>
              </w:rPr>
              <w:t>.</w:t>
            </w:r>
          </w:p>
        </w:tc>
      </w:tr>
      <w:tr w:rsidR="43DFB85E" w14:paraId="07CBEFD7" w14:textId="77777777" w:rsidTr="43DFB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789E8D72" w14:textId="77777777" w:rsidR="43DFB85E" w:rsidRDefault="43DFB85E" w:rsidP="43DFB85E">
            <w:pPr>
              <w:spacing w:line="259" w:lineRule="auto"/>
              <w:rPr>
                <w:rFonts w:ascii="Calibri" w:eastAsia="Calibri" w:hAnsi="Calibri" w:cs="Calibri"/>
              </w:rPr>
            </w:pPr>
            <w:r w:rsidRPr="43DFB85E">
              <w:rPr>
                <w:rFonts w:ascii="Calibri" w:eastAsia="Calibri" w:hAnsi="Calibri" w:cs="Calibri"/>
              </w:rPr>
              <w:t>Spedizione e tracciabilità</w:t>
            </w:r>
          </w:p>
        </w:tc>
        <w:tc>
          <w:tcPr>
            <w:tcW w:w="3000" w:type="dxa"/>
          </w:tcPr>
          <w:p w14:paraId="75A53EE1" w14:textId="77777777" w:rsidR="43DFB85E" w:rsidRDefault="008D5F18" w:rsidP="43DFB85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Modalità in cui </w:t>
            </w:r>
            <w:r w:rsidR="007F5056">
              <w:rPr>
                <w:rFonts w:ascii="Calibri" w:eastAsia="Calibri" w:hAnsi="Calibri" w:cs="Calibri"/>
              </w:rPr>
              <w:t xml:space="preserve">le spedizioni vengono gestite </w:t>
            </w:r>
            <w:r w:rsidR="003B4C6A">
              <w:rPr>
                <w:rFonts w:ascii="Calibri" w:eastAsia="Calibri" w:hAnsi="Calibri" w:cs="Calibri"/>
              </w:rPr>
              <w:t xml:space="preserve">e </w:t>
            </w:r>
            <w:r w:rsidR="00676BD5">
              <w:rPr>
                <w:rFonts w:ascii="Calibri" w:eastAsia="Calibri" w:hAnsi="Calibri" w:cs="Calibri"/>
              </w:rPr>
              <w:t>le modalità per cui è possibil</w:t>
            </w:r>
            <w:r w:rsidR="00CF02B6">
              <w:rPr>
                <w:rFonts w:ascii="Calibri" w:eastAsia="Calibri" w:hAnsi="Calibri" w:cs="Calibri"/>
              </w:rPr>
              <w:t xml:space="preserve">e, se previsto, </w:t>
            </w:r>
            <w:r w:rsidR="00DF088A">
              <w:rPr>
                <w:rFonts w:ascii="Calibri" w:eastAsia="Calibri" w:hAnsi="Calibri" w:cs="Calibri"/>
              </w:rPr>
              <w:t>tra</w:t>
            </w:r>
            <w:r w:rsidR="001C1FE6">
              <w:rPr>
                <w:rFonts w:ascii="Calibri" w:eastAsia="Calibri" w:hAnsi="Calibri" w:cs="Calibri"/>
              </w:rPr>
              <w:t xml:space="preserve">cciare </w:t>
            </w:r>
            <w:r w:rsidR="00906809">
              <w:rPr>
                <w:rFonts w:ascii="Calibri" w:eastAsia="Calibri" w:hAnsi="Calibri" w:cs="Calibri"/>
              </w:rPr>
              <w:t>le spedizioni.</w:t>
            </w:r>
          </w:p>
        </w:tc>
        <w:tc>
          <w:tcPr>
            <w:tcW w:w="3000" w:type="dxa"/>
          </w:tcPr>
          <w:p w14:paraId="5F6A304D" w14:textId="77777777" w:rsidR="43DFB85E" w:rsidRDefault="003B2DFB" w:rsidP="43DFB85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Le spedizioni vengono affidate al servizio esterno Shippo.</w:t>
            </w:r>
            <w:r>
              <w:rPr>
                <w:rFonts w:ascii="Calibri" w:eastAsia="Calibri" w:hAnsi="Calibri" w:cs="Calibri"/>
              </w:rPr>
              <w:br/>
              <w:t xml:space="preserve">Tale servizio offre </w:t>
            </w:r>
            <w:r w:rsidR="00DE1433">
              <w:rPr>
                <w:rFonts w:ascii="Calibri" w:eastAsia="Calibri" w:hAnsi="Calibri" w:cs="Calibri"/>
              </w:rPr>
              <w:t xml:space="preserve">la possibilità di scegliere le modalità di spedizione </w:t>
            </w:r>
            <w:r w:rsidR="00D73D4F">
              <w:rPr>
                <w:rFonts w:ascii="Calibri" w:eastAsia="Calibri" w:hAnsi="Calibri" w:cs="Calibri"/>
              </w:rPr>
              <w:t>e di tracciamento</w:t>
            </w:r>
            <w:r w:rsidR="000C3DB9">
              <w:rPr>
                <w:rFonts w:ascii="Calibri" w:eastAsia="Calibri" w:hAnsi="Calibri" w:cs="Calibri"/>
              </w:rPr>
              <w:t>.</w:t>
            </w:r>
          </w:p>
        </w:tc>
      </w:tr>
      <w:tr w:rsidR="43DFB85E" w14:paraId="10EF8F85" w14:textId="77777777" w:rsidTr="43DFB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35BCB3DE" w14:textId="77777777" w:rsidR="43DFB85E" w:rsidRDefault="43DFB85E" w:rsidP="43DFB85E">
            <w:pPr>
              <w:spacing w:line="259" w:lineRule="auto"/>
            </w:pPr>
            <w:r w:rsidRPr="43DFB85E">
              <w:rPr>
                <w:rFonts w:ascii="Calibri" w:eastAsia="Calibri" w:hAnsi="Calibri" w:cs="Calibri"/>
              </w:rPr>
              <w:t>Pagamenti</w:t>
            </w:r>
          </w:p>
        </w:tc>
        <w:tc>
          <w:tcPr>
            <w:tcW w:w="3000" w:type="dxa"/>
          </w:tcPr>
          <w:p w14:paraId="234D1E4C" w14:textId="77777777" w:rsidR="43DFB85E" w:rsidRDefault="000C3DB9" w:rsidP="43DFB85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Modalità in cui si possono effettuare pagamenti </w:t>
            </w:r>
            <w:r w:rsidR="005B77EB">
              <w:rPr>
                <w:rFonts w:ascii="Calibri" w:eastAsia="Calibri" w:hAnsi="Calibri" w:cs="Calibri"/>
              </w:rPr>
              <w:t>facendo riferimento anche al RNF</w:t>
            </w:r>
            <w:r w:rsidR="00CE5ADD">
              <w:rPr>
                <w:rFonts w:ascii="Calibri" w:eastAsia="Calibri" w:hAnsi="Calibri" w:cs="Calibri"/>
              </w:rPr>
              <w:t xml:space="preserve"> -4.1.</w:t>
            </w:r>
            <w:r>
              <w:rPr>
                <w:rFonts w:ascii="Calibri" w:eastAsia="Calibri" w:hAnsi="Calibri" w:cs="Calibri"/>
              </w:rPr>
              <w:br/>
            </w:r>
            <w:r w:rsidR="43DFB85E" w:rsidRPr="43DFB85E">
              <w:rPr>
                <w:rFonts w:ascii="Calibri" w:eastAsia="Calibri" w:hAnsi="Calibri" w:cs="Calibri"/>
              </w:rPr>
              <w:t xml:space="preserve">La piattaforma si affida all’API di PayPal per gestire le transazioni di pagamento. </w:t>
            </w:r>
          </w:p>
        </w:tc>
        <w:tc>
          <w:tcPr>
            <w:tcW w:w="3000" w:type="dxa"/>
          </w:tcPr>
          <w:p w14:paraId="60900A7F" w14:textId="77777777" w:rsidR="43DFB85E" w:rsidRDefault="00CE5ADD" w:rsidP="43DFB85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La piattaforma si affida ai servizi di pagamento </w:t>
            </w:r>
            <w:r w:rsidR="00F402E8">
              <w:rPr>
                <w:rFonts w:ascii="Calibri" w:eastAsia="Calibri" w:hAnsi="Calibri" w:cs="Calibri"/>
              </w:rPr>
              <w:t xml:space="preserve">delle piattaforme di e-banking </w:t>
            </w:r>
            <w:r w:rsidR="001F5815">
              <w:rPr>
                <w:rFonts w:ascii="Calibri" w:eastAsia="Calibri" w:hAnsi="Calibri" w:cs="Calibri"/>
              </w:rPr>
              <w:t>per gestire le transazioni</w:t>
            </w:r>
            <w:r w:rsidR="009F2ED4">
              <w:rPr>
                <w:rFonts w:ascii="Calibri" w:eastAsia="Calibri" w:hAnsi="Calibri" w:cs="Calibri"/>
              </w:rPr>
              <w:t xml:space="preserve"> includendo anche </w:t>
            </w:r>
            <w:r w:rsidR="00834FA0">
              <w:rPr>
                <w:rFonts w:ascii="Calibri" w:eastAsia="Calibri" w:hAnsi="Calibri" w:cs="Calibri"/>
              </w:rPr>
              <w:t>la sicurezza dei pagamenti.</w:t>
            </w:r>
          </w:p>
        </w:tc>
      </w:tr>
      <w:tr w:rsidR="43DFB85E" w14:paraId="3AFA32A0" w14:textId="77777777" w:rsidTr="43DFB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51618B93" w14:textId="77777777" w:rsidR="43DFB85E" w:rsidRDefault="43DFB85E" w:rsidP="43DFB85E">
            <w:pPr>
              <w:spacing w:line="259" w:lineRule="auto"/>
              <w:rPr>
                <w:rFonts w:ascii="Calibri" w:eastAsia="Calibri" w:hAnsi="Calibri" w:cs="Calibri"/>
              </w:rPr>
            </w:pPr>
            <w:r w:rsidRPr="43DFB85E">
              <w:rPr>
                <w:rFonts w:ascii="Calibri" w:eastAsia="Calibri" w:hAnsi="Calibri" w:cs="Calibri"/>
              </w:rPr>
              <w:t>Verifica degli indirizzi</w:t>
            </w:r>
          </w:p>
        </w:tc>
        <w:tc>
          <w:tcPr>
            <w:tcW w:w="3000" w:type="dxa"/>
          </w:tcPr>
          <w:p w14:paraId="26347154" w14:textId="77777777" w:rsidR="43DFB85E" w:rsidRDefault="00834FA0" w:rsidP="43DFB85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Modalità per cui è possibile verificare la correttezza e la veridicità </w:t>
            </w:r>
            <w:r w:rsidR="00793C29">
              <w:rPr>
                <w:rFonts w:ascii="Calibri" w:eastAsia="Calibri" w:hAnsi="Calibri" w:cs="Calibri"/>
              </w:rPr>
              <w:t xml:space="preserve">delle località indicate nei </w:t>
            </w:r>
            <w:r w:rsidR="0084055A">
              <w:rPr>
                <w:rFonts w:ascii="Calibri" w:eastAsia="Calibri" w:hAnsi="Calibri" w:cs="Calibri"/>
              </w:rPr>
              <w:t>form della piattaforma in cui sono richieste.</w:t>
            </w:r>
          </w:p>
        </w:tc>
        <w:tc>
          <w:tcPr>
            <w:tcW w:w="3000" w:type="dxa"/>
          </w:tcPr>
          <w:p w14:paraId="44EC5EB6" w14:textId="77777777" w:rsidR="43DFB85E" w:rsidRDefault="0084055A" w:rsidP="43DFB85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 verificare gli indirizzi di spedizione </w:t>
            </w:r>
            <w:r w:rsidR="006C2204">
              <w:rPr>
                <w:rFonts w:ascii="Calibri" w:eastAsia="Calibri" w:hAnsi="Calibri" w:cs="Calibri"/>
              </w:rPr>
              <w:t>e di residenza, la piattaforma utilizza il servizio di geolocalizzazione offerto da Google Maps.</w:t>
            </w:r>
          </w:p>
        </w:tc>
      </w:tr>
    </w:tbl>
    <w:p w14:paraId="2B74FB0B" w14:textId="77777777" w:rsidR="43DFB85E" w:rsidRDefault="43DFB85E" w:rsidP="43DFB85E"/>
    <w:p w14:paraId="41CFA372" w14:textId="77777777" w:rsidR="002D21C2" w:rsidRDefault="002D21C2" w:rsidP="43DFB85E"/>
    <w:p w14:paraId="55BE2D12" w14:textId="77777777" w:rsidR="002D21C2" w:rsidRDefault="002D21C2" w:rsidP="43DFB85E"/>
    <w:p w14:paraId="7BD3F183" w14:textId="77777777" w:rsidR="43DFB85E" w:rsidRDefault="43DFB85E" w:rsidP="43DFB85E">
      <w:r>
        <w:lastRenderedPageBreak/>
        <w:t>RNF 6. Portabilità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3DFB85E" w14:paraId="2004E3AB" w14:textId="77777777" w:rsidTr="43DFB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E536F6" w14:textId="77777777" w:rsidR="43DFB85E" w:rsidRDefault="43DFB85E" w:rsidP="43DFB85E">
            <w:pPr>
              <w:spacing w:line="259" w:lineRule="auto"/>
            </w:pPr>
            <w:r>
              <w:t>Proprietà</w:t>
            </w:r>
          </w:p>
        </w:tc>
        <w:tc>
          <w:tcPr>
            <w:tcW w:w="3005" w:type="dxa"/>
          </w:tcPr>
          <w:p w14:paraId="507A4552" w14:textId="77777777" w:rsidR="43DFB85E" w:rsidRDefault="43DFB85E" w:rsidP="43DFB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005" w:type="dxa"/>
          </w:tcPr>
          <w:p w14:paraId="7DC23F57" w14:textId="77777777" w:rsidR="43DFB85E" w:rsidRDefault="43DFB85E" w:rsidP="43DFB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43DFB85E" w14:paraId="03A699E2" w14:textId="77777777" w:rsidTr="7BA7A88F">
        <w:trPr>
          <w:trHeight w:val="2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69EE2B9" w14:textId="77777777" w:rsidR="43DFB85E" w:rsidRDefault="43DFB85E" w:rsidP="43DFB85E">
            <w:pPr>
              <w:spacing w:line="259" w:lineRule="auto"/>
            </w:pPr>
            <w:r>
              <w:t>Visualizzazione browser</w:t>
            </w:r>
          </w:p>
        </w:tc>
        <w:tc>
          <w:tcPr>
            <w:tcW w:w="3005" w:type="dxa"/>
          </w:tcPr>
          <w:p w14:paraId="486CB79C" w14:textId="77777777" w:rsidR="43DFB85E" w:rsidRDefault="00981677" w:rsidP="43DFB85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Capacità del sistema di visualizzare i contenuti in modo univocamente </w:t>
            </w:r>
            <w:r w:rsidR="007A574D">
              <w:t>comprensibili</w:t>
            </w:r>
            <w:r w:rsidR="004B1EB9">
              <w:t xml:space="preserve"> e senza omissioni di informazioni su diverse piattaforme.</w:t>
            </w:r>
          </w:p>
        </w:tc>
        <w:tc>
          <w:tcPr>
            <w:tcW w:w="3005" w:type="dxa"/>
          </w:tcPr>
          <w:p w14:paraId="0DCCC4CD" w14:textId="77777777" w:rsidR="43DFB85E" w:rsidRDefault="43DFB85E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pagine visualizzate tramite desktop browser Chrome, tutti i browser Chromium-based, Mozilla Firefox e Safari, aggiornati a versioni rilasciate dopo l'anno 2016 e da smartphone browser, sono in grado di visualizzare le pagina.</w:t>
            </w:r>
            <w:r>
              <w:br/>
              <w:t>Sono esenti da questo vincolo i tablet.</w:t>
            </w:r>
          </w:p>
        </w:tc>
      </w:tr>
    </w:tbl>
    <w:p w14:paraId="296A296D" w14:textId="77777777" w:rsidR="43DFB85E" w:rsidRDefault="43DFB85E"/>
    <w:p w14:paraId="68C40885" w14:textId="77777777" w:rsidR="002D21C2" w:rsidRDefault="002D21C2" w:rsidP="43DFB85E"/>
    <w:p w14:paraId="4387D2EC" w14:textId="77777777" w:rsidR="43DFB85E" w:rsidRDefault="43DFB85E" w:rsidP="43DFB85E">
      <w:r>
        <w:t>RNF 7. Usabilità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3DFB85E" w14:paraId="36819292" w14:textId="77777777" w:rsidTr="43DFB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B38432" w14:textId="77777777" w:rsidR="43DFB85E" w:rsidRDefault="43DFB85E" w:rsidP="43DFB85E">
            <w:r>
              <w:t>Proprietà</w:t>
            </w:r>
          </w:p>
        </w:tc>
        <w:tc>
          <w:tcPr>
            <w:tcW w:w="3005" w:type="dxa"/>
          </w:tcPr>
          <w:p w14:paraId="1DE3518D" w14:textId="77777777" w:rsidR="43DFB85E" w:rsidRDefault="43DFB85E" w:rsidP="43DFB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005" w:type="dxa"/>
          </w:tcPr>
          <w:p w14:paraId="34BC4A77" w14:textId="77777777" w:rsidR="43DFB85E" w:rsidRDefault="43DFB85E" w:rsidP="43DFB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43DFB85E" w14:paraId="214ACFC6" w14:textId="77777777" w:rsidTr="43DFB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0AEA0" w14:textId="77777777" w:rsidR="43DFB85E" w:rsidRDefault="00CE7E85" w:rsidP="43DFB85E">
            <w:r>
              <w:t>F</w:t>
            </w:r>
            <w:r w:rsidR="00781124">
              <w:t>acilità</w:t>
            </w:r>
            <w:r w:rsidR="002A2FC6">
              <w:t xml:space="preserve"> uso interfaccia utente</w:t>
            </w:r>
          </w:p>
        </w:tc>
        <w:tc>
          <w:tcPr>
            <w:tcW w:w="3005" w:type="dxa"/>
          </w:tcPr>
          <w:p w14:paraId="7D9803D1" w14:textId="77777777" w:rsidR="43DFB85E" w:rsidRDefault="00DF3162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Capacità del sistema di </w:t>
            </w:r>
            <w:r w:rsidR="43DFB85E">
              <w:t>permettere ai nuovi utenti di poter usufruire di tutte le funzionalità con un livello di difficoltà basso.</w:t>
            </w:r>
          </w:p>
        </w:tc>
        <w:tc>
          <w:tcPr>
            <w:tcW w:w="3005" w:type="dxa"/>
          </w:tcPr>
          <w:p w14:paraId="4BD76502" w14:textId="77777777" w:rsidR="43DFB85E" w:rsidRDefault="43DFB85E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sito deve presentare un’interfaccia di facile utilizzo tale che un nuovo utente sia in grado di comprendere e utilizzare le funzionalità di base in meno di 30 minuti</w:t>
            </w:r>
          </w:p>
        </w:tc>
      </w:tr>
    </w:tbl>
    <w:p w14:paraId="4E11B4CC" w14:textId="77777777" w:rsidR="43DFB85E" w:rsidRDefault="43DFB85E" w:rsidP="43DFB85E"/>
    <w:p w14:paraId="1851D618" w14:textId="77777777" w:rsidR="002D21C2" w:rsidRDefault="002D21C2" w:rsidP="43DFB85E"/>
    <w:p w14:paraId="168F2459" w14:textId="77777777" w:rsidR="43DFB85E" w:rsidRDefault="43DFB85E" w:rsidP="43DFB85E">
      <w:r>
        <w:t>RNF 8. Spazio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3DFB85E" w14:paraId="30BB5B4D" w14:textId="77777777" w:rsidTr="43DFB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7224B4" w14:textId="77777777" w:rsidR="43DFB85E" w:rsidRDefault="43DFB85E" w:rsidP="43DFB85E">
            <w:r>
              <w:t>Proprietà</w:t>
            </w:r>
          </w:p>
        </w:tc>
        <w:tc>
          <w:tcPr>
            <w:tcW w:w="3005" w:type="dxa"/>
          </w:tcPr>
          <w:p w14:paraId="11F6D3FA" w14:textId="77777777" w:rsidR="43DFB85E" w:rsidRDefault="43DFB85E" w:rsidP="43DFB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005" w:type="dxa"/>
          </w:tcPr>
          <w:p w14:paraId="452ED558" w14:textId="77777777" w:rsidR="43DFB85E" w:rsidRDefault="43DFB85E" w:rsidP="43DFB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43DFB85E" w14:paraId="1EA1A550" w14:textId="77777777" w:rsidTr="43DFB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AA53A5" w14:textId="77777777" w:rsidR="43DFB85E" w:rsidRDefault="43DFB85E" w:rsidP="43DFB85E">
            <w:r>
              <w:t>Spazio archiviazione</w:t>
            </w:r>
          </w:p>
        </w:tc>
        <w:tc>
          <w:tcPr>
            <w:tcW w:w="3005" w:type="dxa"/>
          </w:tcPr>
          <w:p w14:paraId="07579D0A" w14:textId="77777777" w:rsidR="43DFB85E" w:rsidRDefault="002A2FC6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Capacità fisica del sistema di </w:t>
            </w:r>
            <w:r w:rsidR="43DFB85E">
              <w:t xml:space="preserve">poter archiviare i dati </w:t>
            </w:r>
            <w:r>
              <w:t>provenienti dai form.</w:t>
            </w:r>
          </w:p>
        </w:tc>
        <w:tc>
          <w:tcPr>
            <w:tcW w:w="3005" w:type="dxa"/>
          </w:tcPr>
          <w:p w14:paraId="47302FAC" w14:textId="77777777" w:rsidR="43DFB85E" w:rsidRDefault="002A2FC6" w:rsidP="43DFB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sito garantisce una capienza fino a 2GB, messo a disposizione dal provider MongoDB.</w:t>
            </w:r>
          </w:p>
        </w:tc>
      </w:tr>
    </w:tbl>
    <w:p w14:paraId="3A4FC102" w14:textId="77777777" w:rsidR="43DFB85E" w:rsidRDefault="43DFB85E" w:rsidP="43DFB85E"/>
    <w:p w14:paraId="20AC467D" w14:textId="77777777" w:rsidR="43DFB85E" w:rsidRDefault="43DFB85E" w:rsidP="43DFB85E"/>
    <w:sectPr w:rsidR="43DFB85E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EC7F2" w14:textId="77777777" w:rsidR="008933BB" w:rsidRDefault="008933BB">
      <w:pPr>
        <w:spacing w:after="0" w:line="240" w:lineRule="auto"/>
      </w:pPr>
      <w:r>
        <w:separator/>
      </w:r>
    </w:p>
  </w:endnote>
  <w:endnote w:type="continuationSeparator" w:id="0">
    <w:p w14:paraId="05A3BEB2" w14:textId="77777777" w:rsidR="008933BB" w:rsidRDefault="008933BB">
      <w:pPr>
        <w:spacing w:after="0" w:line="240" w:lineRule="auto"/>
      </w:pPr>
      <w:r>
        <w:continuationSeparator/>
      </w:r>
    </w:p>
  </w:endnote>
  <w:endnote w:type="continuationNotice" w:id="1">
    <w:p w14:paraId="60E5724D" w14:textId="77777777" w:rsidR="008933BB" w:rsidRDefault="008933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DFB85E" w14:paraId="1FFF4A87" w14:textId="77777777" w:rsidTr="43DFB85E">
      <w:tc>
        <w:tcPr>
          <w:tcW w:w="3005" w:type="dxa"/>
        </w:tcPr>
        <w:p w14:paraId="667C5E9D" w14:textId="77777777" w:rsidR="43DFB85E" w:rsidRDefault="43DFB85E" w:rsidP="43DFB85E">
          <w:pPr>
            <w:pStyle w:val="Intestazione"/>
            <w:ind w:left="-115"/>
          </w:pPr>
        </w:p>
      </w:tc>
      <w:tc>
        <w:tcPr>
          <w:tcW w:w="3005" w:type="dxa"/>
        </w:tcPr>
        <w:p w14:paraId="4C469E54" w14:textId="77777777" w:rsidR="43DFB85E" w:rsidRDefault="43DFB85E" w:rsidP="43DFB85E">
          <w:pPr>
            <w:pStyle w:val="Intestazione"/>
            <w:jc w:val="center"/>
          </w:pPr>
        </w:p>
      </w:tc>
      <w:tc>
        <w:tcPr>
          <w:tcW w:w="3005" w:type="dxa"/>
        </w:tcPr>
        <w:p w14:paraId="4C34C891" w14:textId="77777777" w:rsidR="43DFB85E" w:rsidRDefault="43DFB85E" w:rsidP="43DFB85E">
          <w:pPr>
            <w:pStyle w:val="Intestazione"/>
            <w:ind w:right="-115"/>
            <w:jc w:val="right"/>
          </w:pPr>
        </w:p>
      </w:tc>
    </w:tr>
  </w:tbl>
  <w:p w14:paraId="1FDAED71" w14:textId="77777777" w:rsidR="43DFB85E" w:rsidRDefault="43DFB85E" w:rsidP="43DFB85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31EFE" w14:textId="77777777" w:rsidR="008933BB" w:rsidRDefault="008933BB">
      <w:pPr>
        <w:spacing w:after="0" w:line="240" w:lineRule="auto"/>
      </w:pPr>
      <w:r>
        <w:separator/>
      </w:r>
    </w:p>
  </w:footnote>
  <w:footnote w:type="continuationSeparator" w:id="0">
    <w:p w14:paraId="36266FA9" w14:textId="77777777" w:rsidR="008933BB" w:rsidRDefault="008933BB">
      <w:pPr>
        <w:spacing w:after="0" w:line="240" w:lineRule="auto"/>
      </w:pPr>
      <w:r>
        <w:continuationSeparator/>
      </w:r>
    </w:p>
  </w:footnote>
  <w:footnote w:type="continuationNotice" w:id="1">
    <w:p w14:paraId="55BA06E0" w14:textId="77777777" w:rsidR="008933BB" w:rsidRDefault="008933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DFB85E" w14:paraId="10F6B07A" w14:textId="77777777" w:rsidTr="43DFB85E">
      <w:tc>
        <w:tcPr>
          <w:tcW w:w="3005" w:type="dxa"/>
        </w:tcPr>
        <w:p w14:paraId="069DA62E" w14:textId="77777777" w:rsidR="43DFB85E" w:rsidRDefault="43DFB85E" w:rsidP="43DFB85E">
          <w:pPr>
            <w:pStyle w:val="Intestazione"/>
            <w:ind w:left="-115"/>
          </w:pPr>
        </w:p>
      </w:tc>
      <w:tc>
        <w:tcPr>
          <w:tcW w:w="3005" w:type="dxa"/>
        </w:tcPr>
        <w:p w14:paraId="68FCD46D" w14:textId="77777777" w:rsidR="43DFB85E" w:rsidRDefault="43DFB85E" w:rsidP="43DFB85E">
          <w:pPr>
            <w:pStyle w:val="Intestazione"/>
            <w:jc w:val="center"/>
          </w:pPr>
        </w:p>
      </w:tc>
      <w:tc>
        <w:tcPr>
          <w:tcW w:w="3005" w:type="dxa"/>
        </w:tcPr>
        <w:p w14:paraId="466E4FC2" w14:textId="77777777" w:rsidR="43DFB85E" w:rsidRDefault="43DFB85E" w:rsidP="43DFB85E">
          <w:pPr>
            <w:pStyle w:val="Intestazione"/>
            <w:ind w:right="-115"/>
            <w:jc w:val="right"/>
          </w:pPr>
        </w:p>
      </w:tc>
    </w:tr>
  </w:tbl>
  <w:p w14:paraId="62DCFA7B" w14:textId="77777777" w:rsidR="43DFB85E" w:rsidRDefault="43DFB85E" w:rsidP="43DFB85E">
    <w:pPr>
      <w:pStyle w:val="Intestazion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p9ufc6e8sAMvo" int2:id="95oEG2ET">
      <int2:state int2:value="Rejected" int2:type="LegacyProofing"/>
    </int2:textHash>
    <int2:textHash int2:hashCode="fxyYLoNaaJWYWb" int2:id="GBTZu98H">
      <int2:state int2:value="Rejected" int2:type="LegacyProofing"/>
    </int2:textHash>
    <int2:textHash int2:hashCode="JSxRhgMndhkPtM" int2:id="KwouhxvE">
      <int2:state int2:value="Rejected" int2:type="LegacyProofing"/>
    </int2:textHash>
    <int2:textHash int2:hashCode="Lj0hAsoB3BoPrp" int2:id="WsCzN3AY">
      <int2:state int2:value="Rejected" int2:type="LegacyProofing"/>
    </int2:textHash>
    <int2:textHash int2:hashCode="bzexPwSSXqMp8+" int2:id="hQkugfjp">
      <int2:state int2:value="Rejected" int2:type="LegacyProofing"/>
    </int2:textHash>
    <int2:textHash int2:hashCode="xokLsADdR8VoBa" int2:id="kT2p26tF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71B56"/>
    <w:multiLevelType w:val="multilevel"/>
    <w:tmpl w:val="BC048F32"/>
    <w:lvl w:ilvl="0">
      <w:start w:val="1"/>
      <w:numFmt w:val="decimal"/>
      <w:lvlText w:val="%1."/>
      <w:lvlJc w:val="left"/>
      <w:pPr>
        <w:ind w:left="360" w:hanging="360"/>
      </w:pPr>
      <w:rPr>
        <w:color w:val="193F81"/>
        <w:vertAlign w:val="baseline"/>
      </w:rPr>
    </w:lvl>
    <w:lvl w:ilvl="1">
      <w:start w:val="1"/>
      <w:numFmt w:val="decimal"/>
      <w:lvlText w:val="%1.%2."/>
      <w:lvlJc w:val="left"/>
      <w:pPr>
        <w:ind w:left="567" w:hanging="283"/>
      </w:pPr>
      <w:rPr>
        <w:color w:val="193F81"/>
        <w:vertAlign w:val="baseline"/>
      </w:rPr>
    </w:lvl>
    <w:lvl w:ilvl="2">
      <w:start w:val="1"/>
      <w:numFmt w:val="decimal"/>
      <w:lvlText w:val="%1.%2.%3."/>
      <w:lvlJc w:val="left"/>
      <w:pPr>
        <w:ind w:left="851" w:hanging="28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 w16cid:durableId="8415034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46987B"/>
    <w:rsid w:val="00084F84"/>
    <w:rsid w:val="000A3023"/>
    <w:rsid w:val="000A3524"/>
    <w:rsid w:val="000C1118"/>
    <w:rsid w:val="000C3DB9"/>
    <w:rsid w:val="00122EC4"/>
    <w:rsid w:val="001C1FE6"/>
    <w:rsid w:val="001D3757"/>
    <w:rsid w:val="001E3FAF"/>
    <w:rsid w:val="001E5039"/>
    <w:rsid w:val="001F5815"/>
    <w:rsid w:val="002104C2"/>
    <w:rsid w:val="00212726"/>
    <w:rsid w:val="00254BAF"/>
    <w:rsid w:val="00274D59"/>
    <w:rsid w:val="002A2FC6"/>
    <w:rsid w:val="002C5605"/>
    <w:rsid w:val="002D21C2"/>
    <w:rsid w:val="002E2620"/>
    <w:rsid w:val="002F76DC"/>
    <w:rsid w:val="0030176B"/>
    <w:rsid w:val="003203EC"/>
    <w:rsid w:val="00345B59"/>
    <w:rsid w:val="00352489"/>
    <w:rsid w:val="00371E1C"/>
    <w:rsid w:val="003B2DFB"/>
    <w:rsid w:val="003B4C6A"/>
    <w:rsid w:val="003D490E"/>
    <w:rsid w:val="003D4A5A"/>
    <w:rsid w:val="003E19C1"/>
    <w:rsid w:val="00437481"/>
    <w:rsid w:val="00450944"/>
    <w:rsid w:val="004A395A"/>
    <w:rsid w:val="004B1EB9"/>
    <w:rsid w:val="004F69EF"/>
    <w:rsid w:val="005376DC"/>
    <w:rsid w:val="00586EFD"/>
    <w:rsid w:val="005B77EB"/>
    <w:rsid w:val="005D26C6"/>
    <w:rsid w:val="006358A7"/>
    <w:rsid w:val="00676BD5"/>
    <w:rsid w:val="00684660"/>
    <w:rsid w:val="006C2204"/>
    <w:rsid w:val="00703D9F"/>
    <w:rsid w:val="0074116C"/>
    <w:rsid w:val="0074179F"/>
    <w:rsid w:val="00781124"/>
    <w:rsid w:val="00781F51"/>
    <w:rsid w:val="00793C29"/>
    <w:rsid w:val="007A574D"/>
    <w:rsid w:val="007B0C50"/>
    <w:rsid w:val="007E53B1"/>
    <w:rsid w:val="007E5A52"/>
    <w:rsid w:val="007F5056"/>
    <w:rsid w:val="007F64B5"/>
    <w:rsid w:val="00826649"/>
    <w:rsid w:val="00834FA0"/>
    <w:rsid w:val="0084055A"/>
    <w:rsid w:val="00840DF5"/>
    <w:rsid w:val="008933BB"/>
    <w:rsid w:val="008B600B"/>
    <w:rsid w:val="008D5F18"/>
    <w:rsid w:val="008F3809"/>
    <w:rsid w:val="00906809"/>
    <w:rsid w:val="009144FC"/>
    <w:rsid w:val="00943753"/>
    <w:rsid w:val="00981677"/>
    <w:rsid w:val="0099707E"/>
    <w:rsid w:val="009B4570"/>
    <w:rsid w:val="009C56CA"/>
    <w:rsid w:val="009D744C"/>
    <w:rsid w:val="009F2ED4"/>
    <w:rsid w:val="00A03C76"/>
    <w:rsid w:val="00A051D1"/>
    <w:rsid w:val="00A17474"/>
    <w:rsid w:val="00A53749"/>
    <w:rsid w:val="00A56B13"/>
    <w:rsid w:val="00AA1D46"/>
    <w:rsid w:val="00AA5421"/>
    <w:rsid w:val="00AB5BBF"/>
    <w:rsid w:val="00AC2840"/>
    <w:rsid w:val="00AC79CB"/>
    <w:rsid w:val="00AE24CE"/>
    <w:rsid w:val="00B77E00"/>
    <w:rsid w:val="00B94951"/>
    <w:rsid w:val="00B96DA0"/>
    <w:rsid w:val="00BD2705"/>
    <w:rsid w:val="00BF2277"/>
    <w:rsid w:val="00C40E32"/>
    <w:rsid w:val="00C546F2"/>
    <w:rsid w:val="00CB6724"/>
    <w:rsid w:val="00CD5AF7"/>
    <w:rsid w:val="00CE5ADD"/>
    <w:rsid w:val="00CE7E85"/>
    <w:rsid w:val="00CF02B6"/>
    <w:rsid w:val="00D06062"/>
    <w:rsid w:val="00D11059"/>
    <w:rsid w:val="00D27345"/>
    <w:rsid w:val="00D27F61"/>
    <w:rsid w:val="00D63CEB"/>
    <w:rsid w:val="00D65F97"/>
    <w:rsid w:val="00D73D4F"/>
    <w:rsid w:val="00D77A5B"/>
    <w:rsid w:val="00DE1433"/>
    <w:rsid w:val="00DF088A"/>
    <w:rsid w:val="00DF3162"/>
    <w:rsid w:val="00DF41BC"/>
    <w:rsid w:val="00E0113B"/>
    <w:rsid w:val="00E92EE2"/>
    <w:rsid w:val="00E9695C"/>
    <w:rsid w:val="00EA4D2F"/>
    <w:rsid w:val="00EC1A06"/>
    <w:rsid w:val="00F02EC1"/>
    <w:rsid w:val="00F3584E"/>
    <w:rsid w:val="00F3641D"/>
    <w:rsid w:val="00F402E8"/>
    <w:rsid w:val="00F77CEF"/>
    <w:rsid w:val="00FB2243"/>
    <w:rsid w:val="00FB4BBA"/>
    <w:rsid w:val="00FF094F"/>
    <w:rsid w:val="41EA51B6"/>
    <w:rsid w:val="43DFB85E"/>
    <w:rsid w:val="4746987B"/>
    <w:rsid w:val="653C67BD"/>
    <w:rsid w:val="7BA7A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2CAB6"/>
  <w15:chartTrackingRefBased/>
  <w15:docId w15:val="{1347B99A-C2EB-4D4F-94C0-C75683C1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43DFB85E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43DFB8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43DFB8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43DFB8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43DFB8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43DFB8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43DFB8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43DFB8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43DFB8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43DFB8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43DFB85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43DFB85E"/>
    <w:rPr>
      <w:rFonts w:eastAsiaTheme="minorEastAsia"/>
      <w:color w:val="5A5A5A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43DFB8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43DFB85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43DFB85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43DFB85E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43DFB85E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43DFB85E"/>
    <w:rPr>
      <w:rFonts w:asciiTheme="majorHAnsi" w:eastAsiaTheme="majorEastAsia" w:hAnsiTheme="majorHAnsi" w:cstheme="majorBidi"/>
      <w:noProof w:val="0"/>
      <w:color w:val="1F3763"/>
      <w:sz w:val="24"/>
      <w:szCs w:val="24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43DFB85E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43DFB85E"/>
    <w:rPr>
      <w:rFonts w:asciiTheme="majorHAnsi" w:eastAsiaTheme="majorEastAsia" w:hAnsiTheme="majorHAnsi" w:cstheme="majorBidi"/>
      <w:noProof w:val="0"/>
      <w:color w:val="2F5496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43DFB85E"/>
    <w:rPr>
      <w:rFonts w:asciiTheme="majorHAnsi" w:eastAsiaTheme="majorEastAsia" w:hAnsiTheme="majorHAnsi" w:cstheme="majorBidi"/>
      <w:noProof w:val="0"/>
      <w:color w:val="1F3763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43DFB85E"/>
    <w:rPr>
      <w:rFonts w:asciiTheme="majorHAnsi" w:eastAsiaTheme="majorEastAsia" w:hAnsiTheme="majorHAnsi" w:cstheme="majorBidi"/>
      <w:i/>
      <w:iCs/>
      <w:noProof w:val="0"/>
      <w:color w:val="1F3763"/>
      <w:lang w:val="it-IT"/>
    </w:rPr>
  </w:style>
  <w:style w:type="character" w:customStyle="1" w:styleId="Titolo8Carattere">
    <w:name w:val="Titolo 8 Carattere"/>
    <w:basedOn w:val="Carpredefinitoparagrafo"/>
    <w:link w:val="Titolo8"/>
    <w:uiPriority w:val="9"/>
    <w:rsid w:val="43DFB85E"/>
    <w:rPr>
      <w:rFonts w:asciiTheme="majorHAnsi" w:eastAsiaTheme="majorEastAsia" w:hAnsiTheme="majorHAnsi" w:cstheme="majorBidi"/>
      <w:noProof w:val="0"/>
      <w:color w:val="272727"/>
      <w:sz w:val="21"/>
      <w:szCs w:val="21"/>
      <w:lang w:val="it-IT"/>
    </w:rPr>
  </w:style>
  <w:style w:type="character" w:customStyle="1" w:styleId="Titolo9Carattere">
    <w:name w:val="Titolo 9 Carattere"/>
    <w:basedOn w:val="Carpredefinitoparagrafo"/>
    <w:link w:val="Titolo9"/>
    <w:uiPriority w:val="9"/>
    <w:rsid w:val="43DFB85E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43DFB85E"/>
    <w:rPr>
      <w:rFonts w:asciiTheme="majorHAnsi" w:eastAsiaTheme="majorEastAsia" w:hAnsiTheme="majorHAnsi" w:cstheme="majorBidi"/>
      <w:noProof w:val="0"/>
      <w:sz w:val="56"/>
      <w:szCs w:val="56"/>
      <w:lang w:val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43DFB85E"/>
    <w:rPr>
      <w:rFonts w:eastAsiaTheme="minorEastAsia"/>
      <w:color w:val="5A5A5A"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43DFB85E"/>
    <w:rPr>
      <w:i/>
      <w:iCs/>
      <w:noProof w:val="0"/>
      <w:color w:val="404040" w:themeColor="text1" w:themeTint="BF"/>
      <w:lang w:val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43DFB85E"/>
    <w:rPr>
      <w:i/>
      <w:iCs/>
      <w:noProof w:val="0"/>
      <w:color w:val="4472C4" w:themeColor="accent1"/>
      <w:lang w:val="it-IT"/>
    </w:rPr>
  </w:style>
  <w:style w:type="paragraph" w:styleId="Sommario1">
    <w:name w:val="toc 1"/>
    <w:basedOn w:val="Normale"/>
    <w:next w:val="Normale"/>
    <w:uiPriority w:val="39"/>
    <w:unhideWhenUsed/>
    <w:rsid w:val="43DFB85E"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rsid w:val="43DFB85E"/>
    <w:pPr>
      <w:spacing w:after="100"/>
      <w:ind w:left="220"/>
    </w:pPr>
  </w:style>
  <w:style w:type="paragraph" w:styleId="Sommario3">
    <w:name w:val="toc 3"/>
    <w:basedOn w:val="Normale"/>
    <w:next w:val="Normale"/>
    <w:uiPriority w:val="39"/>
    <w:unhideWhenUsed/>
    <w:rsid w:val="43DFB85E"/>
    <w:pPr>
      <w:spacing w:after="100"/>
      <w:ind w:left="440"/>
    </w:pPr>
  </w:style>
  <w:style w:type="paragraph" w:styleId="Sommario4">
    <w:name w:val="toc 4"/>
    <w:basedOn w:val="Normale"/>
    <w:next w:val="Normale"/>
    <w:uiPriority w:val="39"/>
    <w:unhideWhenUsed/>
    <w:rsid w:val="43DFB85E"/>
    <w:pPr>
      <w:spacing w:after="100"/>
      <w:ind w:left="660"/>
    </w:pPr>
  </w:style>
  <w:style w:type="paragraph" w:styleId="Sommario5">
    <w:name w:val="toc 5"/>
    <w:basedOn w:val="Normale"/>
    <w:next w:val="Normale"/>
    <w:uiPriority w:val="39"/>
    <w:unhideWhenUsed/>
    <w:rsid w:val="43DFB85E"/>
    <w:pPr>
      <w:spacing w:after="100"/>
      <w:ind w:left="880"/>
    </w:pPr>
  </w:style>
  <w:style w:type="paragraph" w:styleId="Sommario6">
    <w:name w:val="toc 6"/>
    <w:basedOn w:val="Normale"/>
    <w:next w:val="Normale"/>
    <w:uiPriority w:val="39"/>
    <w:unhideWhenUsed/>
    <w:rsid w:val="43DFB85E"/>
    <w:pPr>
      <w:spacing w:after="100"/>
      <w:ind w:left="1100"/>
    </w:pPr>
  </w:style>
  <w:style w:type="paragraph" w:styleId="Sommario7">
    <w:name w:val="toc 7"/>
    <w:basedOn w:val="Normale"/>
    <w:next w:val="Normale"/>
    <w:uiPriority w:val="39"/>
    <w:unhideWhenUsed/>
    <w:rsid w:val="43DFB85E"/>
    <w:pPr>
      <w:spacing w:after="100"/>
      <w:ind w:left="1320"/>
    </w:pPr>
  </w:style>
  <w:style w:type="paragraph" w:styleId="Sommario8">
    <w:name w:val="toc 8"/>
    <w:basedOn w:val="Normale"/>
    <w:next w:val="Normale"/>
    <w:uiPriority w:val="39"/>
    <w:unhideWhenUsed/>
    <w:rsid w:val="43DFB85E"/>
    <w:pPr>
      <w:spacing w:after="100"/>
      <w:ind w:left="1540"/>
    </w:pPr>
  </w:style>
  <w:style w:type="paragraph" w:styleId="Sommario9">
    <w:name w:val="toc 9"/>
    <w:basedOn w:val="Normale"/>
    <w:next w:val="Normale"/>
    <w:uiPriority w:val="39"/>
    <w:unhideWhenUsed/>
    <w:rsid w:val="43DFB85E"/>
    <w:pPr>
      <w:spacing w:after="100"/>
      <w:ind w:left="1760"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43DFB85E"/>
    <w:pPr>
      <w:spacing w:after="0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43DFB85E"/>
    <w:rPr>
      <w:noProof w:val="0"/>
      <w:sz w:val="20"/>
      <w:szCs w:val="20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43DFB85E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43DFB85E"/>
    <w:rPr>
      <w:noProof w:val="0"/>
      <w:lang w:val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43DFB85E"/>
    <w:pPr>
      <w:spacing w:after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43DFB85E"/>
    <w:rPr>
      <w:noProof w:val="0"/>
      <w:sz w:val="20"/>
      <w:szCs w:val="20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43DFB85E"/>
    <w:pPr>
      <w:tabs>
        <w:tab w:val="center" w:pos="4680"/>
        <w:tab w:val="right" w:pos="9360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43DFB85E"/>
    <w:rPr>
      <w:noProof w:val="0"/>
      <w:lang w:val="it-IT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agriglia4-colore1">
    <w:name w:val="Grid Table 4 Accent 1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one">
    <w:name w:val="Revision"/>
    <w:hidden/>
    <w:uiPriority w:val="99"/>
    <w:semiHidden/>
    <w:rsid w:val="002A2FC6"/>
    <w:pPr>
      <w:spacing w:after="0" w:line="240" w:lineRule="auto"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7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Dorijan Di Zepp</dc:creator>
  <cp:keywords/>
  <dc:description/>
  <cp:lastModifiedBy>Dorijan Di Zepp</cp:lastModifiedBy>
  <cp:revision>1</cp:revision>
  <dcterms:created xsi:type="dcterms:W3CDTF">2022-10-24T13:35:00Z</dcterms:created>
  <dcterms:modified xsi:type="dcterms:W3CDTF">2022-10-24T13:36:00Z</dcterms:modified>
</cp:coreProperties>
</file>