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C7499" w14:textId="7DF6FF26" w:rsidR="00355E7E" w:rsidRPr="00355E7E" w:rsidRDefault="00355E7E" w:rsidP="00355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E7E">
        <w:rPr>
          <w:rFonts w:ascii="Times New Roman" w:eastAsia="Times New Roman" w:hAnsi="Times New Roman" w:cs="Times New Roman"/>
          <w:b/>
          <w:bCs/>
          <w:kern w:val="0"/>
          <w:sz w:val="27"/>
          <w:szCs w:val="27"/>
          <w14:ligatures w14:val="none"/>
        </w:rPr>
        <w:t>Semih — Introduction  </w:t>
      </w:r>
    </w:p>
    <w:p w14:paraId="5801E07B"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5B0DB2C9"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Bonjour !</w:t>
      </w:r>
    </w:p>
    <w:p w14:paraId="3790BCA2"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Dans cette vidéo, on parle de Renault, un constructeur automobile français majeur, et de la manière dont le groupe réduit ses émissions pour aller vers une mobilité plus propre. Aujourd’hui, toutes les entreprises doivent baisser leur impact environnemental ; chez Renault, ça veut dire faire évoluer la façon de concevoir, produire et accompagner l’usage des véhicules pour réduire les émissions sur tout le cycle de vie.</w:t>
      </w:r>
    </w:p>
    <w:p w14:paraId="46A1771B"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Notre question est simple : comment Renault limite-t-elle son empreinte carbone et progresse-t-elle vers une mobilité durable ?</w:t>
      </w:r>
    </w:p>
    <w:p w14:paraId="3B6321FF"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Pour y répondre, on replacera d’abord Renault dans son histoire, puis on verra les chiffres clés de son empreinte, avant de détailler les actions engagées.</w:t>
      </w:r>
    </w:p>
    <w:p w14:paraId="651C0FA6"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(On s’appuie principalement sur le site Renault Group – rubriques “History” et “Magazine” – et sur la page Wikipédia “Renault”. Les chiffres d’émissions proviennent de Orki.green, et pour le volet industriel, LeMagIT décrit bien l’efficacité énergétique des usines.)</w:t>
      </w:r>
    </w:p>
    <w:p w14:paraId="00912F3F"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5CCE327E"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w:t>
      </w:r>
    </w:p>
    <w:p w14:paraId="6D73E4DD"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121FD678" w14:textId="37361957" w:rsidR="00355E7E" w:rsidRPr="00355E7E" w:rsidRDefault="00355E7E" w:rsidP="00355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E7E">
        <w:rPr>
          <w:rFonts w:ascii="Times New Roman" w:eastAsia="Times New Roman" w:hAnsi="Times New Roman" w:cs="Times New Roman"/>
          <w:b/>
          <w:bCs/>
          <w:kern w:val="0"/>
          <w:sz w:val="27"/>
          <w:szCs w:val="27"/>
          <w14:ligatures w14:val="none"/>
        </w:rPr>
        <w:t>Badre — Le Groupe Renault : identité et positionnement</w:t>
      </w:r>
    </w:p>
    <w:p w14:paraId="6A736786"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685766C7"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L’histoire de Renault commence en 1898 avec Louis Renault et ses frères. L’entreprise se distingue rapidement par l’innovation et la compétition automobile, comme le rappellent les pages “History” de Renault Group. Nationalisée en 1945, elle marque les Trente Glorieuses avec des modèles populaires comme la 4CV, la R4 ou la R5.</w:t>
      </w:r>
    </w:p>
    <w:p w14:paraId="7C0EDE18"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La privatisation en 1996 ouvre une nouvelle ère, concrétisée par l’Alliance avec Nissan en 1999 et l’acquisition de Dacia. La période 2005–2012 voit le groupe se recentrer sur la rentabilité et devenir un pionnier de l’investissement dans le véhicule électrique, avec des modèles comme la ZOE et le Kangoo Z.E. — selon Renault Group, encore une fois.  </w:t>
      </w:r>
    </w:p>
    <w:p w14:paraId="616B3DF2"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6A345716"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En 2025, Renault est un pilier de l’Alliance Renault-Nissan-Mitsubishi. En 2024, le groupe a vendu 2,26 millions de véhicules pour un chiffre d’affaires de 56,2 milliards d’euros. Son activité s’articule autour de quatre marques : Renault, Dacia, Alpine et Mobilize. La stratégie “Renaulution” vise à repositionner les marques, avec un accent majeur sur l’électrification et l’expansion internationale — selon Renault Group, encore une fois.  </w:t>
      </w:r>
    </w:p>
    <w:p w14:paraId="74FDCF97"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4811C393"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Le rapport souligne aussi les défis : concurrence accrue, coûts élevés de la transition électrique et réorganisation industrielle. Pour piloter ses activités, le groupe s’appuie sur des systèmes d’information robustes : un CRM avec Salesforce Service Cloud, un ERP basé sur SAP S/4HANA, et un système SRM / DMS Autologica pour la relation fournisseurs et concessionnaires, comme le détaillent LeMondeInformatique, LeMagIT et Autologica.  </w:t>
      </w:r>
    </w:p>
    <w:p w14:paraId="6C88B1A5"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5313FF93"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w:t>
      </w:r>
    </w:p>
    <w:p w14:paraId="4140952D"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65A7B2F7" w14:textId="3176EB2F" w:rsidR="00355E7E" w:rsidRPr="00355E7E" w:rsidRDefault="00355E7E" w:rsidP="00355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E7E">
        <w:rPr>
          <w:rFonts w:ascii="Times New Roman" w:eastAsia="Times New Roman" w:hAnsi="Times New Roman" w:cs="Times New Roman"/>
          <w:b/>
          <w:bCs/>
          <w:kern w:val="0"/>
          <w:sz w:val="27"/>
          <w:szCs w:val="27"/>
          <w14:ligatures w14:val="none"/>
        </w:rPr>
        <w:t xml:space="preserve">Abd — L’empreinte carbone et l’empreinte numérique </w:t>
      </w:r>
    </w:p>
    <w:p w14:paraId="6D89A2D7"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54390EA3"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En 2021, le bilan carbone complet du Groupe Renault est estimé à 67,97 millions de tonnes équivalent CO₂. Ce chiffre inclut les Scopes 1, 2 et 3, c’est-à-dire l’ensemble des émissions, de la fabrication jusqu’à l’utilisation des véhicules — d’après Orki.green.  </w:t>
      </w:r>
    </w:p>
    <w:p w14:paraId="2BF358B6"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319EFB43"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L’analyse de cette empreinte montre une dépendance très forte à l’usage des véhicules : 81 % des émissions viennent de l’utilisation des véhicules vendus, environ 11 % de la fabrication des matériaux (acier, aluminium, plastiques), et le reste des activités industrielles, de la logistique et du support — selon Orki.green, encore une fois. Cette répartition confirme que le levier de décarbonation le plus important se situe dans la réduction des émissions à l’usage, même si les matériaux et les usines restent des enjeux majeurs.  </w:t>
      </w:r>
    </w:p>
    <w:p w14:paraId="3B19F535"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6DE0D11C"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Au-delà de ça, le rapport met en avant un enjeu plus récent : l’empreinte carbone numérique. À l’échelle mondiale, le numérique représente déjà environ 3 à 4 % des émissions de gaz à effet de serre, selon le Sénat et The Shift Project. Pour un constructeur comme Renault, cette empreinte se situe à plusieurs niveaux : data centers utilisés pour la R&amp;D, les systèmes d’information et les services connectés ; fabrication des composants électroniques (semi-conducteurs, capteurs, batteries) ; et usage des véhicules connectés, qui génèrent un flux permanent de données. Renault ne publie pas encore de chiffre consolidé sur ce point, mais votre rapport insiste sur le fait que c’est un enjeu de décarbonation émergent pour les années à venir.    </w:t>
      </w:r>
    </w:p>
    <w:p w14:paraId="64C31DB9"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2C583A78"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w:t>
      </w:r>
    </w:p>
    <w:p w14:paraId="4FC7D586"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40575DE8" w14:textId="5A0891BC" w:rsidR="00355E7E" w:rsidRPr="00355E7E" w:rsidRDefault="00355E7E" w:rsidP="00355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5E7E">
        <w:rPr>
          <w:rFonts w:ascii="Times New Roman" w:eastAsia="Times New Roman" w:hAnsi="Times New Roman" w:cs="Times New Roman"/>
          <w:b/>
          <w:bCs/>
          <w:kern w:val="0"/>
          <w:sz w:val="27"/>
          <w:szCs w:val="27"/>
          <w14:ligatures w14:val="none"/>
        </w:rPr>
        <w:t xml:space="preserve">Nassim — Stratégies de réduction et conclusion </w:t>
      </w:r>
    </w:p>
    <w:p w14:paraId="72BA5A28"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7221984E"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Pour répondre à ces enjeux, Renault adopte une approche “du berceau à la tombe”, c’est-à-dire une vision cycle de vie complet du véhicule. Le groupe vise la neutralité carbone en Europe d’ici 2040, puis à l’échelle mondiale d’ici 2050 — selon Renault Group.  </w:t>
      </w:r>
    </w:p>
    <w:p w14:paraId="0DDCD835"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6C5F2412"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Un premier axe majeur, c’est l’électrification de la gamme. Sachant que 81 % des émissions viennent de l’usage, Renault priorise logiquement le développement de véhicules 100 % électriques (BEV) et hybrides. L’idée est de réduire fortement les émissions du Scope 3 aval, c’est-à-dire après la vente, quand les véhicules roulent — selon Renault Group Magazine, encore une fois.  </w:t>
      </w:r>
    </w:p>
    <w:p w14:paraId="18F7B6EF"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7231B3FB"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En parallèle, le groupe s’attaque à la décarbonation de la production et surtout au défi des matériaux. Les Scopes 1 et 2 concernent les usines et l’énergie utilisée, avec des actions sur l’efficacité énergétique et le recours croissant aux énergies renouvelables, comme le décrit LeMagIT. Mais le défi le plus complexe est le Scope 3 amont, c’est-à-dire les matériaux, qui représentent environ 11 % de l’empreinte. Ce poste dépend des fournisseurs et de la transformation d’industries lourdes comme la sidérurgie ou l’aluminium. Des travaux de Carbone 4 et de l’acieriste SSAB montrent que produire de l’acier “vert” ou de l’aluminium bas-carbone reste coûteux et difficile. Renault se fixe pourtant un objectif ambitieux : –30 % de CO₂ par kilogramme de matériau d’ici 2030 — selon Renault Group, encore une fois.    </w:t>
      </w:r>
    </w:p>
    <w:p w14:paraId="77D2971F"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64FC7287"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 xml:space="preserve">Enfin, le rapport met en avant l’économie circulaire comme véritable levier. Avec sa filiale “The Future is NEUTRAL”, Renault cherche à réparer davantage, à réemployer des pièces et à recycler les matériaux en fin de vie, pour réduire le recours aux matières premières vierges. Cette stratégie permet de diminuer l’impact global tout en créant de nouvelles activités autour du recyclage — selon Renault Group, encore une fois.  </w:t>
      </w:r>
    </w:p>
    <w:p w14:paraId="43C27F08"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p>
    <w:p w14:paraId="17903584" w14:textId="77777777" w:rsidR="00355E7E" w:rsidRPr="00355E7E" w:rsidRDefault="00355E7E" w:rsidP="00355E7E">
      <w:pPr>
        <w:spacing w:before="100" w:beforeAutospacing="1" w:after="100" w:afterAutospacing="1" w:line="240" w:lineRule="auto"/>
        <w:rPr>
          <w:rFonts w:ascii="Times New Roman" w:hAnsi="Times New Roman" w:cs="Times New Roman"/>
          <w:kern w:val="0"/>
          <w14:ligatures w14:val="none"/>
        </w:rPr>
      </w:pPr>
      <w:r w:rsidRPr="00355E7E">
        <w:rPr>
          <w:rFonts w:ascii="Times New Roman" w:hAnsi="Times New Roman" w:cs="Times New Roman"/>
          <w:kern w:val="0"/>
          <w14:ligatures w14:val="none"/>
        </w:rPr>
        <w:t>En conclusion, votre rapport souligne que si l’électrification et l’optimisation des usines sont des leviers que Renault peut piloter en interne, la vraie complexité se situe dans la décarbonation du Scope 3 amont, donc des matériaux. Pour atteindre ses objectifs de neutralité carbone, Renault devra probablement aller plus loin que le simple rôle d’acheteur : nouer des partenariats de long terme avec des producteurs d’acier et d’aluminium bas-carbone, co-investir dans des technologies de recyclage, et renforcer la traçabilité et les exigences carbone auprès de ses fournisseurs. C’est en agissant comme un architecte de la décarbonation de toute sa chaîne de valeur que le groupe pourra vraiment réconcilier industrie et écologie, comme le conclut votre dossier.  </w:t>
      </w:r>
    </w:p>
    <w:p w14:paraId="1BF792CD" w14:textId="77777777" w:rsidR="00355E7E" w:rsidRDefault="00355E7E"/>
    <w:sectPr w:rsidR="00355E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E7E"/>
    <w:rsid w:val="00355E7E"/>
    <w:rsid w:val="004042C0"/>
    <w:rsid w:val="004270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CD5DE24"/>
  <w15:chartTrackingRefBased/>
  <w15:docId w15:val="{C206BAB0-8E95-EF49-A2CF-28EE4E0A8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5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5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55E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5E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5E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5E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5E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5E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5E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5E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5E7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5E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5E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5E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5E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5E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5E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5E7E"/>
    <w:rPr>
      <w:rFonts w:eastAsiaTheme="majorEastAsia" w:cstheme="majorBidi"/>
      <w:color w:val="272727" w:themeColor="text1" w:themeTint="D8"/>
    </w:rPr>
  </w:style>
  <w:style w:type="paragraph" w:styleId="Titre">
    <w:name w:val="Title"/>
    <w:basedOn w:val="Normal"/>
    <w:next w:val="Normal"/>
    <w:link w:val="TitreCar"/>
    <w:uiPriority w:val="10"/>
    <w:qFormat/>
    <w:rsid w:val="00355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5E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5E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5E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5E7E"/>
    <w:pPr>
      <w:spacing w:before="160"/>
      <w:jc w:val="center"/>
    </w:pPr>
    <w:rPr>
      <w:i/>
      <w:iCs/>
      <w:color w:val="404040" w:themeColor="text1" w:themeTint="BF"/>
    </w:rPr>
  </w:style>
  <w:style w:type="character" w:customStyle="1" w:styleId="CitationCar">
    <w:name w:val="Citation Car"/>
    <w:basedOn w:val="Policepardfaut"/>
    <w:link w:val="Citation"/>
    <w:uiPriority w:val="29"/>
    <w:rsid w:val="00355E7E"/>
    <w:rPr>
      <w:i/>
      <w:iCs/>
      <w:color w:val="404040" w:themeColor="text1" w:themeTint="BF"/>
    </w:rPr>
  </w:style>
  <w:style w:type="paragraph" w:styleId="Paragraphedeliste">
    <w:name w:val="List Paragraph"/>
    <w:basedOn w:val="Normal"/>
    <w:uiPriority w:val="34"/>
    <w:qFormat/>
    <w:rsid w:val="00355E7E"/>
    <w:pPr>
      <w:ind w:left="720"/>
      <w:contextualSpacing/>
    </w:pPr>
  </w:style>
  <w:style w:type="character" w:styleId="Accentuationintense">
    <w:name w:val="Intense Emphasis"/>
    <w:basedOn w:val="Policepardfaut"/>
    <w:uiPriority w:val="21"/>
    <w:qFormat/>
    <w:rsid w:val="00355E7E"/>
    <w:rPr>
      <w:i/>
      <w:iCs/>
      <w:color w:val="0F4761" w:themeColor="accent1" w:themeShade="BF"/>
    </w:rPr>
  </w:style>
  <w:style w:type="paragraph" w:styleId="Citationintense">
    <w:name w:val="Intense Quote"/>
    <w:basedOn w:val="Normal"/>
    <w:next w:val="Normal"/>
    <w:link w:val="CitationintenseCar"/>
    <w:uiPriority w:val="30"/>
    <w:qFormat/>
    <w:rsid w:val="00355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5E7E"/>
    <w:rPr>
      <w:i/>
      <w:iCs/>
      <w:color w:val="0F4761" w:themeColor="accent1" w:themeShade="BF"/>
    </w:rPr>
  </w:style>
  <w:style w:type="character" w:styleId="Rfrenceintense">
    <w:name w:val="Intense Reference"/>
    <w:basedOn w:val="Policepardfaut"/>
    <w:uiPriority w:val="32"/>
    <w:qFormat/>
    <w:rsid w:val="00355E7E"/>
    <w:rPr>
      <w:b/>
      <w:bCs/>
      <w:smallCaps/>
      <w:color w:val="0F4761" w:themeColor="accent1" w:themeShade="BF"/>
      <w:spacing w:val="5"/>
    </w:rPr>
  </w:style>
  <w:style w:type="character" w:customStyle="1" w:styleId="s1">
    <w:name w:val="s1"/>
    <w:basedOn w:val="Policepardfaut"/>
    <w:rsid w:val="00355E7E"/>
  </w:style>
  <w:style w:type="character" w:customStyle="1" w:styleId="apple-converted-space">
    <w:name w:val="apple-converted-space"/>
    <w:basedOn w:val="Policepardfaut"/>
    <w:rsid w:val="00355E7E"/>
  </w:style>
  <w:style w:type="paragraph" w:customStyle="1" w:styleId="p2">
    <w:name w:val="p2"/>
    <w:basedOn w:val="Normal"/>
    <w:rsid w:val="00355E7E"/>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olicepardfaut"/>
    <w:rsid w:val="00355E7E"/>
  </w:style>
  <w:style w:type="paragraph" w:customStyle="1" w:styleId="p3">
    <w:name w:val="p3"/>
    <w:basedOn w:val="Normal"/>
    <w:rsid w:val="00355E7E"/>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Policepardfaut"/>
    <w:rsid w:val="00355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1070</Words>
  <Characters>5885</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CAKAR</dc:creator>
  <cp:keywords/>
  <dc:description/>
  <cp:lastModifiedBy>CAKAR</cp:lastModifiedBy>
  <cp:revision>2</cp:revision>
  <dcterms:created xsi:type="dcterms:W3CDTF">2025-11-09T17:59:00Z</dcterms:created>
  <dcterms:modified xsi:type="dcterms:W3CDTF">2025-11-09T17:59:00Z</dcterms:modified>
</cp:coreProperties>
</file>