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0CC" w:rsidRDefault="00C170CC" w:rsidP="00C170CC">
      <w:pPr>
        <w:pStyle w:val="NormalWeb"/>
      </w:pPr>
      <w:r>
        <w:t xml:space="preserve">To build a comprehensive nursing home management software (commonly referred to as an </w:t>
      </w:r>
      <w:r>
        <w:rPr>
          <w:b/>
          <w:bCs/>
        </w:rPr>
        <w:t>EHR/EMR &amp; ERP system for Long-Term Care</w:t>
      </w:r>
      <w:r>
        <w:t>), the platform must be divided into interconnected core modules that seamlessly share data.</w:t>
      </w:r>
    </w:p>
    <w:p w:rsidR="00C170CC" w:rsidRDefault="00C170CC" w:rsidP="00C170CC">
      <w:pPr>
        <w:pStyle w:val="NormalWeb"/>
      </w:pPr>
      <w:r>
        <w:t>Below is the architectural breakdown of these core modules, categorized into 4 primary functional groups:</w:t>
      </w:r>
      <w:bookmarkStart w:id="0" w:name="_GoBack"/>
      <w:bookmarkEnd w:id="0"/>
    </w:p>
    <w:p w:rsidR="00C170CC" w:rsidRDefault="00C170CC" w:rsidP="00C170CC">
      <w:pPr>
        <w:pStyle w:val="Heading2"/>
      </w:pPr>
      <w:r>
        <w:t>I. Clinical &amp; Resident Care Group</w:t>
      </w:r>
    </w:p>
    <w:p w:rsidR="00C170CC" w:rsidRDefault="00C170CC" w:rsidP="00C170CC">
      <w:pPr>
        <w:pStyle w:val="NormalWeb"/>
      </w:pPr>
      <w:r>
        <w:t>This is the "heart" of the system, where nurses, physicians, and certified nursing assistants (CNAs) interact on a daily basis.</w:t>
      </w:r>
    </w:p>
    <w:p w:rsidR="00C170CC" w:rsidRDefault="00C170CC" w:rsidP="00C170CC">
      <w:pPr>
        <w:pStyle w:val="Heading3"/>
      </w:pPr>
      <w:r>
        <w:t>1. Intake &amp; Electronic Health Records (EHR) Module</w:t>
      </w:r>
    </w:p>
    <w:p w:rsidR="00C170CC" w:rsidRDefault="00C170CC" w:rsidP="00C170CC">
      <w:pPr>
        <w:pStyle w:val="NormalWeb"/>
        <w:numPr>
          <w:ilvl w:val="0"/>
          <w:numId w:val="13"/>
        </w:numPr>
      </w:pPr>
      <w:r>
        <w:rPr>
          <w:b/>
          <w:bCs/>
        </w:rPr>
        <w:t>Digital Charting:</w:t>
      </w:r>
      <w:r>
        <w:t xml:space="preserve"> Stores comprehensive demographics, medical history, allergy lists, emergency contacts, and legal guardianships (such as Power of Attorney - POA).</w:t>
      </w:r>
    </w:p>
    <w:p w:rsidR="00C170CC" w:rsidRDefault="00C170CC" w:rsidP="00C170CC">
      <w:pPr>
        <w:pStyle w:val="NormalWeb"/>
        <w:numPr>
          <w:ilvl w:val="0"/>
          <w:numId w:val="13"/>
        </w:numPr>
      </w:pPr>
      <w:r>
        <w:rPr>
          <w:b/>
          <w:bCs/>
        </w:rPr>
        <w:t>Intake Assessments:</w:t>
      </w:r>
      <w:r>
        <w:t xml:space="preserve"> A suite of digital tools to evaluate vital signs and Activities of Daily Living (ADLs)—such as bathing, eating, transferring, and toileting—to automatically calculate and classify the resident's Level of Care (LOC).</w:t>
      </w:r>
    </w:p>
    <w:p w:rsidR="00C170CC" w:rsidRDefault="00C170CC" w:rsidP="00C170CC">
      <w:pPr>
        <w:pStyle w:val="Heading3"/>
      </w:pPr>
      <w:r>
        <w:t>2. Care Planning Module</w:t>
      </w:r>
    </w:p>
    <w:p w:rsidR="00C170CC" w:rsidRDefault="00C170CC" w:rsidP="00C170CC">
      <w:pPr>
        <w:pStyle w:val="NormalWeb"/>
        <w:numPr>
          <w:ilvl w:val="0"/>
          <w:numId w:val="14"/>
        </w:numPr>
      </w:pPr>
      <w:r>
        <w:rPr>
          <w:b/>
          <w:bCs/>
        </w:rPr>
        <w:t>Goal Setting:</w:t>
      </w:r>
      <w:r>
        <w:t xml:space="preserve"> Allows the Director of Nursing (DON) to establish individualized, Person-Centered Care Plans on a daily, weekly, or monthly basis.</w:t>
      </w:r>
    </w:p>
    <w:p w:rsidR="00C170CC" w:rsidRDefault="00C170CC" w:rsidP="00C170CC">
      <w:pPr>
        <w:pStyle w:val="NormalWeb"/>
        <w:numPr>
          <w:ilvl w:val="0"/>
          <w:numId w:val="14"/>
        </w:numPr>
      </w:pPr>
      <w:r>
        <w:rPr>
          <w:b/>
          <w:bCs/>
        </w:rPr>
        <w:t>Automated Task Assignment:</w:t>
      </w:r>
      <w:r>
        <w:t xml:space="preserve"> Translates clinical care plans into actionable daily task checklists for CNAs, accessible via tablets or mobile devices.</w:t>
      </w:r>
    </w:p>
    <w:p w:rsidR="00C170CC" w:rsidRDefault="00C170CC" w:rsidP="00C170CC">
      <w:pPr>
        <w:pStyle w:val="Heading3"/>
      </w:pPr>
      <w:r>
        <w:t>3. Electronic Medication Administration Record (eMAR) Module</w:t>
      </w:r>
    </w:p>
    <w:p w:rsidR="00C170CC" w:rsidRDefault="00C170CC" w:rsidP="00C170CC">
      <w:pPr>
        <w:pStyle w:val="NormalWeb"/>
        <w:numPr>
          <w:ilvl w:val="0"/>
          <w:numId w:val="15"/>
        </w:numPr>
      </w:pPr>
      <w:r>
        <w:rPr>
          <w:b/>
          <w:bCs/>
        </w:rPr>
        <w:t>Smart Med-Pass Scheduling:</w:t>
      </w:r>
      <w:r>
        <w:t xml:space="preserve"> Displays a real-time list of residents requiring medication within specific time windows, utilizing color-coded alerts (e.g., Green: Administered, Yellow: Upcoming, Red: Overdue).</w:t>
      </w:r>
    </w:p>
    <w:p w:rsidR="00C170CC" w:rsidRDefault="00C170CC" w:rsidP="00C170CC">
      <w:pPr>
        <w:pStyle w:val="NormalWeb"/>
        <w:numPr>
          <w:ilvl w:val="0"/>
          <w:numId w:val="15"/>
        </w:numPr>
      </w:pPr>
      <w:r>
        <w:rPr>
          <w:b/>
          <w:bCs/>
        </w:rPr>
        <w:t>Advanced Verification:</w:t>
      </w:r>
      <w:r>
        <w:t xml:space="preserve"> Supports barcode scanning of the resident’s wristband and the medication packaging to strictly enforce the "5 Rights" of medication administration (Right resident, Right medication, Right dose, Right route, Right time).</w:t>
      </w:r>
    </w:p>
    <w:p w:rsidR="00C170CC" w:rsidRDefault="00C170CC" w:rsidP="00C170CC">
      <w:pPr>
        <w:pStyle w:val="NormalWeb"/>
        <w:numPr>
          <w:ilvl w:val="0"/>
          <w:numId w:val="15"/>
        </w:numPr>
      </w:pPr>
      <w:r>
        <w:rPr>
          <w:b/>
          <w:bCs/>
        </w:rPr>
        <w:t>Pharmacy Integration:</w:t>
      </w:r>
      <w:r>
        <w:t xml:space="preserve"> Automatically transmits refill requests to partner long-term care (LTC) pharmacies when a resident's medication inventory hits a predefined reorder threshold.</w:t>
      </w:r>
    </w:p>
    <w:p w:rsidR="00C170CC" w:rsidRDefault="00C170CC" w:rsidP="00C170CC">
      <w:pPr>
        <w:pStyle w:val="Heading2"/>
      </w:pPr>
      <w:r>
        <w:t>II. Operations &amp; Workforce Group</w:t>
      </w:r>
    </w:p>
    <w:p w:rsidR="00C170CC" w:rsidRDefault="00C170CC" w:rsidP="00C170CC">
      <w:pPr>
        <w:pStyle w:val="Heading3"/>
      </w:pPr>
      <w:r>
        <w:lastRenderedPageBreak/>
        <w:t>4. Staff Scheduling Module</w:t>
      </w:r>
    </w:p>
    <w:p w:rsidR="00C170CC" w:rsidRDefault="00C170CC" w:rsidP="00C170CC">
      <w:pPr>
        <w:pStyle w:val="NormalWeb"/>
        <w:numPr>
          <w:ilvl w:val="0"/>
          <w:numId w:val="16"/>
        </w:numPr>
      </w:pPr>
      <w:r>
        <w:rPr>
          <w:b/>
          <w:bCs/>
        </w:rPr>
        <w:t>Mandated Staffing Ratios:</w:t>
      </w:r>
      <w:r>
        <w:t xml:space="preserve"> The system automatically calculates the required number of nurses and CNAs based on the current resident census and acuity levels to ensure strict regulatory compliance.</w:t>
      </w:r>
    </w:p>
    <w:p w:rsidR="00C170CC" w:rsidRDefault="00C170CC" w:rsidP="00C170CC">
      <w:pPr>
        <w:pStyle w:val="NormalWeb"/>
        <w:numPr>
          <w:ilvl w:val="0"/>
          <w:numId w:val="16"/>
        </w:numPr>
      </w:pPr>
      <w:r>
        <w:rPr>
          <w:b/>
          <w:bCs/>
        </w:rPr>
        <w:t>Shift Bourse (Open Shift Management):</w:t>
      </w:r>
      <w:r>
        <w:t xml:space="preserve"> Enables staff to view and pick up open shifts, or swap shifts with peers via a mobile app, requiring only a one-tap approval from management.</w:t>
      </w:r>
    </w:p>
    <w:p w:rsidR="00C170CC" w:rsidRDefault="00C170CC" w:rsidP="00C170CC">
      <w:pPr>
        <w:pStyle w:val="Heading3"/>
      </w:pPr>
      <w:r>
        <w:t>5. Dining &amp; Dietary Module</w:t>
      </w:r>
    </w:p>
    <w:p w:rsidR="00C170CC" w:rsidRDefault="00C170CC" w:rsidP="00C170CC">
      <w:pPr>
        <w:pStyle w:val="NormalWeb"/>
        <w:numPr>
          <w:ilvl w:val="0"/>
          <w:numId w:val="17"/>
        </w:numPr>
      </w:pPr>
      <w:r>
        <w:rPr>
          <w:b/>
          <w:bCs/>
        </w:rPr>
        <w:t>Dietary Filter Integration:</w:t>
      </w:r>
      <w:r>
        <w:t xml:space="preserve"> Manages daily menus in alignment with physician orders (e.g., diabetic-friendly, mechanical soft, pureed, or low-sodium diets).</w:t>
      </w:r>
    </w:p>
    <w:p w:rsidR="00C170CC" w:rsidRDefault="00C170CC" w:rsidP="00C170CC">
      <w:pPr>
        <w:pStyle w:val="NormalWeb"/>
        <w:numPr>
          <w:ilvl w:val="0"/>
          <w:numId w:val="17"/>
        </w:numPr>
      </w:pPr>
      <w:r>
        <w:rPr>
          <w:b/>
          <w:bCs/>
        </w:rPr>
        <w:t>Point of Sale / Tableside Ordering:</w:t>
      </w:r>
      <w:r>
        <w:t xml:space="preserve"> Staff use tablets to take meal orders in the dining room, and the system automatically blocks any food items containing ingredients that trigger a resident's documented allergies.</w:t>
      </w:r>
    </w:p>
    <w:p w:rsidR="00C170CC" w:rsidRDefault="00C170CC" w:rsidP="00C170CC">
      <w:pPr>
        <w:pStyle w:val="Heading2"/>
      </w:pPr>
      <w:r>
        <w:t>III. Billing &amp; Financials Group</w:t>
      </w:r>
    </w:p>
    <w:p w:rsidR="00C170CC" w:rsidRDefault="00C170CC" w:rsidP="00C170CC">
      <w:pPr>
        <w:pStyle w:val="Heading3"/>
      </w:pPr>
      <w:r>
        <w:t>6. Billing &amp; Revenue Cycle Management (RCM) Module</w:t>
      </w:r>
    </w:p>
    <w:p w:rsidR="00C170CC" w:rsidRDefault="00C170CC" w:rsidP="00C170CC">
      <w:pPr>
        <w:pStyle w:val="NormalWeb"/>
        <w:numPr>
          <w:ilvl w:val="0"/>
          <w:numId w:val="18"/>
        </w:numPr>
      </w:pPr>
      <w:r>
        <w:rPr>
          <w:b/>
          <w:bCs/>
        </w:rPr>
        <w:t>Multi-Payer Billing:</w:t>
      </w:r>
      <w:r>
        <w:t xml:space="preserve"> Automatically splits claims and invoices (e.g., generating an invoice where insurance covers 80% and the family/private pay covers the remaining 20%).</w:t>
      </w:r>
    </w:p>
    <w:p w:rsidR="00C170CC" w:rsidRDefault="00C170CC" w:rsidP="00C170CC">
      <w:pPr>
        <w:pStyle w:val="NormalWeb"/>
        <w:numPr>
          <w:ilvl w:val="0"/>
          <w:numId w:val="18"/>
        </w:numPr>
      </w:pPr>
      <w:r>
        <w:rPr>
          <w:b/>
          <w:bCs/>
        </w:rPr>
        <w:t>Claims Management:</w:t>
      </w:r>
      <w:r>
        <w:t xml:space="preserve"> Integrates standard HIPAA EDI 837 transaction codes to submit claims to public (Medicare/Medicaid) or private commercial insurance clearinghouses, and ingests EDI 835 files to streamline Denial Management.</w:t>
      </w:r>
    </w:p>
    <w:p w:rsidR="00C170CC" w:rsidRDefault="00C170CC" w:rsidP="00C170CC">
      <w:pPr>
        <w:pStyle w:val="Heading2"/>
      </w:pPr>
      <w:r>
        <w:t>IV. Compliance &amp; Engagement Group</w:t>
      </w:r>
    </w:p>
    <w:p w:rsidR="00C170CC" w:rsidRDefault="00C170CC" w:rsidP="00C170CC">
      <w:pPr>
        <w:pStyle w:val="Heading3"/>
      </w:pPr>
      <w:r>
        <w:t>7. Incident &amp; Risk Management Module</w:t>
      </w:r>
    </w:p>
    <w:p w:rsidR="00C170CC" w:rsidRDefault="00C170CC" w:rsidP="00C170CC">
      <w:pPr>
        <w:pStyle w:val="NormalWeb"/>
        <w:numPr>
          <w:ilvl w:val="0"/>
          <w:numId w:val="19"/>
        </w:numPr>
      </w:pPr>
      <w:r>
        <w:rPr>
          <w:b/>
          <w:bCs/>
        </w:rPr>
        <w:t>Incident Reporting:</w:t>
      </w:r>
      <w:r>
        <w:t xml:space="preserve"> Digitalized workflows to immediately document falls, injuries, or medication errors. The system automatically locks the affected resident's chart at the time of the incident to preserve records for state surveyors.</w:t>
      </w:r>
    </w:p>
    <w:p w:rsidR="00C170CC" w:rsidRDefault="00C170CC" w:rsidP="00C170CC">
      <w:pPr>
        <w:pStyle w:val="NormalWeb"/>
        <w:numPr>
          <w:ilvl w:val="0"/>
          <w:numId w:val="19"/>
        </w:numPr>
      </w:pPr>
      <w:r>
        <w:rPr>
          <w:b/>
          <w:bCs/>
        </w:rPr>
        <w:t>Wound Management:</w:t>
      </w:r>
      <w:r>
        <w:t xml:space="preserve"> Allows clinicians to securely capture photos of pressure ulcers (bedsores), log measurements, and track healing progress over time on HIPAA-compliant storage for remote physician review.</w:t>
      </w:r>
    </w:p>
    <w:p w:rsidR="00C170CC" w:rsidRDefault="00C170CC" w:rsidP="00C170CC">
      <w:pPr>
        <w:pStyle w:val="Heading3"/>
      </w:pPr>
      <w:r>
        <w:t>8. Family Portal Module</w:t>
      </w:r>
    </w:p>
    <w:p w:rsidR="00C170CC" w:rsidRDefault="00C170CC" w:rsidP="00C170CC">
      <w:pPr>
        <w:pStyle w:val="NormalWeb"/>
        <w:numPr>
          <w:ilvl w:val="0"/>
          <w:numId w:val="20"/>
        </w:numPr>
      </w:pPr>
      <w:r>
        <w:rPr>
          <w:b/>
          <w:bCs/>
        </w:rPr>
        <w:t>Operational Transparency:</w:t>
      </w:r>
      <w:r>
        <w:t xml:space="preserve"> A dedicated mobile application for residents' family members to view real-time health updates, scheduled recreational activities, daily menus, and securely pay care invoices online.</w:t>
      </w:r>
    </w:p>
    <w:p w:rsidR="00C170CC" w:rsidRDefault="00C170CC" w:rsidP="00C170CC">
      <w:pPr>
        <w:pStyle w:val="Heading2"/>
      </w:pPr>
      <w:r>
        <w:lastRenderedPageBreak/>
        <w:t>💡 System Design Note</w:t>
      </w:r>
    </w:p>
    <w:p w:rsidR="00C170CC" w:rsidRDefault="00C170CC" w:rsidP="00C170CC">
      <w:pPr>
        <w:pStyle w:val="NormalWeb"/>
      </w:pPr>
      <w:r>
        <w:t xml:space="preserve">When developing these modules, the system architecture must strictly adhere to the principle of </w:t>
      </w:r>
      <w:r>
        <w:rPr>
          <w:b/>
          <w:bCs/>
        </w:rPr>
        <w:t>Centralized Data Integration</w:t>
      </w:r>
      <w:r>
        <w:t>.</w:t>
      </w:r>
    </w:p>
    <w:p w:rsidR="00C170CC" w:rsidRDefault="00C170CC" w:rsidP="00C170CC">
      <w:pPr>
        <w:pStyle w:val="NormalWeb"/>
      </w:pPr>
      <w:r>
        <w:rPr>
          <w:b/>
          <w:bCs/>
        </w:rPr>
        <w:t>Example of Data Flow:</w:t>
      </w:r>
      <w:r>
        <w:t xml:space="preserve"> When Module 1 (EHR) updates a resident's status indicating a decline in mobility </w:t>
      </w:r>
      <w:r>
        <w:rPr>
          <w:rStyle w:val="math-inline"/>
          <w:rFonts w:eastAsiaTheme="majorEastAsia"/>
        </w:rPr>
        <w:t>$\rightarrow$</w:t>
      </w:r>
      <w:r>
        <w:t xml:space="preserve"> Module 2 (Care Plan) automatically injects a "Transfer Assistance" task for the CNAs </w:t>
      </w:r>
      <w:r>
        <w:rPr>
          <w:rStyle w:val="math-inline"/>
          <w:rFonts w:eastAsiaTheme="majorEastAsia"/>
        </w:rPr>
        <w:t>$\rightarrow$</w:t>
      </w:r>
      <w:r>
        <w:t xml:space="preserve"> Module 4 (Scheduling) recalibrates floor staffing to account for higher acuity </w:t>
      </w:r>
      <w:r>
        <w:rPr>
          <w:rStyle w:val="math-inline"/>
          <w:rFonts w:eastAsiaTheme="majorEastAsia"/>
        </w:rPr>
        <w:t>$\rightarrow$</w:t>
      </w:r>
      <w:r>
        <w:t xml:space="preserve"> Module 6 (Billing) dynamically updates the monthly invoice to reflect the new, elevated Level of Care (LOC) rate.</w:t>
      </w:r>
    </w:p>
    <w:p w:rsidR="00270CFD" w:rsidRPr="002A4371" w:rsidRDefault="00270CFD" w:rsidP="002A4371"/>
    <w:sectPr w:rsidR="00270CFD" w:rsidRPr="002A4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2483"/>
    <w:multiLevelType w:val="multilevel"/>
    <w:tmpl w:val="F6C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A6CC4"/>
    <w:multiLevelType w:val="multilevel"/>
    <w:tmpl w:val="B8E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21DDC"/>
    <w:multiLevelType w:val="multilevel"/>
    <w:tmpl w:val="829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7213B9"/>
    <w:multiLevelType w:val="multilevel"/>
    <w:tmpl w:val="A01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33FF8"/>
    <w:multiLevelType w:val="multilevel"/>
    <w:tmpl w:val="BCA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93513F"/>
    <w:multiLevelType w:val="multilevel"/>
    <w:tmpl w:val="426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FF005A"/>
    <w:multiLevelType w:val="multilevel"/>
    <w:tmpl w:val="606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01BFE"/>
    <w:multiLevelType w:val="multilevel"/>
    <w:tmpl w:val="3EA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4F6492"/>
    <w:multiLevelType w:val="multilevel"/>
    <w:tmpl w:val="E74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802C9D"/>
    <w:multiLevelType w:val="multilevel"/>
    <w:tmpl w:val="94B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801201"/>
    <w:multiLevelType w:val="multilevel"/>
    <w:tmpl w:val="DF2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FC7C46"/>
    <w:multiLevelType w:val="multilevel"/>
    <w:tmpl w:val="D71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801D35"/>
    <w:multiLevelType w:val="multilevel"/>
    <w:tmpl w:val="7D2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E8157F"/>
    <w:multiLevelType w:val="multilevel"/>
    <w:tmpl w:val="DCB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814F3"/>
    <w:multiLevelType w:val="multilevel"/>
    <w:tmpl w:val="B3D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25136C"/>
    <w:multiLevelType w:val="multilevel"/>
    <w:tmpl w:val="B7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B45512"/>
    <w:multiLevelType w:val="multilevel"/>
    <w:tmpl w:val="DAE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6F5DB0"/>
    <w:multiLevelType w:val="multilevel"/>
    <w:tmpl w:val="DA9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F2411F"/>
    <w:multiLevelType w:val="multilevel"/>
    <w:tmpl w:val="E40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044C49"/>
    <w:multiLevelType w:val="multilevel"/>
    <w:tmpl w:val="AAA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"/>
  </w:num>
  <w:num w:numId="4">
    <w:abstractNumId w:val="14"/>
  </w:num>
  <w:num w:numId="5">
    <w:abstractNumId w:val="19"/>
  </w:num>
  <w:num w:numId="6">
    <w:abstractNumId w:val="8"/>
  </w:num>
  <w:num w:numId="7">
    <w:abstractNumId w:val="16"/>
  </w:num>
  <w:num w:numId="8">
    <w:abstractNumId w:val="0"/>
  </w:num>
  <w:num w:numId="9">
    <w:abstractNumId w:val="4"/>
  </w:num>
  <w:num w:numId="10">
    <w:abstractNumId w:val="12"/>
  </w:num>
  <w:num w:numId="11">
    <w:abstractNumId w:val="18"/>
  </w:num>
  <w:num w:numId="12">
    <w:abstractNumId w:val="17"/>
  </w:num>
  <w:num w:numId="13">
    <w:abstractNumId w:val="7"/>
  </w:num>
  <w:num w:numId="14">
    <w:abstractNumId w:val="5"/>
  </w:num>
  <w:num w:numId="15">
    <w:abstractNumId w:val="10"/>
  </w:num>
  <w:num w:numId="16">
    <w:abstractNumId w:val="11"/>
  </w:num>
  <w:num w:numId="17">
    <w:abstractNumId w:val="2"/>
  </w:num>
  <w:num w:numId="18">
    <w:abstractNumId w:val="6"/>
  </w:num>
  <w:num w:numId="19">
    <w:abstractNumId w:val="1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90C"/>
    <w:rsid w:val="00270CFD"/>
    <w:rsid w:val="002A4371"/>
    <w:rsid w:val="002B690C"/>
    <w:rsid w:val="00C170CC"/>
    <w:rsid w:val="00D46249"/>
    <w:rsid w:val="00D9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6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690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90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ath-inline">
    <w:name w:val="math-inline"/>
    <w:basedOn w:val="DefaultParagraphFont"/>
    <w:rsid w:val="00D936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6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690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90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ath-inline">
    <w:name w:val="math-inline"/>
    <w:basedOn w:val="DefaultParagraphFont"/>
    <w:rsid w:val="00D93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12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27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2026-06-01T01:46:00Z</dcterms:created>
  <dcterms:modified xsi:type="dcterms:W3CDTF">2026-06-01T01:51:00Z</dcterms:modified>
</cp:coreProperties>
</file>