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120"/>
        <w:jc w:val="center"/>
      </w:pPr>
      <w:r>
        <w:rPr>
          <w:rFonts w:ascii="Arial" w:cs="Arial" w:eastAsia="Arial" w:hAnsi="Arial"/>
          <w:b/>
          <w:bCs/>
          <w:color w:val="1F3864"/>
          <w:sz w:val="24"/>
          <w:szCs w:val="24"/>
        </w:rPr>
        <w:t xml:space="preserve">UNIVERSITAT POLITÈCNICA DE CATALUNYA</w:t>
      </w:r>
    </w:p>
    <w:p>
      <w:pPr>
        <w:spacing w:after="1000"/>
        <w:jc w:val="center"/>
      </w:pPr>
      <w:r>
        <w:rPr>
          <w:rFonts w:ascii="Arial" w:cs="Arial" w:eastAsia="Arial" w:hAnsi="Arial"/>
          <w:color w:val="595959"/>
          <w:sz w:val="20"/>
          <w:szCs w:val="20"/>
        </w:rPr>
        <w:t xml:space="preserve">[Titulación]  ·  [Asignatura]</w:t>
      </w:r>
    </w:p>
    <w:p>
      <w:pPr>
        <w:pBdr>
          <w:top w:val="single" w:color="1F3864" w:sz="8" w:space="14"/>
        </w:pBdr>
        <w:spacing w:after="100"/>
        <w:jc w:val="center"/>
      </w:pPr>
    </w:p>
    <w:p>
      <w:pPr>
        <w:spacing w:after="160"/>
        <w:jc w:val="center"/>
      </w:pPr>
      <w:r>
        <w:rPr>
          <w:rFonts w:ascii="Arial" w:cs="Arial" w:eastAsia="Arial" w:hAnsi="Arial"/>
          <w:b/>
          <w:bCs/>
          <w:color w:val="1F3864"/>
          <w:sz w:val="44"/>
          <w:szCs w:val="44"/>
        </w:rPr>
        <w:t xml:space="preserve">HALF MARATHON CLOUD PLATFORM</w:t>
      </w:r>
    </w:p>
    <w:p>
      <w:pPr>
        <w:spacing w:after="140"/>
        <w:jc w:val="center"/>
      </w:pPr>
      <w:r>
        <w:rPr>
          <w:rFonts w:ascii="Arial" w:cs="Arial" w:eastAsia="Arial" w:hAnsi="Arial"/>
          <w:color w:val="333333"/>
          <w:sz w:val="22"/>
          <w:szCs w:val="22"/>
        </w:rPr>
        <w:t xml:space="preserve">Diseño, implementación y despliegue de una plataforma web cloud-native sobre Amazon Web Services</w:t>
      </w:r>
    </w:p>
    <w:p>
      <w:pPr>
        <w:pBdr>
          <w:bottom w:val="single" w:color="1F3864" w:sz="8" w:space="14"/>
        </w:pBdr>
        <w:spacing w:after="1000"/>
        <w:jc w:val="center"/>
      </w:pPr>
    </w:p>
    <w:p>
      <w:pPr>
        <w:spacing w:after="100"/>
        <w:jc w:val="center"/>
      </w:pPr>
      <w:r>
        <w:rPr>
          <w:rFonts w:ascii="Arial" w:cs="Arial" w:eastAsia="Arial" w:hAnsi="Arial"/>
          <w:b/>
          <w:bCs/>
          <w:color w:val="595959"/>
          <w:sz w:val="22"/>
          <w:szCs w:val="22"/>
        </w:rPr>
        <w:t xml:space="preserve">MEMORIA DEL PROYECTO</w:t>
      </w:r>
    </w:p>
    <w:p>
      <w:pPr>
        <w:spacing w:after="900"/>
        <w:jc w:val="center"/>
      </w:pPr>
      <w:r>
        <w:rPr>
          <w:rFonts w:ascii="Arial" w:cs="Arial" w:eastAsia="Arial" w:hAnsi="Arial"/>
          <w:color w:val="595959"/>
          <w:sz w:val="20"/>
          <w:szCs w:val="20"/>
        </w:rPr>
        <w:t xml:space="preserve">Curso académico 2025–2026</w:t>
      </w:r>
    </w:p>
    <w:p>
      <w:pPr>
        <w:spacing w:after="120"/>
        <w:jc w:val="center"/>
      </w:pPr>
      <w:r>
        <w:rPr>
          <w:rFonts w:ascii="Arial" w:cs="Arial" w:eastAsia="Arial" w:hAnsi="Arial"/>
          <w:b/>
          <w:bCs/>
          <w:sz w:val="24"/>
          <w:szCs w:val="24"/>
        </w:rPr>
        <w:t xml:space="preserve">Grupo 5</w:t>
      </w:r>
    </w:p>
    <w:p>
      <w:pPr>
        <w:spacing w:after="60"/>
        <w:jc w:val="center"/>
      </w:pPr>
      <w:r>
        <w:rPr>
          <w:sz w:val="22"/>
          <w:szCs w:val="22"/>
        </w:rPr>
        <w:t xml:space="preserve">Itzel Lorente</w:t>
      </w:r>
    </w:p>
    <w:p>
      <w:pPr>
        <w:spacing w:after="60"/>
        <w:jc w:val="center"/>
      </w:pPr>
      <w:r>
        <w:rPr>
          <w:sz w:val="22"/>
          <w:szCs w:val="22"/>
        </w:rPr>
        <w:t xml:space="preserve">Miquel [apellido]</w:t>
      </w:r>
    </w:p>
    <w:p>
      <w:pPr>
        <w:spacing w:after="60"/>
        <w:jc w:val="center"/>
      </w:pPr>
      <w:r>
        <w:rPr>
          <w:sz w:val="22"/>
          <w:szCs w:val="22"/>
        </w:rPr>
        <w:t xml:space="preserve">Òscar [apellido]</w:t>
      </w:r>
    </w:p>
    <w:p>
      <w:pPr>
        <w:spacing w:after="700"/>
        <w:jc w:val="center"/>
      </w:pPr>
      <w:r>
        <w:rPr>
          <w:color w:val="595959"/>
          <w:sz w:val="22"/>
          <w:szCs w:val="22"/>
        </w:rPr>
        <w:t xml:space="preserve">[Resto de integrantes]</w:t>
      </w:r>
    </w:p>
    <w:p>
      <w:pPr>
        <w:jc w:val="center"/>
      </w:pPr>
      <w:r>
        <w:rPr>
          <w:color w:val="595959"/>
          <w:sz w:val="20"/>
          <w:szCs w:val="20"/>
        </w:rPr>
        <w:t xml:space="preserve">[Fecha de entrega]</w:t>
      </w:r>
    </w:p>
    <w:p>
      <w:r>
        <w:br w:type="page"/>
      </w:r>
    </w:p>
    <w:p>
      <w:pPr>
        <w:pStyle w:val="Heading1"/>
        <w:spacing w:after="220" w:before="360"/>
      </w:pPr>
      <w:r>
        <w:t xml:space="preserve">Resumen</w:t>
      </w:r>
    </w:p>
    <w:p>
      <w:pPr>
        <w:spacing w:after="140" w:line="300"/>
        <w:jc w:val="both"/>
      </w:pPr>
      <w:r>
        <w:t xml:space="preserve">Este documento recoge el diseño, la implementación y el despliegue de una plataforma web cloud-native para la consulta de medias maratones, desarrollada íntegramente sobre Amazon Web Services y definida como infraestructura de código mediante Terraform.</w:t>
      </w:r>
    </w:p>
    <w:p>
      <w:pPr>
        <w:spacing w:after="140" w:line="300"/>
        <w:jc w:val="both"/>
      </w:pPr>
      <w:r>
        <w:t xml:space="preserve">La solución adopta una arquitectura de tres capas físicamente desacopladas: una interfaz Angular servida como sitio estático desde Amazon S3, una API REST en Node.js contenedorizada y ejecutada sobre Amazon ECS con Fargate en una subred privada sin acceso desde internet, y una base de datos NoSQL en Amazon DynamoDB accesible exclusivamente a través de la red interna del proveedor. El punto de entrada único al backend es un Application Load Balancer situado en subredes públicas.</w:t>
      </w:r>
    </w:p>
    <w:p>
      <w:pPr>
        <w:spacing w:after="140" w:line="300"/>
        <w:jc w:val="both"/>
      </w:pPr>
      <w:r>
        <w:t xml:space="preserve">El despliegue completo comprende veintisiete recursos de infraestructura y se ha automatizado en un procedimiento reproducible que lo ejecuta de principio a fin, con verificación previa de requisitos, resolución del orden de dependencias entre la publicación de la imagen del contenedor y la creación del servicio de cómputo, y espera activa a la disponibilidad efectiva del backend antes de publicar la interfaz.</w:t>
      </w:r>
    </w:p>
    <w:p>
      <w:pPr>
        <w:spacing w:after="140" w:line="300"/>
        <w:jc w:val="both"/>
      </w:pPr>
      <w:r>
        <w:t xml:space="preserve">Junto a los resultados alcanzados, la memoria documenta un análisis crítico de las decisiones tomadas. Se examina en particular la elección de un modelo de datos NoSQL frente al modelo relacional previsto inicialmente, concluyendo que el patrón de acceso real de la aplicación —búsquedas por atributos que no forman parte de la clave de partición— no es el que este tipo de base de datos resuelve eficientemente. Se cuantifica igualmente el coste económico derivado de la decisión de aislar completamente la capa de aplicación, y se identifican las limitaciones no subsanables en el entorno de prácticas, en especial la imposibilidad de establecer comunicación cifrada de extremo a extremo.</w:t>
      </w:r>
    </w:p>
    <w:p>
      <w:pPr>
        <w:spacing w:after="140" w:before="240"/>
        <w:jc w:val="both"/>
      </w:pPr>
      <w:r>
        <w:rPr>
          <w:b/>
          <w:bCs/>
        </w:rPr>
        <w:t xml:space="preserve">Palabras clave: </w:t>
      </w:r>
      <w:r>
        <w:t xml:space="preserve">computación en la nube, infraestructura como código, contenedores, Terraform, Amazon Web Services, ECS Fargate, DynamoDB, arquitectura de tres capas, despliegue automatizado.</w:t>
      </w:r>
    </w:p>
    <w:p>
      <w:r>
        <w:br w:type="page"/>
      </w:r>
    </w:p>
    <w:p>
      <w:pPr>
        <w:pStyle w:val="Heading1"/>
        <w:spacing w:after="220" w:before="360"/>
      </w:pPr>
      <w:r>
        <w:t xml:space="preserve">Índice</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spacing w:after="220" w:before="360"/>
      </w:pPr>
      <w:r>
        <w:t xml:space="preserve">1. Introducción</w:t>
      </w:r>
    </w:p>
    <w:p>
      <w:pPr>
        <w:pStyle w:val="Heading2"/>
        <w:spacing w:after="160" w:before="280"/>
      </w:pPr>
      <w:r>
        <w:t xml:space="preserve">1.1. Contexto</w:t>
      </w:r>
    </w:p>
    <w:p>
      <w:pPr>
        <w:spacing w:after="140" w:line="300"/>
        <w:jc w:val="both"/>
      </w:pPr>
      <w:r>
        <w:t xml:space="preserve">La adopción de servicios en la nube ha modificado la forma en que se concibe el despliegue de aplicaciones. Donde antes existía un servidor que aprovisionar, configurar y mantener, hoy existe un conjunto de servicios gestionados que se componen entre sí y cuya definición puede expresarse como código, versionarse y reproducirse.</w:t>
      </w:r>
    </w:p>
    <w:p>
      <w:pPr>
        <w:spacing w:after="140" w:line="300"/>
        <w:jc w:val="both"/>
      </w:pPr>
      <w:r>
        <w:t xml:space="preserve">Este proyecto aborda ese cambio de paradigma de forma práctica: se construye una aplicación web funcional y, sobre todo, se diseña y automatiza la infraestructura que la sostiene. El resultado no es únicamente una aplicación que funciona, sino un procedimiento capaz de recrear el entorno completo desde cero de manera reproducible.</w:t>
      </w:r>
    </w:p>
    <w:p>
      <w:pPr>
        <w:pStyle w:val="Heading2"/>
        <w:spacing w:after="160" w:before="280"/>
      </w:pPr>
      <w:r>
        <w:t xml:space="preserve">1.2. Motivación</w:t>
      </w:r>
    </w:p>
    <w:p>
      <w:pPr>
        <w:spacing w:after="140" w:line="300"/>
        <w:jc w:val="both"/>
      </w:pPr>
      <w:r>
        <w:t xml:space="preserve">La motivación del trabajo es doble. En el plano funcional, se pretende resolver una necesidad concreta: disponer de un catálogo consultable de medias maratones que permita localizar carreras por distintos criterios y registrar otras nuevas.</w:t>
      </w:r>
    </w:p>
    <w:p>
      <w:pPr>
        <w:spacing w:after="140" w:line="300"/>
        <w:jc w:val="both"/>
      </w:pPr>
      <w:r>
        <w:t xml:space="preserve">En el plano formativo, el objetivo es aplicar de manera integrada los principios de la computación en la nube: desacoplamiento de capas, infraestructura como código, contenedorización, uso de servicios gestionados y automatización del ciclo de despliegue.</w:t>
      </w:r>
    </w:p>
    <w:p>
      <w:pPr>
        <w:spacing w:after="140" w:line="300"/>
        <w:jc w:val="both"/>
      </w:pPr>
      <w:r>
        <w:t xml:space="preserve">El equipo decidió además </w:t>
      </w:r>
      <w:r>
        <w:rPr>
          <w:b/>
          <w:bCs/>
        </w:rPr>
        <w:t xml:space="preserve">incorporar deliberadamente servicios de Amazon Web Services que no se habían tratado en las sesiones teóricas</w:t>
      </w:r>
      <w:r>
        <w:t xml:space="preserve">, en concreto un modelo de base de datos NoSQL y un servicio de cómputo sin gestión de servidores. Esta decisión, sus fundamentos y su análisis crítico se desarrollan en el capítulo 5.</w:t>
      </w:r>
    </w:p>
    <w:p>
      <w:pPr>
        <w:pStyle w:val="Heading2"/>
        <w:spacing w:after="160" w:before="280"/>
      </w:pPr>
      <w:r>
        <w:t xml:space="preserve">1.3. Objetivos</w:t>
      </w:r>
    </w:p>
    <w:p>
      <w:pPr>
        <w:spacing w:after="140" w:line="300"/>
        <w:jc w:val="both"/>
      </w:pPr>
      <w:r>
        <w:t xml:space="preserve">El objetivo general del proyecto es diseñar, implementar y desplegar una plataforma web cloud-native completamente funcional sobre Amazon Web Services, con la infraestructura definida como código y el despliegue automatizado.</w:t>
      </w:r>
    </w:p>
    <w:p>
      <w:pPr>
        <w:spacing w:after="140" w:line="300"/>
        <w:jc w:val="both"/>
      </w:pPr>
      <w:r>
        <w:t xml:space="preserve">De este objetivo general se derivan los siguientes objetivos específicos:</w:t>
      </w:r>
    </w:p>
    <w:p>
      <w:pPr>
        <w:pStyle w:val="ListParagraph"/>
        <w:numPr>
          <w:ilvl w:val="0"/>
          <w:numId w:val="2"/>
        </w:numPr>
        <w:spacing w:after="90" w:line="300"/>
        <w:jc w:val="both"/>
      </w:pPr>
      <w:r>
        <w:t xml:space="preserve">Construir una interfaz web que permita consultar, filtrar y registrar carreras.</w:t>
      </w:r>
    </w:p>
    <w:p>
      <w:pPr>
        <w:pStyle w:val="ListParagraph"/>
        <w:numPr>
          <w:ilvl w:val="0"/>
          <w:numId w:val="2"/>
        </w:numPr>
        <w:spacing w:after="90" w:line="300"/>
        <w:jc w:val="both"/>
      </w:pPr>
      <w:r>
        <w:t xml:space="preserve">Implementar una API REST que exponga las operaciones necesarias sobre los datos.</w:t>
      </w:r>
    </w:p>
    <w:p>
      <w:pPr>
        <w:pStyle w:val="ListParagraph"/>
        <w:numPr>
          <w:ilvl w:val="0"/>
          <w:numId w:val="2"/>
        </w:numPr>
        <w:spacing w:after="90" w:line="300"/>
        <w:jc w:val="both"/>
      </w:pPr>
      <w:r>
        <w:t xml:space="preserve">Contenedorizar la API y ejecutarla en un servicio de cómputo gestionado.</w:t>
      </w:r>
    </w:p>
    <w:p>
      <w:pPr>
        <w:pStyle w:val="ListParagraph"/>
        <w:numPr>
          <w:ilvl w:val="0"/>
          <w:numId w:val="2"/>
        </w:numPr>
        <w:spacing w:after="90" w:line="300"/>
        <w:jc w:val="both"/>
      </w:pPr>
      <w:r>
        <w:t xml:space="preserve">Diseñar una topología de red que aísle la capa de aplicación del acceso directo desde internet.</w:t>
      </w:r>
    </w:p>
    <w:p>
      <w:pPr>
        <w:pStyle w:val="ListParagraph"/>
        <w:numPr>
          <w:ilvl w:val="0"/>
          <w:numId w:val="2"/>
        </w:numPr>
        <w:spacing w:after="90" w:line="300"/>
        <w:jc w:val="both"/>
      </w:pPr>
      <w:r>
        <w:t xml:space="preserve">Definir la totalidad de la infraestructura mediante Terraform.</w:t>
      </w:r>
    </w:p>
    <w:p>
      <w:pPr>
        <w:pStyle w:val="ListParagraph"/>
        <w:numPr>
          <w:ilvl w:val="0"/>
          <w:numId w:val="2"/>
        </w:numPr>
        <w:spacing w:after="90" w:line="300"/>
        <w:jc w:val="both"/>
      </w:pPr>
      <w:r>
        <w:t xml:space="preserve">Automatizar el despliegue completo en un procedimiento reproducible y verificable.</w:t>
      </w:r>
    </w:p>
    <w:p>
      <w:pPr>
        <w:pStyle w:val="ListParagraph"/>
        <w:numPr>
          <w:ilvl w:val="0"/>
          <w:numId w:val="2"/>
        </w:numPr>
        <w:spacing w:after="90" w:line="300"/>
        <w:jc w:val="both"/>
      </w:pPr>
      <w:r>
        <w:t xml:space="preserve">Analizar críticamente el resultado en términos de coste, seguridad y adecuación de las decisiones tomadas.</w:t>
      </w:r>
    </w:p>
    <w:p>
      <w:pPr>
        <w:pStyle w:val="Heading2"/>
        <w:spacing w:after="160" w:before="280"/>
      </w:pPr>
      <w:r>
        <w:t xml:space="preserve">1.4. Estructura del documento</w:t>
      </w:r>
    </w:p>
    <w:p>
      <w:pPr>
        <w:spacing w:after="140" w:line="300"/>
        <w:jc w:val="both"/>
      </w:pPr>
      <w:r>
        <w:t xml:space="preserve">El capítulo 2 establece el marco tecnológico, definiendo los conceptos y servicios sobre los que se apoya la solución. El capítulo 3 recoge el análisis de requisitos y delimita el alcance. Los capítulos 4 a 7 constituyen el núcleo descriptivo: arquitectura, decisiones de diseño, implementación y despliegue. El capítulo 8 documenta la validación.</w:t>
      </w:r>
    </w:p>
    <w:p>
      <w:pPr>
        <w:spacing w:after="140" w:line="300"/>
        <w:jc w:val="both"/>
      </w:pPr>
      <w:r>
        <w:t xml:space="preserve">Los capítulos 9 a 12 conforman el análisis crítico del resultado: evaluación económica, evaluación de seguridad, registro de incidencias reales encontradas durante el desarrollo, y limitaciones identificadas con sus correspondientes líneas de trabajo futuro. El capítulo 13 sintetiza las conclusiones.</w:t>
      </w:r>
    </w:p>
    <w:p>
      <w:r>
        <w:br w:type="page"/>
      </w:r>
    </w:p>
    <w:p>
      <w:pPr>
        <w:pStyle w:val="Heading1"/>
        <w:spacing w:after="220" w:before="360"/>
      </w:pPr>
      <w:r>
        <w:t xml:space="preserve">2. Marco tecnológico</w:t>
      </w:r>
    </w:p>
    <w:p>
      <w:pPr>
        <w:spacing w:after="140" w:line="300"/>
        <w:jc w:val="both"/>
      </w:pPr>
      <w:r>
        <w:t xml:space="preserve">Este capítulo define los conceptos y servicios empleados, con el fin de que los capítulos posteriores puedan referirse a ellos sin ambigüedad.</w:t>
      </w:r>
    </w:p>
    <w:p>
      <w:pPr>
        <w:pStyle w:val="Heading2"/>
        <w:spacing w:after="160" w:before="280"/>
      </w:pPr>
      <w:r>
        <w:t xml:space="preserve">2.1. Arquitectura cloud-native</w:t>
      </w:r>
    </w:p>
    <w:p>
      <w:pPr>
        <w:spacing w:after="140" w:line="300"/>
        <w:jc w:val="both"/>
      </w:pPr>
      <w:r>
        <w:t xml:space="preserve">Se denomina cloud-native a una aplicación concebida desde su origen para ejecutarse sobre servicios gestionados en la nube, en contraposición a una aplicación tradicional trasladada posteriormente a dicho entorno. Sus rasgos característicos son el desacoplamiento de componentes, la ejecución en contenedores, la delegación de responsabilidades operativas en el proveedor y la capacidad de recrear el entorno de forma automatizada.</w:t>
      </w:r>
    </w:p>
    <w:p>
      <w:pPr>
        <w:spacing w:after="140" w:line="300"/>
        <w:jc w:val="both"/>
      </w:pPr>
      <w:r>
        <w:t xml:space="preserve">En el caso que nos ocupa, el desacoplamiento es físico y no meramente lógico: cada capa reside en un servicio distinto, con su propio ciclo de vida, su propio mecanismo de escalado y sus propios modos de fallo.</w:t>
      </w:r>
    </w:p>
    <w:p>
      <w:pPr>
        <w:pStyle w:val="Heading2"/>
        <w:spacing w:after="160" w:before="280"/>
      </w:pPr>
      <w:r>
        <w:t xml:space="preserve">2.2. Infraestructura como código</w:t>
      </w:r>
    </w:p>
    <w:p>
      <w:pPr>
        <w:spacing w:after="140" w:line="300"/>
        <w:jc w:val="both"/>
      </w:pPr>
      <w:r>
        <w:t xml:space="preserve">La infraestructura como código consiste en describir los recursos de un entorno mediante archivos de definición, en lugar de crearlos manualmente a través de una consola de administración. La herramienta correspondiente compara el estado descrito con el estado real y aplica las diferencias necesarias.</w:t>
      </w:r>
    </w:p>
    <w:p>
      <w:pPr>
        <w:spacing w:after="140" w:line="300"/>
        <w:jc w:val="both"/>
      </w:pPr>
      <w:r>
        <w:t xml:space="preserve">Terraform, la herramienta empleada en este proyecto, mantiene un archivo de estado que registra la correspondencia entre los recursos declarados y los recursos efectivamente creados en el proveedor. Este mecanismo es lo que permite tanto aplicar cambios de forma incremental como destruir el entorno completo con una sola instrucción.</w:t>
      </w:r>
    </w:p>
    <w:p>
      <w:pPr>
        <w:spacing w:after="140" w:line="300"/>
        <w:jc w:val="both"/>
      </w:pPr>
      <w:r>
        <w:t xml:space="preserve">La consecuencia práctica más relevante de este enfoque, tal como se argumenta en el capítulo 13, es que </w:t>
      </w:r>
      <w:r>
        <w:rPr>
          <w:b/>
          <w:bCs/>
        </w:rPr>
        <w:t xml:space="preserve">hace viable destruir la infraestructura de forma rutinaria</w:t>
      </w:r>
      <w:r>
        <w:t xml:space="preserve">, dado que recrearla no supone un esfuerzo apreciable. Ello resulta determinante para el control del coste en un entorno de prácticas con crédito limitado.</w:t>
      </w:r>
    </w:p>
    <w:p>
      <w:pPr>
        <w:pStyle w:val="Heading2"/>
        <w:spacing w:after="160" w:before="280"/>
      </w:pPr>
      <w:r>
        <w:t xml:space="preserve">2.3. Contenedores</w:t>
      </w:r>
    </w:p>
    <w:p>
      <w:pPr>
        <w:spacing w:after="140" w:line="300"/>
        <w:jc w:val="both"/>
      </w:pPr>
      <w:r>
        <w:t xml:space="preserve">Un contenedor empaqueta una aplicación junto con la totalidad de sus dependencias —intérprete, bibliotecas y configuración— en una unidad denominada imagen, cuyo comportamiento es idéntico en cualquier entorno de ejecución compatible. Se elimina así la clase de incidencias derivadas de las diferencias entre el equipo de desarrollo y el de producción.</w:t>
      </w:r>
    </w:p>
    <w:p>
      <w:pPr>
        <w:spacing w:after="140" w:line="300"/>
        <w:jc w:val="both"/>
      </w:pPr>
      <w:r>
        <w:t xml:space="preserve">El ciclo de vida comprende tres etapas: la construcción de la imagen a partir de un archivo de definición, su publicación en un registro, y su ejecución por parte de un orquestador que la obtiene de dicho registro. El proyecto emplea Amazon Elastic Container Registry como registro y Amazon Elastic Container Service como orquestador.</w:t>
      </w:r>
    </w:p>
    <w:p>
      <w:pPr>
        <w:pStyle w:val="Heading2"/>
        <w:spacing w:after="160" w:before="280"/>
      </w:pPr>
      <w:r>
        <w:t xml:space="preserve">2.4. Cómputo sin servidores: AWS Fargate</w:t>
      </w:r>
    </w:p>
    <w:p>
      <w:pPr>
        <w:spacing w:after="140" w:line="300"/>
        <w:jc w:val="both"/>
      </w:pPr>
      <w:r>
        <w:t xml:space="preserve">Fargate es un modo de lanzamiento de ECS en el que no existe ninguna máquina virtual que el usuario deba aprovisionar, dimensionar o mantener actualizada. Se declara la cantidad de procesador y de memoria que requiere cada tarea y el proveedor gestiona la totalidad del substrato de ejecución.</w:t>
      </w:r>
    </w:p>
    <w:p>
      <w:pPr>
        <w:spacing w:after="140" w:line="300"/>
        <w:jc w:val="both"/>
      </w:pPr>
      <w:r>
        <w:t xml:space="preserve">Frente a una orquestación sobre Kubernetes, Fargate reduce de manera notable la complejidad operativa, a cambio de un coste por hora superior y de una menor portabilidad, dado que la definición de tareas de ECS es específica del proveedor mientras que los manifiestos de Kubernetes no lo son.</w:t>
      </w:r>
    </w:p>
    <w:p>
      <w:pPr>
        <w:pStyle w:val="Heading2"/>
        <w:spacing w:after="160" w:before="280"/>
      </w:pPr>
      <w:r>
        <w:t xml:space="preserve">2.5. Bases de datos NoSQL: Amazon DynamoDB</w:t>
      </w:r>
    </w:p>
    <w:p>
      <w:pPr>
        <w:spacing w:after="140" w:line="300"/>
        <w:jc w:val="both"/>
      </w:pPr>
      <w:r>
        <w:t xml:space="preserve">DynamoDB es una base de datos NoSQL de tipo clave-valor y documental, completamente gestionada. No impone un esquema a los elementos almacenados y ofrece latencia predecible con independencia del volumen, siempre que el acceso se realice mediante la clave definida.</w:t>
      </w:r>
    </w:p>
    <w:p>
      <w:pPr>
        <w:spacing w:after="140" w:line="300"/>
        <w:jc w:val="both"/>
      </w:pPr>
      <w:r>
        <w:t xml:space="preserve">Esta última condición resulta esencial y determina buena parte del análisis del capítulo 5. DynamoDB dispone de dos operaciones de lectura de conjuntos: </w:t>
      </w:r>
      <w:r>
        <w:rPr>
          <w:b/>
          <w:bCs/>
        </w:rPr>
        <w:t xml:space="preserve">Query</w:t>
      </w:r>
      <w:r>
        <w:t xml:space="preserve">, que localiza elementos mediante la clave y resulta eficiente, y </w:t>
      </w:r>
      <w:r>
        <w:rPr>
          <w:b/>
          <w:bCs/>
        </w:rPr>
        <w:t xml:space="preserve">Scan</w:t>
      </w:r>
      <w:r>
        <w:t xml:space="preserve">, que recorre la tabla completa. Cuando se consulta por un atributo que no forma parte de la clave, y no existe un índice secundario que lo contemple, la única opción disponible es </w:t>
      </w:r>
      <w:r>
        <w:rPr>
          <w:b/>
          <w:bCs/>
        </w:rPr>
        <w:t xml:space="preserve">Scan</w:t>
      </w:r>
      <w:r>
        <w:t xml:space="preserve">.</w:t>
      </w:r>
    </w:p>
    <w:p>
      <w:pPr>
        <w:pStyle w:val="Heading2"/>
        <w:spacing w:after="160" w:before="280"/>
      </w:pPr>
      <w:r>
        <w:t xml:space="preserve">2.6. Balanceo de carga: Application Load Balancer</w:t>
      </w:r>
    </w:p>
    <w:p>
      <w:pPr>
        <w:spacing w:after="140" w:line="300"/>
        <w:jc w:val="both"/>
      </w:pPr>
      <w:r>
        <w:t xml:space="preserve">Un Application Load Balancer opera en la capa de aplicación del modelo de red y distribuye las peticiones entrantes entre un conjunto de destinos registrados, verificando periódicamente su estado de salud y retirando de la rotación aquellos que no responden.</w:t>
      </w:r>
    </w:p>
    <w:p>
      <w:pPr>
        <w:spacing w:after="140" w:line="300"/>
        <w:jc w:val="both"/>
      </w:pPr>
      <w:r>
        <w:t xml:space="preserve">En esta arquitectura desempeña además una función de seguridad: al ser el único componente accesible desde internet, permite que la capa de aplicación permanezca en una subred privada sin dirección pública.</w:t>
      </w:r>
    </w:p>
    <w:p>
      <w:pPr>
        <w:pStyle w:val="Heading2"/>
        <w:spacing w:after="160" w:before="280"/>
      </w:pPr>
      <w:r>
        <w:t xml:space="preserve">2.7. Aislamiento de red y VPC endpoints</w:t>
      </w:r>
    </w:p>
    <w:p>
      <w:pPr>
        <w:spacing w:after="140" w:line="300"/>
        <w:jc w:val="both"/>
      </w:pPr>
      <w:r>
        <w:t xml:space="preserve">Una Virtual Private Cloud es una red virtual aislada dentro del proveedor, subdividida en subredes. Se denomina pública a la subred cuya tabla de rutas contempla una salida hacia internet, y privada a la que carece de ella.</w:t>
      </w:r>
    </w:p>
    <w:p>
      <w:pPr>
        <w:spacing w:after="140" w:line="300"/>
        <w:jc w:val="both"/>
      </w:pPr>
      <w:r>
        <w:t xml:space="preserve">Un recurso ubicado en una subred privada sin salida a internet no puede, en principio, comunicarse con los servicios del propio proveedor, dado que sus interfaces son públicas. Un VPC endpoint resuelve esta situación estableciendo una vía privada hacia un servicio concreto, de modo que el tráfico discurre por la red interna del proveedor.</w:t>
      </w:r>
    </w:p>
    <w:p>
      <w:pPr>
        <w:spacing w:after="140" w:line="300"/>
        <w:jc w:val="both"/>
      </w:pPr>
      <w:r>
        <w:t xml:space="preserve">Existen dos modalidades cuya diferencia resulta económicamente relevante. Los endpoints de tipo Gateway se implementan como entradas en la tabla de rutas y no tienen coste; están disponibles únicamente para Amazon S3 y DynamoDB. Los de tipo Interface crean una interfaz de red efectiva dentro de la subred y se facturan por hora de existencia, con independencia de su utilización.</w:t>
      </w:r>
    </w:p>
    <w:p>
      <w:r>
        <w:br w:type="page"/>
      </w:r>
    </w:p>
    <w:p>
      <w:pPr>
        <w:pStyle w:val="Heading1"/>
        <w:spacing w:after="220" w:before="360"/>
      </w:pPr>
      <w:r>
        <w:t xml:space="preserve">3. Análisis y requisitos</w:t>
      </w:r>
    </w:p>
    <w:p>
      <w:pPr>
        <w:pStyle w:val="Heading2"/>
        <w:spacing w:after="160" w:before="280"/>
      </w:pPr>
      <w:r>
        <w:t xml:space="preserve">3.1. Requisitos funcionales</w:t>
      </w:r>
    </w:p>
    <w:p>
      <w:pPr>
        <w:spacing w:after="140" w:line="300"/>
        <w:jc w:val="both"/>
      </w:pPr>
      <w:r>
        <w:t xml:space="preserve">Se han identificado los siguientes requisitos funcionales, con indicación de su grado de cumplimiento en la versión entregada:</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6320"/>
        <w:gridCol w:w="1800"/>
      </w:tblGrid>
      <w:tr>
        <w:trPr>
          <w:tblHeader/>
        </w:trPr>
        <w:tc>
          <w:tcPr>
            <w:tcW w:type="dxa" w:w="9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Ref.</w:t>
            </w:r>
          </w:p>
        </w:tc>
        <w:tc>
          <w:tcPr>
            <w:tcW w:type="dxa" w:w="63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Requisito</w:t>
            </w:r>
          </w:p>
        </w:tc>
        <w:tc>
          <w:tcPr>
            <w:tcW w:type="dxa" w:w="18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Estado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RF-1</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Consultar el catálogo completo de carreras desde una interfaz web</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RF-2</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Buscar carreras por nombre y por ciudad</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RF-3</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Filtrar carreras por país</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RF-4</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Filtrar carreras por distancia</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RF-5</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Registrar carreras nuevas mediante formulario</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RF-6</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Buscar carreras por fecha</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No 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RF-7</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Visualizar el circuito de cada carrera</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No cumplido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RF-8</w:t>
            </w:r>
          </w:p>
        </w:tc>
        <w:tc>
          <w:tcPr>
            <w:tcW w:type="dxa" w:w="6320"/>
            <w:tcMar>
              <w:top w:type="dxa" w:w="70"/>
              <w:left w:type="dxa" w:w="110"/>
              <w:bottom w:type="dxa" w:w="70"/>
              <w:right w:type="dxa" w:w="110"/>
            </w:tcMar>
            <w:vAlign w:val="center"/>
          </w:tcPr>
          <w:p>
            <w:pPr>
              <w:spacing w:after="0" w:line="260"/>
              <w:jc w:val="left"/>
            </w:pPr>
            <w:r>
              <w:rPr>
                <w:b w:val="false"/>
                <w:bCs w:val="false"/>
                <w:sz w:val="18"/>
                <w:szCs w:val="18"/>
              </w:rPr>
              <w:t xml:space="preserve">Modificar y eliminar carreras existentes</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No cumplido</w:t>
            </w:r>
          </w:p>
        </w:tc>
      </w:tr>
    </w:tbl>
    <w:p>
      <w:pPr>
        <w:spacing w:after="240" w:before="60"/>
        <w:jc w:val="left"/>
      </w:pPr>
      <w:r>
        <w:rPr>
          <w:i/>
          <w:iCs/>
          <w:color w:val="595959"/>
          <w:sz w:val="17"/>
          <w:szCs w:val="17"/>
        </w:rPr>
        <w:t xml:space="preserve">Tabla 3.1. Requisitos funcionales y grado de cumplimiento.</w:t>
      </w:r>
    </w:p>
    <w:p>
      <w:pPr>
        <w:spacing w:after="140" w:line="300"/>
        <w:jc w:val="both"/>
      </w:pPr>
      <w:r>
        <w:t xml:space="preserve">Los requisitos RF-6 y RF-7 formaban parte del planteamiento inicial del proyecto y no se han alcanzado. RF-7 exigiría además ampliar la API para admitir la carga de archivos, funcionalidad que no se ha abordado. RF-8 supone completar el conjunto de operaciones sobre los datos, actualmente limitado a creación y consulta.</w:t>
      </w:r>
    </w:p>
    <w:p>
      <w:pPr>
        <w:pStyle w:val="Heading2"/>
        <w:spacing w:after="160" w:before="280"/>
      </w:pPr>
      <w:r>
        <w:t xml:space="preserve">3.2. Requisitos no funcionales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1000"/>
        <w:gridCol w:w="6220"/>
        <w:gridCol w:w="1800"/>
      </w:tblGrid>
      <w:tr>
        <w:trPr>
          <w:tblHeader/>
        </w:trPr>
        <w:tc>
          <w:tcPr>
            <w:tcW w:type="dxa" w:w="1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Ref.</w:t>
            </w:r>
          </w:p>
        </w:tc>
        <w:tc>
          <w:tcPr>
            <w:tcW w:type="dxa" w:w="62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Requisito</w:t>
            </w:r>
          </w:p>
        </w:tc>
        <w:tc>
          <w:tcPr>
            <w:tcW w:type="dxa" w:w="18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Estado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RNF-1</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Arquitectura desacoplada en tres capas independientes</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RNF-2</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Infraestructura definida íntegramente como código</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RNF-3</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Capa de aplicación contenedorizada</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RNF-4</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Capa de aplicación inaccesible directamente desde internet</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RNF-5</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Despliegue reproducible desde un entorno vacío</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RNF-6</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Registro centralizado de trazas de ejecución</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RNF-7</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Tolerancia al fallo de una instancia de la capa de aplicación</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RNF-8</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Tolerancia al fallo de una zona de disponibilidad</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RNF-9</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Comunicación cifrada de extremo a extremo</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No alcanzable</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RNF-10</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Integración continua</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RNF-11</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Despliegue automatizado</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Cumplido (disparo manual)</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RNF-12</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Asistente conversacional con Amazon Bedrock</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No viable</w:t>
            </w:r>
          </w:p>
        </w:tc>
      </w:tr>
      <w:tr>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RNF-13</w:t>
            </w:r>
          </w:p>
        </w:tc>
        <w:tc>
          <w:tcPr>
            <w:tcW w:type="dxa" w:w="6220"/>
            <w:tcMar>
              <w:top w:type="dxa" w:w="70"/>
              <w:left w:type="dxa" w:w="110"/>
              <w:bottom w:type="dxa" w:w="70"/>
              <w:right w:type="dxa" w:w="110"/>
            </w:tcMar>
            <w:vAlign w:val="center"/>
          </w:tcPr>
          <w:p>
            <w:pPr>
              <w:spacing w:after="0" w:line="260"/>
              <w:jc w:val="left"/>
            </w:pPr>
            <w:r>
              <w:rPr>
                <w:b w:val="false"/>
                <w:bCs w:val="false"/>
                <w:sz w:val="18"/>
                <w:szCs w:val="18"/>
              </w:rPr>
              <w:t xml:space="preserve">Autenticación de usuarios</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Fuera de alcance</w:t>
            </w:r>
          </w:p>
        </w:tc>
      </w:tr>
    </w:tbl>
    <w:p>
      <w:pPr>
        <w:spacing w:after="240" w:before="60"/>
        <w:jc w:val="left"/>
      </w:pPr>
      <w:r>
        <w:rPr>
          <w:i/>
          <w:iCs/>
          <w:color w:val="595959"/>
          <w:sz w:val="17"/>
          <w:szCs w:val="17"/>
        </w:rPr>
        <w:t xml:space="preserve">Tabla 3.2. Requisitos no funcionales y grado de cumplimiento.</w:t>
      </w:r>
    </w:p>
    <w:p>
      <w:pPr>
        <w:spacing w:after="140" w:line="300"/>
        <w:jc w:val="both"/>
      </w:pPr>
      <w:r>
        <w:t xml:space="preserve">Tres calificaciones requieren precisión terminológica. RNF-9 se califica como no alcanzable y no como incumplido: su satisfacción exige un certificado emitido por una autoridad de certificación, cuya validación requiere el control de un dominio propio del que no se dispone en el entorno de prácticas (apartado 10.2).</w:t>
      </w:r>
    </w:p>
    <w:p>
      <w:pPr>
        <w:spacing w:after="140" w:line="300"/>
        <w:jc w:val="both"/>
      </w:pPr>
      <w:r>
        <w:t xml:space="preserve">RNF-11 se considera cumplido pese al disparo manual: el procedimiento de despliegue existe, funciona y se ejecuta desde el propio repositorio. Que se accione manualmente responde a dos restricciones estructurales del entorno analizadas en el apartado 7.4, y constituye además práctica habitual en entornos productivos.</w:t>
      </w:r>
    </w:p>
    <w:p>
      <w:pPr>
        <w:spacing w:after="140" w:line="300"/>
        <w:jc w:val="both"/>
      </w:pPr>
      <w:r>
        <w:t xml:space="preserve">RNF-12 se califica como no viable: el análisis de viabilidad del apartado 5.5 identifica tres impedimentos, ninguno relacionado con la disponibilidad de tiempo o de conocimiento.</w:t>
      </w:r>
    </w:p>
    <w:p>
      <w:pPr>
        <w:pStyle w:val="Heading2"/>
        <w:spacing w:after="160" w:before="280"/>
      </w:pPr>
      <w:r>
        <w:t xml:space="preserve">3.3. Delimitación del alcance</w:t>
      </w:r>
    </w:p>
    <w:p>
      <w:pPr>
        <w:spacing w:after="140" w:line="300"/>
        <w:jc w:val="both"/>
      </w:pPr>
      <w:r>
        <w:t xml:space="preserve">Se excluyeron desde el inicio las funcionalidades identificadas como opcionales en el planteamiento del proyecto: funciones de cómputo dirigidas por eventos, análisis automatizado de vulnerabilidades en las imágenes de contenedor y asistente conversacional basado en modelos de lenguaje.</w:t>
      </w:r>
    </w:p>
    <w:p>
      <w:pPr>
        <w:spacing w:after="140" w:line="300"/>
        <w:jc w:val="both"/>
      </w:pPr>
      <w:r>
        <w:t xml:space="preserve">Se excluye igualmente la gestión de usuarios y la autenticación. La API resultante es de acceso público, circunstancia analizada en el apartado 10.2.</w:t>
      </w:r>
    </w:p>
    <w:p>
      <w:r>
        <w:br w:type="page"/>
      </w:r>
    </w:p>
    <w:p>
      <w:pPr>
        <w:pStyle w:val="Heading1"/>
        <w:spacing w:after="220" w:before="360"/>
      </w:pPr>
      <w:r>
        <w:t xml:space="preserve">4. Arquitectura de la solución</w:t>
      </w:r>
    </w:p>
    <w:p>
      <w:pPr>
        <w:pStyle w:val="Heading2"/>
        <w:spacing w:after="160" w:before="280"/>
      </w:pPr>
      <w:r>
        <w:t xml:space="preserve">4.1. Visión general</w:t>
      </w:r>
    </w:p>
    <w:p>
      <w:pPr>
        <w:spacing w:after="140" w:line="300"/>
        <w:jc w:val="both"/>
      </w:pPr>
      <w:r>
        <w:t xml:space="preserve">La solución se estructura en tres capas físicamente separadas, cada una desplegada en un servicio distinto del proveedor. El siguiente esquema representa los componentes y los flujos de comunicación entre ellos:</w:t>
      </w:r>
    </w:p>
    <w:p>
      <w:pPr>
        <w:shd w:fill="F2F2F2" w:val="clear"/>
        <w:spacing w:after="170" w:before="90" w:line="230"/>
        <w:ind w:left="200" w:right="200"/>
      </w:pPr>
      <w:r>
        <w:rPr>
          <w:rFonts w:ascii="Consolas" w:cs="Consolas" w:eastAsia="Consolas" w:hAnsi="Consolas"/>
          <w:sz w:val="15"/>
          <w:szCs w:val="15"/>
        </w:rPr>
        <w:t xml:space="preserve">                          Navegador del usuario</w:t>
      </w:r>
      <w:r>
        <w:rPr>
          <w:rFonts w:ascii="Consolas" w:cs="Consolas" w:eastAsia="Consolas" w:hAnsi="Consolas"/>
          <w:sz w:val="15"/>
          <w:szCs w:val="15"/>
        </w:rPr>
        <w:br/>
        <w:t xml:space="preserve">                                   |</w:t>
      </w:r>
      <w:r>
        <w:rPr>
          <w:rFonts w:ascii="Consolas" w:cs="Consolas" w:eastAsia="Consolas" w:hAnsi="Consolas"/>
          <w:sz w:val="15"/>
          <w:szCs w:val="15"/>
        </w:rPr>
        <w:br/>
        <w:t xml:space="preserve">              +--------------------+--------------------+</w:t>
      </w:r>
      <w:r>
        <w:rPr>
          <w:rFonts w:ascii="Consolas" w:cs="Consolas" w:eastAsia="Consolas" w:hAnsi="Consolas"/>
          <w:sz w:val="15"/>
          <w:szCs w:val="15"/>
        </w:rPr>
        <w:br/>
        <w:t xml:space="preserve">              | (1) descarga la interfaz                | (2) invoca la API</w:t>
      </w:r>
      <w:r>
        <w:rPr>
          <w:rFonts w:ascii="Consolas" w:cs="Consolas" w:eastAsia="Consolas" w:hAnsi="Consolas"/>
          <w:sz w:val="15"/>
          <w:szCs w:val="15"/>
        </w:rPr>
        <w:br/>
        <w:t xml:space="preserve">              v                                         v</w:t>
      </w:r>
      <w:r>
        <w:rPr>
          <w:rFonts w:ascii="Consolas" w:cs="Consolas" w:eastAsia="Consolas" w:hAnsi="Consolas"/>
          <w:sz w:val="15"/>
          <w:szCs w:val="15"/>
        </w:rPr>
        <w:br/>
        <w:t xml:space="preserve">   +---------------------+              +--------------------------------+</w:t>
      </w:r>
      <w:r>
        <w:rPr>
          <w:rFonts w:ascii="Consolas" w:cs="Consolas" w:eastAsia="Consolas" w:hAnsi="Consolas"/>
          <w:sz w:val="15"/>
          <w:szCs w:val="15"/>
        </w:rPr>
        <w:br/>
        <w:t xml:space="preserve">   |  Amazon S3          |              |  Application Load Balancer     |</w:t>
      </w:r>
      <w:r>
        <w:rPr>
          <w:rFonts w:ascii="Consolas" w:cs="Consolas" w:eastAsia="Consolas" w:hAnsi="Consolas"/>
          <w:sz w:val="15"/>
          <w:szCs w:val="15"/>
        </w:rPr>
        <w:br/>
        <w:t xml:space="preserve">   |  sitio web estatico |              |  subredes publicas (2 zonas)   |</w:t>
      </w:r>
      <w:r>
        <w:rPr>
          <w:rFonts w:ascii="Consolas" w:cs="Consolas" w:eastAsia="Consolas" w:hAnsi="Consolas"/>
          <w:sz w:val="15"/>
          <w:szCs w:val="15"/>
        </w:rPr>
        <w:br/>
        <w:t xml:space="preserve">   |  interfaz Angular   |              |  puerto 80                     |</w:t>
      </w:r>
      <w:r>
        <w:rPr>
          <w:rFonts w:ascii="Consolas" w:cs="Consolas" w:eastAsia="Consolas" w:hAnsi="Consolas"/>
          <w:sz w:val="15"/>
          <w:szCs w:val="15"/>
        </w:rPr>
        <w:br/>
        <w:t xml:space="preserve">   +---------------------+              +--------------------------------+</w:t>
      </w:r>
      <w:r>
        <w:rPr>
          <w:rFonts w:ascii="Consolas" w:cs="Consolas" w:eastAsia="Consolas" w:hAnsi="Consolas"/>
          <w:sz w:val="15"/>
          <w:szCs w:val="15"/>
        </w:rPr>
        <w:br/>
        <w:t xml:space="preserve">                                                        |</w:t>
      </w:r>
      <w:r>
        <w:rPr>
          <w:rFonts w:ascii="Consolas" w:cs="Consolas" w:eastAsia="Consolas" w:hAnsi="Consolas"/>
          <w:sz w:val="15"/>
          <w:szCs w:val="15"/>
        </w:rPr>
        <w:br/>
        <w:t xml:space="preserve">                                                        v</w:t>
      </w:r>
      <w:r>
        <w:rPr>
          <w:rFonts w:ascii="Consolas" w:cs="Consolas" w:eastAsia="Consolas" w:hAnsi="Consolas"/>
          <w:sz w:val="15"/>
          <w:szCs w:val="15"/>
        </w:rPr>
        <w:br/>
        <w:t xml:space="preserve">                                        +--------------------------------+</w:t>
      </w:r>
      <w:r>
        <w:rPr>
          <w:rFonts w:ascii="Consolas" w:cs="Consolas" w:eastAsia="Consolas" w:hAnsi="Consolas"/>
          <w:sz w:val="15"/>
          <w:szCs w:val="15"/>
        </w:rPr>
        <w:br/>
        <w:t xml:space="preserve">                                        |  Amazon ECS - Fargate          |</w:t>
      </w:r>
      <w:r>
        <w:rPr>
          <w:rFonts w:ascii="Consolas" w:cs="Consolas" w:eastAsia="Consolas" w:hAnsi="Consolas"/>
          <w:sz w:val="15"/>
          <w:szCs w:val="15"/>
        </w:rPr>
        <w:br/>
        <w:t xml:space="preserve">                                        |  subred privada, 2 tareas      |</w:t>
      </w:r>
      <w:r>
        <w:rPr>
          <w:rFonts w:ascii="Consolas" w:cs="Consolas" w:eastAsia="Consolas" w:hAnsi="Consolas"/>
          <w:sz w:val="15"/>
          <w:szCs w:val="15"/>
        </w:rPr>
        <w:br/>
        <w:t xml:space="preserve">                                        |  API Node.js, puerto 5000      |</w:t>
      </w:r>
      <w:r>
        <w:rPr>
          <w:rFonts w:ascii="Consolas" w:cs="Consolas" w:eastAsia="Consolas" w:hAnsi="Consolas"/>
          <w:sz w:val="15"/>
          <w:szCs w:val="15"/>
        </w:rPr>
        <w:br/>
        <w:t xml:space="preserve">                                        +--------------------------------+</w:t>
      </w:r>
      <w:r>
        <w:rPr>
          <w:rFonts w:ascii="Consolas" w:cs="Consolas" w:eastAsia="Consolas" w:hAnsi="Consolas"/>
          <w:sz w:val="15"/>
          <w:szCs w:val="15"/>
        </w:rPr>
        <w:br/>
        <w:t xml:space="preserve">                                              |                    |</w:t>
      </w:r>
      <w:r>
        <w:rPr>
          <w:rFonts w:ascii="Consolas" w:cs="Consolas" w:eastAsia="Consolas" w:hAnsi="Consolas"/>
          <w:sz w:val="15"/>
          <w:szCs w:val="15"/>
        </w:rPr>
        <w:br/>
        <w:t xml:space="preserve">                            VPC endpoint      |                    |  VPC endpoints</w:t>
      </w:r>
      <w:r>
        <w:rPr>
          <w:rFonts w:ascii="Consolas" w:cs="Consolas" w:eastAsia="Consolas" w:hAnsi="Consolas"/>
          <w:sz w:val="15"/>
          <w:szCs w:val="15"/>
        </w:rPr>
        <w:br/>
        <w:t xml:space="preserve">                            (Gateway)         v                    v  (Interface)</w:t>
      </w:r>
      <w:r>
        <w:rPr>
          <w:rFonts w:ascii="Consolas" w:cs="Consolas" w:eastAsia="Consolas" w:hAnsi="Consolas"/>
          <w:sz w:val="15"/>
          <w:szCs w:val="15"/>
        </w:rPr>
        <w:br/>
        <w:t xml:space="preserve">                                  +---------------------+   +-------------------+</w:t>
      </w:r>
      <w:r>
        <w:rPr>
          <w:rFonts w:ascii="Consolas" w:cs="Consolas" w:eastAsia="Consolas" w:hAnsi="Consolas"/>
          <w:sz w:val="15"/>
          <w:szCs w:val="15"/>
        </w:rPr>
        <w:br/>
        <w:t xml:space="preserve">                                  |  Amazon DynamoDB    |   |  ECR / CloudWatch |</w:t>
      </w:r>
      <w:r>
        <w:rPr>
          <w:rFonts w:ascii="Consolas" w:cs="Consolas" w:eastAsia="Consolas" w:hAnsi="Consolas"/>
          <w:sz w:val="15"/>
          <w:szCs w:val="15"/>
        </w:rPr>
        <w:br/>
        <w:t xml:space="preserve">                                  |  tabla races        |   |                   |</w:t>
      </w:r>
      <w:r>
        <w:rPr>
          <w:rFonts w:ascii="Consolas" w:cs="Consolas" w:eastAsia="Consolas" w:hAnsi="Consolas"/>
          <w:sz w:val="15"/>
          <w:szCs w:val="15"/>
        </w:rPr>
        <w:br/>
        <w:t xml:space="preserve">                                  +---------------------+   +-------------------+</w:t>
      </w:r>
    </w:p>
    <w:p>
      <w:pPr>
        <w:spacing w:after="240" w:before="60"/>
        <w:jc w:val="left"/>
      </w:pPr>
      <w:r>
        <w:rPr>
          <w:i/>
          <w:iCs/>
          <w:color w:val="595959"/>
          <w:sz w:val="17"/>
          <w:szCs w:val="17"/>
        </w:rPr>
        <w:t xml:space="preserve">Figura 4.1. Arquitectura de la solución y flujos de comunicación.</w:t>
      </w:r>
    </w:p>
    <w:p>
      <w:pPr>
        <w:spacing w:after="140" w:line="300"/>
        <w:jc w:val="both"/>
      </w:pPr>
      <w:r>
        <w:t xml:space="preserve">El navegador del usuario realiza dos tipos de petición mutuamente independientes. En primer lugar descarga los archivos estáticos de la interfaz desde Amazon S3. Una vez la aplicación se ejecuta en el cliente, invoca la API a través del balanceador de carga. No existe comunicación directa entre S3 y el resto de los componentes: el navegador actúa como intermediario.</w:t>
      </w:r>
    </w:p>
    <w:p>
      <w:pPr>
        <w:pStyle w:val="Heading2"/>
        <w:spacing w:after="160" w:before="280"/>
      </w:pPr>
      <w:r>
        <w:t xml:space="preserve">4.2. Capa de presentación</w:t>
      </w:r>
    </w:p>
    <w:p>
      <w:pPr>
        <w:spacing w:after="140" w:line="300"/>
        <w:jc w:val="both"/>
      </w:pPr>
      <w:r>
        <w:t xml:space="preserve">La interfaz es una aplicación Angular 22 compilada a un conjunto de archivos estáticos y servida desde un bucket de Amazon S3 configurado en modalidad de sitio web. No existe servidor de aplicaciones: la totalidad de la lógica de presentación se ejecuta en el navegador del usuario.</w:t>
      </w:r>
    </w:p>
    <w:p>
      <w:pPr>
        <w:spacing w:after="140" w:line="300"/>
        <w:jc w:val="both"/>
      </w:pPr>
      <w:r>
        <w:t xml:space="preserve">El documento de error del bucket apunta al mismo archivo que el documento de índice. Esta configuración, aparentemente anómala, resulta necesaria en una aplicación de página única: las rutas internas de la aplicación no corresponden a archivos reales del bucket, de modo que S3 responde con un error de recurso no encontrado y el contenido del documento de índice, tras lo cual el enrutador de la aplicación resuelve la ruta en el cliente.</w:t>
      </w:r>
    </w:p>
    <w:p>
      <w:pPr>
        <w:pStyle w:val="Heading2"/>
        <w:spacing w:after="160" w:before="280"/>
      </w:pPr>
      <w:r>
        <w:t xml:space="preserve">4.3. Capa de aplicación</w:t>
      </w:r>
    </w:p>
    <w:p>
      <w:pPr>
        <w:spacing w:after="140" w:line="300"/>
        <w:jc w:val="both"/>
      </w:pPr>
      <w:r>
        <w:t xml:space="preserve">La API se implementa en Node.js 24 con el marco de trabajo Express 5, se empaqueta en una imagen de contenedor basada en la distribución Alpine y se ejecuta como servicio de Amazon ECS con el modo de lanzamiento Fargate.</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20"/>
      </w:tblGrid>
      <w:tr>
        <w:trPr>
          <w:tblHeader/>
        </w:trPr>
        <w:tc>
          <w:tcPr>
            <w:tcW w:type="dxa" w:w="3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Parámetro</w:t>
            </w:r>
          </w:p>
        </w:tc>
        <w:tc>
          <w:tcPr>
            <w:tcW w:type="dxa" w:w="60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Valor</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Clúster</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marathon-cluster</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Definición de tarea</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marathon-task</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Recursos por tarea</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512 unidades de CPU (0,5 vCPU) y 1024 MB de memoria</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Plataforma</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Linux, arquitectura X86_64</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Servicio</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marathon-service</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Número de tareas</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2</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Ubicación</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Subred privada, sin dirección IP pública</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Puerto del contenedor</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5000/TCP</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Destino de trazas</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Grupo de registro /ecs/half-marathon en CloudWatch</w:t>
            </w:r>
          </w:p>
        </w:tc>
      </w:tr>
    </w:tbl>
    <w:p>
      <w:pPr>
        <w:spacing w:after="240" w:before="60"/>
        <w:jc w:val="left"/>
      </w:pPr>
      <w:r>
        <w:rPr>
          <w:i/>
          <w:iCs/>
          <w:color w:val="595959"/>
          <w:sz w:val="17"/>
          <w:szCs w:val="17"/>
        </w:rPr>
        <w:t xml:space="preserve">Tabla 4.1. Configuración de la capa de aplicación.</w:t>
      </w:r>
    </w:p>
    <w:p>
      <w:pPr>
        <w:spacing w:after="140" w:line="300"/>
        <w:jc w:val="both"/>
      </w:pPr>
      <w:r>
        <w:t xml:space="preserve">El servicio mantiene dos tareas en ejecución con el fin de tolerar el fallo de una de ellas, y recibe la relación completa de subredes privadas, una por zona de disponibilidad. El orquestador distribuye las tareas entre las subredes disponibles, de modo que la redundancia protege tanto frente al fallo de una tarea como frente al fallo de una zona completa. Se satisface así el requisito RNF-8, cuyo coste asociado se cuantifica en el apartado 9.2.</w:t>
      </w:r>
    </w:p>
    <w:p>
      <w:pPr>
        <w:pStyle w:val="Heading2"/>
        <w:spacing w:after="160" w:before="280"/>
      </w:pPr>
      <w:r>
        <w:t xml:space="preserve">4.4. Capa de datos</w:t>
      </w:r>
    </w:p>
    <w:p>
      <w:pPr>
        <w:spacing w:after="140" w:line="300"/>
        <w:jc w:val="both"/>
      </w:pPr>
      <w:r>
        <w:t xml:space="preserve">Los datos residen en una tabla de Amazon DynamoDB denominada races, con clave de partición id de tipo cadena y modalidad de facturación bajo demanda. No se han definido índices secundarios.</w:t>
      </w:r>
    </w:p>
    <w:p>
      <w:pPr>
        <w:spacing w:after="140" w:line="300"/>
        <w:jc w:val="both"/>
      </w:pPr>
      <w:r>
        <w:t xml:space="preserve">El acceso desde la capa de aplicación se realiza mediante un VPC endpoint de tipo Gateway, de modo que el tráfico no abandona en ningún momento la red interna del proveedor.</w:t>
      </w:r>
    </w:p>
    <w:p>
      <w:pPr>
        <w:pStyle w:val="Heading2"/>
        <w:spacing w:after="160" w:before="280"/>
      </w:pPr>
      <w:r>
        <w:t xml:space="preserve">4.5. Diseño de red</w:t>
      </w:r>
    </w:p>
    <w:p>
      <w:pPr>
        <w:spacing w:after="140" w:line="300"/>
        <w:jc w:val="both"/>
      </w:pPr>
      <w:r>
        <w:t xml:space="preserve">La topología de red constituye el elemento de diseño más determinante de la arquitectura y condiciona tanto su perfil de seguridad como su estructura de coste.</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20"/>
      </w:tblGrid>
      <w:tr>
        <w:trPr>
          <w:tblHeader/>
        </w:trPr>
        <w:tc>
          <w:tcPr>
            <w:tcW w:type="dxa" w:w="3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Elemento</w:t>
            </w:r>
          </w:p>
        </w:tc>
        <w:tc>
          <w:tcPr>
            <w:tcW w:type="dxa" w:w="60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Configuración</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VPC</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10.0.0.0/16, con resolución y nombres DNS habilitados</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Subred pública 1</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10.0.0.0/24, zona us-east-1a</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Subred pública 2</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10.0.1.0/24, zona us-east-1b</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Subred privada 1</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10.0.2.0/24, zona us-east-1a</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Subred privada 2</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10.0.3.0/24, zona us-east-1b</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Tabla de rutas pública</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0.0.0.0/0 hacia el Internet Gateway</w:t>
            </w:r>
          </w:p>
        </w:tc>
      </w:tr>
      <w:tr>
        <w:tc>
          <w:tcPr>
            <w:tcW w:type="dxa" w:w="3000"/>
            <w:tcMar>
              <w:top w:type="dxa" w:w="70"/>
              <w:left w:type="dxa" w:w="110"/>
              <w:bottom w:type="dxa" w:w="70"/>
              <w:right w:type="dxa" w:w="110"/>
            </w:tcMar>
            <w:vAlign w:val="center"/>
          </w:tcPr>
          <w:p>
            <w:pPr>
              <w:spacing w:after="0" w:line="260"/>
              <w:jc w:val="left"/>
            </w:pPr>
            <w:r>
              <w:rPr>
                <w:b w:val="false"/>
                <w:bCs w:val="false"/>
                <w:sz w:val="18"/>
                <w:szCs w:val="18"/>
              </w:rPr>
              <w:t xml:space="preserve">Tabla de rutas privada</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Sin ruta hacia internet</w:t>
            </w:r>
          </w:p>
        </w:tc>
      </w:tr>
    </w:tbl>
    <w:p>
      <w:pPr>
        <w:spacing w:after="240" w:before="60"/>
        <w:jc w:val="left"/>
      </w:pPr>
      <w:r>
        <w:rPr>
          <w:i/>
          <w:iCs/>
          <w:color w:val="595959"/>
          <w:sz w:val="17"/>
          <w:szCs w:val="17"/>
        </w:rPr>
        <w:t xml:space="preserve">Tabla 4.2. Topología de red.</w:t>
      </w:r>
    </w:p>
    <w:p>
      <w:pPr>
        <w:spacing w:after="140" w:line="300"/>
        <w:jc w:val="both"/>
      </w:pPr>
      <w:r>
        <w:t xml:space="preserve">Tanto las subredes públicas como las privadas se despliegan una por zona de disponibilidad, recorriendo la lista de zonas configurada. El servicio de cómputo recibe la relación completa de subredes privadas, de modo que distribuye sus dos tareas entre ambas zonas. La redundancia protege así frente al fallo de una tarea y frente al fallo de una zona completa, satisfaciendo el requisito RNF-8. El coste asociado a esta decisión se cuantifica en el apartado 9.2.</w:t>
      </w:r>
    </w:p>
    <w:p>
      <w:pPr>
        <w:spacing w:after="140" w:line="300"/>
        <w:jc w:val="both"/>
      </w:pPr>
      <w:r>
        <w:t xml:space="preserve">La decisión determinante figura en la última fila: </w:t>
      </w:r>
      <w:r>
        <w:rPr>
          <w:b/>
          <w:bCs/>
        </w:rPr>
        <w:t xml:space="preserve">la subred privada carece por completo de salida hacia internet</w:t>
      </w:r>
      <w:r>
        <w:t xml:space="preserve">, al no disponer ni de Internet Gateway ni de pasarela de traducción de direcciones. La capa de aplicación queda en consecuencia aislada del exterior en ambos sentidos.</w:t>
      </w:r>
    </w:p>
    <w:p>
      <w:pPr>
        <w:spacing w:after="140" w:line="300"/>
        <w:jc w:val="both"/>
      </w:pPr>
      <w:r>
        <w:t xml:space="preserve">Este aislamiento obliga a resolver por vía alternativa el acceso a los servicios del proveedor que las tareas necesitan, lo que motiva la incorporación de cinco VPC endpoints: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1700"/>
        <w:gridCol w:w="1500"/>
        <w:gridCol w:w="4120"/>
        <w:gridCol w:w="1700"/>
      </w:tblGrid>
      <w:tr>
        <w:trPr>
          <w:tblHeader/>
        </w:trPr>
        <w:tc>
          <w:tcPr>
            <w:tcW w:type="dxa" w:w="17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Servicio</w:t>
            </w:r>
          </w:p>
        </w:tc>
        <w:tc>
          <w:tcPr>
            <w:tcW w:type="dxa" w:w="1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Modalidad</w:t>
            </w:r>
          </w:p>
        </w:tc>
        <w:tc>
          <w:tcPr>
            <w:tcW w:type="dxa" w:w="41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Finalidad</w:t>
            </w:r>
          </w:p>
        </w:tc>
        <w:tc>
          <w:tcPr>
            <w:tcW w:type="dxa" w:w="17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Coste</w:t>
            </w:r>
          </w:p>
        </w:tc>
      </w:tr>
      <w:tr>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s3</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Gateway</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Acceso a almacenamiento de objetos</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Sin coste</w:t>
            </w:r>
          </w:p>
        </w:tc>
      </w:tr>
      <w:tr>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dynamodb</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Gateway</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Acceso a la base de datos</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Sin coste</w:t>
            </w:r>
          </w:p>
        </w:tc>
      </w:tr>
      <w:tr>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ecr.api</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Interface</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Consulta al registro de imágenes</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Por hora</w:t>
            </w:r>
          </w:p>
        </w:tc>
      </w:tr>
      <w:tr>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ecr.dkr</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Interface</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Descarga de la imagen del contenedor</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Por hora</w:t>
            </w:r>
          </w:p>
        </w:tc>
      </w:tr>
      <w:tr>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logs</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Interface</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Envío de trazas a CloudWatch</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Por hora</w:t>
            </w:r>
          </w:p>
        </w:tc>
      </w:tr>
    </w:tbl>
    <w:p>
      <w:pPr>
        <w:spacing w:after="240" w:before="60"/>
        <w:jc w:val="left"/>
      </w:pPr>
      <w:r>
        <w:rPr>
          <w:i/>
          <w:iCs/>
          <w:color w:val="595959"/>
          <w:sz w:val="17"/>
          <w:szCs w:val="17"/>
        </w:rPr>
        <w:t xml:space="preserve">Tabla 4.3. VPC endpoints desplegados.</w:t>
      </w:r>
    </w:p>
    <w:p>
      <w:pPr>
        <w:spacing w:after="140" w:line="300"/>
        <w:jc w:val="both"/>
      </w:pPr>
      <w:r>
        <w:t xml:space="preserve">Los tres endpoints de modalidad Interface constituyen un coste directo y permanente derivado de la decisión de aislamiento. Su impacto económico se cuantifica en el capítulo 9.</w:t>
      </w:r>
    </w:p>
    <w:p>
      <w:pPr>
        <w:pStyle w:val="Heading2"/>
        <w:spacing w:after="160" w:before="280"/>
      </w:pPr>
      <w:r>
        <w:t xml:space="preserve">4.6. Modelo de seguridad de red</w:t>
      </w:r>
    </w:p>
    <w:p>
      <w:pPr>
        <w:spacing w:after="140" w:line="300"/>
        <w:jc w:val="both"/>
      </w:pPr>
      <w:r>
        <w:t xml:space="preserve">Los grupos de seguridad se han configurado encadenados por referencia mutua, y no mediante rangos de direcciones, de modo que cada capa admite tráfico exclusivamente de la inmediatamente anterior:</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800"/>
        <w:gridCol w:w="2600"/>
        <w:gridCol w:w="3620"/>
      </w:tblGrid>
      <w:tr>
        <w:trPr>
          <w:tblHeader/>
        </w:trPr>
        <w:tc>
          <w:tcPr>
            <w:tcW w:type="dxa" w:w="28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Grupo de seguridad</w:t>
            </w:r>
          </w:p>
        </w:tc>
        <w:tc>
          <w:tcPr>
            <w:tcW w:type="dxa" w:w="26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Puertos admitidos</w:t>
            </w:r>
          </w:p>
        </w:tc>
        <w:tc>
          <w:tcPr>
            <w:tcW w:type="dxa" w:w="36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Origen autorizado</w:t>
            </w:r>
          </w:p>
        </w:tc>
      </w:tr>
      <w:tr>
        <w:tc>
          <w:tcPr>
            <w:tcW w:type="dxa" w:w="2800"/>
            <w:tcMar>
              <w:top w:type="dxa" w:w="70"/>
              <w:left w:type="dxa" w:w="110"/>
              <w:bottom w:type="dxa" w:w="70"/>
              <w:right w:type="dxa" w:w="110"/>
            </w:tcMar>
            <w:vAlign w:val="center"/>
          </w:tcPr>
          <w:p>
            <w:pPr>
              <w:spacing w:after="0" w:line="260"/>
              <w:jc w:val="left"/>
            </w:pPr>
            <w:r>
              <w:rPr>
                <w:b w:val="false"/>
                <w:bCs w:val="false"/>
                <w:sz w:val="18"/>
                <w:szCs w:val="18"/>
              </w:rPr>
              <w:t xml:space="preserve">ecs-alb-sg</w:t>
            </w:r>
          </w:p>
        </w:tc>
        <w:tc>
          <w:tcPr>
            <w:tcW w:type="dxa" w:w="2600"/>
            <w:tcMar>
              <w:top w:type="dxa" w:w="70"/>
              <w:left w:type="dxa" w:w="110"/>
              <w:bottom w:type="dxa" w:w="70"/>
              <w:right w:type="dxa" w:w="110"/>
            </w:tcMar>
            <w:vAlign w:val="center"/>
          </w:tcPr>
          <w:p>
            <w:pPr>
              <w:spacing w:after="0" w:line="260"/>
              <w:jc w:val="left"/>
            </w:pPr>
            <w:r>
              <w:rPr>
                <w:b w:val="false"/>
                <w:bCs w:val="false"/>
                <w:sz w:val="18"/>
                <w:szCs w:val="18"/>
              </w:rPr>
              <w:t xml:space="preserve">80 y 443</w:t>
            </w:r>
          </w:p>
        </w:tc>
        <w:tc>
          <w:tcPr>
            <w:tcW w:type="dxa" w:w="3620"/>
            <w:tcMar>
              <w:top w:type="dxa" w:w="70"/>
              <w:left w:type="dxa" w:w="110"/>
              <w:bottom w:type="dxa" w:w="70"/>
              <w:right w:type="dxa" w:w="110"/>
            </w:tcMar>
            <w:vAlign w:val="center"/>
          </w:tcPr>
          <w:p>
            <w:pPr>
              <w:spacing w:after="0" w:line="260"/>
              <w:jc w:val="left"/>
            </w:pPr>
            <w:r>
              <w:rPr>
                <w:b w:val="false"/>
                <w:bCs w:val="false"/>
                <w:sz w:val="18"/>
                <w:szCs w:val="18"/>
              </w:rPr>
              <w:t xml:space="preserve">0.0.0.0/0 (internet)</w:t>
            </w:r>
          </w:p>
        </w:tc>
      </w:tr>
      <w:tr>
        <w:tc>
          <w:tcPr>
            <w:tcW w:type="dxa" w:w="2800"/>
            <w:tcMar>
              <w:top w:type="dxa" w:w="70"/>
              <w:left w:type="dxa" w:w="110"/>
              <w:bottom w:type="dxa" w:w="70"/>
              <w:right w:type="dxa" w:w="110"/>
            </w:tcMar>
            <w:vAlign w:val="center"/>
          </w:tcPr>
          <w:p>
            <w:pPr>
              <w:spacing w:after="0" w:line="260"/>
              <w:jc w:val="left"/>
            </w:pPr>
            <w:r>
              <w:rPr>
                <w:b w:val="false"/>
                <w:bCs w:val="false"/>
                <w:sz w:val="18"/>
                <w:szCs w:val="18"/>
              </w:rPr>
              <w:t xml:space="preserve">ecs-service-sg</w:t>
            </w:r>
          </w:p>
        </w:tc>
        <w:tc>
          <w:tcPr>
            <w:tcW w:type="dxa" w:w="2600"/>
            <w:tcMar>
              <w:top w:type="dxa" w:w="70"/>
              <w:left w:type="dxa" w:w="110"/>
              <w:bottom w:type="dxa" w:w="70"/>
              <w:right w:type="dxa" w:w="110"/>
            </w:tcMar>
            <w:vAlign w:val="center"/>
          </w:tcPr>
          <w:p>
            <w:pPr>
              <w:spacing w:after="0" w:line="260"/>
              <w:jc w:val="left"/>
            </w:pPr>
            <w:r>
              <w:rPr>
                <w:b w:val="false"/>
                <w:bCs w:val="false"/>
                <w:sz w:val="18"/>
                <w:szCs w:val="18"/>
              </w:rPr>
              <w:t xml:space="preserve">5000</w:t>
            </w:r>
          </w:p>
        </w:tc>
        <w:tc>
          <w:tcPr>
            <w:tcW w:type="dxa" w:w="3620"/>
            <w:tcMar>
              <w:top w:type="dxa" w:w="70"/>
              <w:left w:type="dxa" w:w="110"/>
              <w:bottom w:type="dxa" w:w="70"/>
              <w:right w:type="dxa" w:w="110"/>
            </w:tcMar>
            <w:vAlign w:val="center"/>
          </w:tcPr>
          <w:p>
            <w:pPr>
              <w:spacing w:after="0" w:line="260"/>
              <w:jc w:val="left"/>
            </w:pPr>
            <w:r>
              <w:rPr>
                <w:b w:val="false"/>
                <w:bCs w:val="false"/>
                <w:sz w:val="18"/>
                <w:szCs w:val="18"/>
              </w:rPr>
              <w:t xml:space="preserve">Exclusivamente ecs-alb-sg</w:t>
            </w:r>
          </w:p>
        </w:tc>
      </w:tr>
      <w:tr>
        <w:tc>
          <w:tcPr>
            <w:tcW w:type="dxa" w:w="2800"/>
            <w:tcMar>
              <w:top w:type="dxa" w:w="70"/>
              <w:left w:type="dxa" w:w="110"/>
              <w:bottom w:type="dxa" w:w="70"/>
              <w:right w:type="dxa" w:w="110"/>
            </w:tcMar>
            <w:vAlign w:val="center"/>
          </w:tcPr>
          <w:p>
            <w:pPr>
              <w:spacing w:after="0" w:line="260"/>
              <w:jc w:val="left"/>
            </w:pPr>
            <w:r>
              <w:rPr>
                <w:b w:val="false"/>
                <w:bCs w:val="false"/>
                <w:sz w:val="18"/>
                <w:szCs w:val="18"/>
              </w:rPr>
              <w:t xml:space="preserve">vpc-endpoints-sg</w:t>
            </w:r>
          </w:p>
        </w:tc>
        <w:tc>
          <w:tcPr>
            <w:tcW w:type="dxa" w:w="2600"/>
            <w:tcMar>
              <w:top w:type="dxa" w:w="70"/>
              <w:left w:type="dxa" w:w="110"/>
              <w:bottom w:type="dxa" w:w="70"/>
              <w:right w:type="dxa" w:w="110"/>
            </w:tcMar>
            <w:vAlign w:val="center"/>
          </w:tcPr>
          <w:p>
            <w:pPr>
              <w:spacing w:after="0" w:line="260"/>
              <w:jc w:val="left"/>
            </w:pPr>
            <w:r>
              <w:rPr>
                <w:b w:val="false"/>
                <w:bCs w:val="false"/>
                <w:sz w:val="18"/>
                <w:szCs w:val="18"/>
              </w:rPr>
              <w:t xml:space="preserve">443</w:t>
            </w:r>
          </w:p>
        </w:tc>
        <w:tc>
          <w:tcPr>
            <w:tcW w:type="dxa" w:w="3620"/>
            <w:tcMar>
              <w:top w:type="dxa" w:w="70"/>
              <w:left w:type="dxa" w:w="110"/>
              <w:bottom w:type="dxa" w:w="70"/>
              <w:right w:type="dxa" w:w="110"/>
            </w:tcMar>
            <w:vAlign w:val="center"/>
          </w:tcPr>
          <w:p>
            <w:pPr>
              <w:spacing w:after="0" w:line="260"/>
              <w:jc w:val="left"/>
            </w:pPr>
            <w:r>
              <w:rPr>
                <w:b w:val="false"/>
                <w:bCs w:val="false"/>
                <w:sz w:val="18"/>
                <w:szCs w:val="18"/>
              </w:rPr>
              <w:t xml:space="preserve">Exclusivamente ecs-service-sg</w:t>
            </w:r>
          </w:p>
        </w:tc>
      </w:tr>
    </w:tbl>
    <w:p>
      <w:pPr>
        <w:spacing w:after="240" w:before="60"/>
        <w:jc w:val="left"/>
      </w:pPr>
      <w:r>
        <w:rPr>
          <w:i/>
          <w:iCs/>
          <w:color w:val="595959"/>
          <w:sz w:val="17"/>
          <w:szCs w:val="17"/>
        </w:rPr>
        <w:t xml:space="preserve">Tabla 4.4. Encadenamiento de grupos de seguridad.</w:t>
      </w:r>
    </w:p>
    <w:p>
      <w:pPr>
        <w:spacing w:after="140" w:line="300"/>
        <w:jc w:val="both"/>
      </w:pPr>
      <w:r>
        <w:t xml:space="preserve">El resultado es que </w:t>
      </w:r>
      <w:r>
        <w:rPr>
          <w:b/>
          <w:bCs/>
        </w:rPr>
        <w:t xml:space="preserve">la capa de aplicación resulta inalcanzable desde internet incluso conociendo su dirección IP privada</w:t>
      </w:r>
      <w:r>
        <w:t xml:space="preserve">: el balanceador de carga constituye la única vía de entrada posible. Esta configuración por referencia entre grupos, en lugar de por rangos de direcciones, es la práctica recomendada, dado que mantiene su validez con independencia de los cambios en el direccionamiento.</w:t>
      </w:r>
    </w:p>
    <w:p>
      <w:pPr>
        <w:spacing w:after="140" w:line="300"/>
        <w:jc w:val="both"/>
      </w:pPr>
      <w:r>
        <w:t xml:space="preserve">El grupo asociado al balanceador admite el puerto 443, si bien no existe ningún proceso de escucha en dicho puerto. Se trata de una previsión para la futura incorporación de comunicación cifrada.</w:t>
      </w:r>
    </w:p>
    <w:p>
      <w:r>
        <w:br w:type="page"/>
      </w:r>
    </w:p>
    <w:p>
      <w:pPr>
        <w:pStyle w:val="Heading1"/>
        <w:spacing w:after="220" w:before="360"/>
      </w:pPr>
      <w:r>
        <w:t xml:space="preserve">5. Decisiones de diseño</w:t>
      </w:r>
    </w:p>
    <w:p>
      <w:pPr>
        <w:pStyle w:val="Heading2"/>
        <w:spacing w:after="160" w:before="280"/>
      </w:pPr>
      <w:r>
        <w:t xml:space="preserve">5.1. Desviaciones respecto al planteamiento inicial</w:t>
      </w:r>
    </w:p>
    <w:p>
      <w:pPr>
        <w:spacing w:after="140" w:line="300"/>
        <w:jc w:val="both"/>
      </w:pPr>
      <w:r>
        <w:t xml:space="preserve">El planteamiento original del proyecto contemplaba React como marco de trabajo de la interfaz, PostgreSQL sobre Amazon RDS como sistema de base de datos y Amazon EKS como plataforma de orquestación. La implementación final difiere en los tres elementos: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000"/>
        <w:gridCol w:w="3510"/>
        <w:gridCol w:w="3510"/>
      </w:tblGrid>
      <w:tr>
        <w:trPr>
          <w:tblHeader/>
        </w:trPr>
        <w:tc>
          <w:tcPr>
            <w:tcW w:type="dxa" w:w="2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Elemento</w:t>
            </w:r>
          </w:p>
        </w:tc>
        <w:tc>
          <w:tcPr>
            <w:tcW w:type="dxa" w:w="351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Planteamiento inicial</w:t>
            </w:r>
          </w:p>
        </w:tc>
        <w:tc>
          <w:tcPr>
            <w:tcW w:type="dxa" w:w="351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Implementación final</w:t>
            </w:r>
          </w:p>
        </w:tc>
      </w:tr>
      <w:tr>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Interfaz</w:t>
            </w:r>
          </w:p>
        </w:tc>
        <w:tc>
          <w:tcPr>
            <w:tcW w:type="dxa" w:w="3510"/>
            <w:tcMar>
              <w:top w:type="dxa" w:w="70"/>
              <w:left w:type="dxa" w:w="110"/>
              <w:bottom w:type="dxa" w:w="70"/>
              <w:right w:type="dxa" w:w="110"/>
            </w:tcMar>
            <w:vAlign w:val="center"/>
          </w:tcPr>
          <w:p>
            <w:pPr>
              <w:spacing w:after="0" w:line="260"/>
              <w:jc w:val="left"/>
            </w:pPr>
            <w:r>
              <w:rPr>
                <w:b w:val="false"/>
                <w:bCs w:val="false"/>
                <w:sz w:val="18"/>
                <w:szCs w:val="18"/>
              </w:rPr>
              <w:t xml:space="preserve">React con Vite</w:t>
            </w:r>
          </w:p>
        </w:tc>
        <w:tc>
          <w:tcPr>
            <w:tcW w:type="dxa" w:w="3510"/>
            <w:tcMar>
              <w:top w:type="dxa" w:w="70"/>
              <w:left w:type="dxa" w:w="110"/>
              <w:bottom w:type="dxa" w:w="70"/>
              <w:right w:type="dxa" w:w="110"/>
            </w:tcMar>
            <w:vAlign w:val="center"/>
          </w:tcPr>
          <w:p>
            <w:pPr>
              <w:spacing w:after="0" w:line="260"/>
              <w:jc w:val="left"/>
            </w:pPr>
            <w:r>
              <w:rPr>
                <w:b w:val="false"/>
                <w:bCs w:val="false"/>
                <w:sz w:val="18"/>
                <w:szCs w:val="18"/>
              </w:rPr>
              <w:t xml:space="preserve">Angular 22</w:t>
            </w:r>
          </w:p>
        </w:tc>
      </w:tr>
      <w:tr>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Base de datos</w:t>
            </w:r>
          </w:p>
        </w:tc>
        <w:tc>
          <w:tcPr>
            <w:tcW w:type="dxa" w:w="3510"/>
            <w:tcMar>
              <w:top w:type="dxa" w:w="70"/>
              <w:left w:type="dxa" w:w="110"/>
              <w:bottom w:type="dxa" w:w="70"/>
              <w:right w:type="dxa" w:w="110"/>
            </w:tcMar>
            <w:vAlign w:val="center"/>
          </w:tcPr>
          <w:p>
            <w:pPr>
              <w:spacing w:after="0" w:line="260"/>
              <w:jc w:val="left"/>
            </w:pPr>
            <w:r>
              <w:rPr>
                <w:b w:val="false"/>
                <w:bCs w:val="false"/>
                <w:sz w:val="18"/>
                <w:szCs w:val="18"/>
              </w:rPr>
              <w:t xml:space="preserve">PostgreSQL sobre Amazon RDS</w:t>
            </w:r>
          </w:p>
        </w:tc>
        <w:tc>
          <w:tcPr>
            <w:tcW w:type="dxa" w:w="3510"/>
            <w:tcMar>
              <w:top w:type="dxa" w:w="70"/>
              <w:left w:type="dxa" w:w="110"/>
              <w:bottom w:type="dxa" w:w="70"/>
              <w:right w:type="dxa" w:w="110"/>
            </w:tcMar>
            <w:vAlign w:val="center"/>
          </w:tcPr>
          <w:p>
            <w:pPr>
              <w:spacing w:after="0" w:line="260"/>
              <w:jc w:val="left"/>
            </w:pPr>
            <w:r>
              <w:rPr>
                <w:b w:val="false"/>
                <w:bCs w:val="false"/>
                <w:sz w:val="18"/>
                <w:szCs w:val="18"/>
              </w:rPr>
              <w:t xml:space="preserve">Amazon DynamoDB</w:t>
            </w:r>
          </w:p>
        </w:tc>
      </w:tr>
      <w:tr>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Orquestación</w:t>
            </w:r>
          </w:p>
        </w:tc>
        <w:tc>
          <w:tcPr>
            <w:tcW w:type="dxa" w:w="3510"/>
            <w:tcMar>
              <w:top w:type="dxa" w:w="70"/>
              <w:left w:type="dxa" w:w="110"/>
              <w:bottom w:type="dxa" w:w="70"/>
              <w:right w:type="dxa" w:w="110"/>
            </w:tcMar>
            <w:vAlign w:val="center"/>
          </w:tcPr>
          <w:p>
            <w:pPr>
              <w:spacing w:after="0" w:line="260"/>
              <w:jc w:val="left"/>
            </w:pPr>
            <w:r>
              <w:rPr>
                <w:b w:val="false"/>
                <w:bCs w:val="false"/>
                <w:sz w:val="18"/>
                <w:szCs w:val="18"/>
              </w:rPr>
              <w:t xml:space="preserve">Amazon EKS con Kubernetes</w:t>
            </w:r>
          </w:p>
        </w:tc>
        <w:tc>
          <w:tcPr>
            <w:tcW w:type="dxa" w:w="3510"/>
            <w:tcMar>
              <w:top w:type="dxa" w:w="70"/>
              <w:left w:type="dxa" w:w="110"/>
              <w:bottom w:type="dxa" w:w="70"/>
              <w:right w:type="dxa" w:w="110"/>
            </w:tcMar>
            <w:vAlign w:val="center"/>
          </w:tcPr>
          <w:p>
            <w:pPr>
              <w:spacing w:after="0" w:line="260"/>
              <w:jc w:val="left"/>
            </w:pPr>
            <w:r>
              <w:rPr>
                <w:b w:val="false"/>
                <w:bCs w:val="false"/>
                <w:sz w:val="18"/>
                <w:szCs w:val="18"/>
              </w:rPr>
              <w:t xml:space="preserve">Amazon ECS con Fargate</w:t>
            </w:r>
          </w:p>
        </w:tc>
      </w:tr>
    </w:tbl>
    <w:p>
      <w:pPr>
        <w:spacing w:after="240" w:before="60"/>
        <w:jc w:val="left"/>
      </w:pPr>
      <w:r>
        <w:rPr>
          <w:i/>
          <w:iCs/>
          <w:color w:val="595959"/>
          <w:sz w:val="17"/>
          <w:szCs w:val="17"/>
        </w:rPr>
        <w:t xml:space="preserve">Tabla 5.1. Desviaciones respecto al planteamiento inicial.</w:t>
      </w:r>
    </w:p>
    <w:p>
      <w:pPr>
        <w:pStyle w:val="Heading2"/>
        <w:spacing w:after="160" w:before="280"/>
      </w:pPr>
      <w:r>
        <w:t xml:space="preserve">5.2. Justificación de las desviaciones</w:t>
      </w:r>
    </w:p>
    <w:p>
      <w:pPr>
        <w:spacing w:after="140" w:line="300"/>
        <w:jc w:val="both"/>
      </w:pPr>
      <w:r>
        <w:t xml:space="preserve">La motivación principal fue </w:t>
      </w:r>
      <w:r>
        <w:rPr>
          <w:b/>
          <w:bCs/>
        </w:rPr>
        <w:t xml:space="preserve">formativa</w:t>
      </w:r>
      <w:r>
        <w:t xml:space="preserve">: trabajar con servicios de Amazon Web Services no cubiertos en las sesiones teóricas, concretamente un modelo de base de datos no relacional y un servicio de cómputo sin gestión de servidores. El equipo consideró que el valor de aprendizaje de explorar tecnologías nuevas superaba el de limitarse a las prescritas.</w:t>
      </w:r>
    </w:p>
    <w:p>
      <w:pPr>
        <w:spacing w:after="140" w:line="300"/>
        <w:jc w:val="both"/>
      </w:pPr>
      <w:r>
        <w:t xml:space="preserve">A esta motivación se añaden argumentos de naturaleza técnica que se exponen a continuación.</w:t>
      </w:r>
    </w:p>
    <w:p>
      <w:pPr>
        <w:pStyle w:val="Heading3"/>
        <w:spacing w:after="130" w:before="220"/>
      </w:pPr>
      <w:r>
        <w:t xml:space="preserve">5.2.1. ECS con Fargate frente a EKS</w:t>
      </w:r>
    </w:p>
    <w:p>
      <w:pPr>
        <w:spacing w:after="140" w:line="300"/>
        <w:jc w:val="both"/>
      </w:pPr>
      <w:r>
        <w:t xml:space="preserve">Fargate suprime por completo el aprovisionamiento, la actualización y el dimensionado de nodos de cómputo. Se declara el procesador y la memoria que requiere cada tarea y el proveedor asume la gestión del substrato de ejecución.</w:t>
      </w:r>
    </w:p>
    <w:p>
      <w:pPr>
        <w:spacing w:after="140" w:line="300"/>
        <w:jc w:val="both"/>
      </w:pPr>
      <w:r>
        <w:t xml:space="preserve">Frente a EKS, la reducción de complejidad operativa es considerable, particularmente en un proyecto de duración limitada donde el esfuerzo dedicado a administrar un plano de control de Kubernetes no habría aportado valor al resultado. Las contrapartidas son un coste por hora superior y una menor portabilidad, dado que la definición de tareas de ECS es específica del proveedor mientras que los manifiestos de Kubernetes son trasladables entre plataformas.</w:t>
      </w:r>
    </w:p>
    <w:p>
      <w:pPr>
        <w:pStyle w:val="Heading3"/>
        <w:spacing w:after="130" w:before="220"/>
      </w:pPr>
      <w:r>
        <w:t xml:space="preserve">5.2.2. DynamoDB frente a RDS</w:t>
      </w:r>
    </w:p>
    <w:p>
      <w:pPr>
        <w:spacing w:after="140" w:line="300"/>
        <w:jc w:val="both"/>
      </w:pPr>
      <w:r>
        <w:t xml:space="preserve">DynamoDB es un servicio completamente gestionado, sin instancias que administrar ni actualizaciones que planificar. Su modalidad de facturación bajo demanda evita el pago de capacidad reservada durante los prolongados periodos de inactividad propios de un proyecto académico, circunstancia relevante en un entorno de crédito limitado.</w:t>
      </w:r>
    </w:p>
    <w:p>
      <w:pPr>
        <w:spacing w:after="140" w:line="300"/>
        <w:jc w:val="both"/>
      </w:pPr>
      <w:r>
        <w:t xml:space="preserve">La adecuación de esta elección al patrón de acceso real de la aplicación merece, no obstante, un análisis específico que se desarrolla en el apartado siguiente.</w:t>
      </w:r>
    </w:p>
    <w:p>
      <w:pPr>
        <w:pStyle w:val="Heading2"/>
        <w:spacing w:after="160" w:before="280"/>
      </w:pPr>
      <w:r>
        <w:t xml:space="preserve">5.3. Análisis crítico de la elección del modelo de datos</w:t>
      </w:r>
    </w:p>
    <w:p>
      <w:pPr>
        <w:spacing w:after="140" w:line="300"/>
        <w:jc w:val="both"/>
      </w:pPr>
      <w:r>
        <w:t xml:space="preserve">El desarrollo del proyecto puso de manifiesto una limitación estructural que se documenta a continuación por considerarse el hallazgo de mayor valor formativo del trabajo.</w:t>
      </w:r>
    </w:p>
    <w:p>
      <w:pPr>
        <w:spacing w:after="140" w:line="300"/>
        <w:jc w:val="both"/>
      </w:pPr>
      <w:r>
        <w:t xml:space="preserve">DynamoDB está optimizado para el acceso mediante clave. Con la tabla definida en este proyecto —clave de partición </w:t>
      </w:r>
      <w:r>
        <w:rPr>
          <w:b/>
          <w:bCs/>
        </w:rPr>
        <w:t xml:space="preserve">id</w:t>
      </w:r>
      <w:r>
        <w:t xml:space="preserve"> y ausencia de índices secundarios— la única consulta eficiente posible es la recuperación de una carrera concreta a partir de su identificador.</w:t>
      </w:r>
    </w:p>
    <w:p>
      <w:pPr>
        <w:spacing w:after="140" w:line="300"/>
        <w:jc w:val="both"/>
      </w:pPr>
      <w:r>
        <w:t xml:space="preserve">Los requisitos funcionales RF-2, RF-3, RF-4 y RF-6, sin embargo, establecen búsquedas por nombre, ciudad, país, distancia y fecha. Ninguno de estos atributos forma parte de la clave, lo que obliga a emplear la operación </w:t>
      </w:r>
      <w:r>
        <w:rPr>
          <w:b/>
          <w:bCs/>
        </w:rPr>
        <w:t xml:space="preserve">Scan</w:t>
      </w:r>
      <w:r>
        <w:t xml:space="preserve">.</w:t>
      </w:r>
    </w:p>
    <w:p>
      <w:pPr>
        <w:spacing w:after="140" w:line="300"/>
        <w:jc w:val="both"/>
      </w:pPr>
      <w:r>
        <w:rPr>
          <w:b/>
          <w:bCs/>
        </w:rPr>
        <w:t xml:space="preserve">Scan</w:t>
      </w:r>
      <w:r>
        <w:t xml:space="preserve"> recorre la totalidad de la tabla y descarta posteriormente los elementos que no satisfacen la condición. La aplicación de una expresión de filtrado </w:t>
      </w:r>
      <w:r>
        <w:rPr>
          <w:b/>
          <w:bCs/>
        </w:rPr>
        <w:t xml:space="preserve">no reduce el volumen de lectura</w:t>
      </w:r>
      <w:r>
        <w:t xml:space="preserve">, únicamente el de datos transferidos. Tanto el coste como la latencia crecen por tanto de forma lineal con el tamaño de la tabla.</w:t>
      </w:r>
    </w:p>
    <w:p>
      <w:pPr>
        <w:spacing w:after="140" w:line="300"/>
        <w:jc w:val="both"/>
      </w:pPr>
      <w:r>
        <w:t xml:space="preserve">Para el volumen del proyecto la incidencia es nula. Se trata, sin embargo, de una limitación de diseño y no de implementación: no se corrige optimizando el código, sino modificando el modelo de datos. En un escenario de producción con este patrón de acceso existirían dos alternativas:</w:t>
      </w:r>
    </w:p>
    <w:p>
      <w:pPr>
        <w:pStyle w:val="ListParagraph"/>
        <w:numPr>
          <w:ilvl w:val="0"/>
          <w:numId w:val="2"/>
        </w:numPr>
        <w:spacing w:after="90" w:line="300"/>
        <w:jc w:val="both"/>
      </w:pPr>
      <w:r>
        <w:rPr>
          <w:b/>
          <w:bCs/>
        </w:rPr>
        <w:t xml:space="preserve">Definir índices secundarios globales</w:t>
      </w:r>
      <w:r>
        <w:t xml:space="preserve"> sobre los atributos consultados, lo que habilitaría operaciones eficientes a cambio de un coste adicional de almacenamiento y de escritura, dado que cada índice mantiene su propia copia de los datos.</w:t>
      </w:r>
    </w:p>
    <w:p>
      <w:pPr>
        <w:pStyle w:val="ListParagraph"/>
        <w:numPr>
          <w:ilvl w:val="0"/>
          <w:numId w:val="2"/>
        </w:numPr>
        <w:spacing w:after="90" w:line="300"/>
        <w:jc w:val="both"/>
      </w:pPr>
      <w:r>
        <w:rPr>
          <w:b/>
          <w:bCs/>
        </w:rPr>
        <w:t xml:space="preserve">Adoptar un modelo relacional</w:t>
      </w:r>
      <w:r>
        <w:t xml:space="preserve">, que resuelve de forma natural las consultas sobre múltiples atributos mediante índices convencionales.</w:t>
      </w:r>
    </w:p>
    <w:p>
      <w:pPr>
        <w:spacing w:after="140" w:line="300"/>
        <w:jc w:val="both"/>
      </w:pPr>
      <w:r>
        <w:t xml:space="preserve">La conclusión, expuesta con la honestidad que corresponde a un análisis técnico, es que </w:t>
      </w:r>
      <w:r>
        <w:rPr>
          <w:b/>
          <w:bCs/>
        </w:rPr>
        <w:t xml:space="preserve">un modelo relacional habría encajado mejor con el patrón de acceso real de esta aplicación</w:t>
      </w:r>
      <w:r>
        <w:t xml:space="preserve">. La elección de DynamoDB se sostiene por su valor formativo y por sus ventajas operativas y económicas en el contexto del proyecto, pero no por su adecuación al caso de uso planteado.</w:t>
      </w:r>
    </w:p>
    <w:p>
      <w:pPr>
        <w:pBdr>
          <w:left w:val="single" w:color="1F3864" w:sz="12" w:space="10"/>
        </w:pBdr>
        <w:spacing w:after="180" w:before="60" w:line="290"/>
        <w:ind w:left="220"/>
        <w:jc w:val="both"/>
      </w:pPr>
      <w:r>
        <w:rPr>
          <w:color w:val="333333"/>
          <w:sz w:val="19"/>
          <w:szCs w:val="19"/>
        </w:rPr>
        <w:t xml:space="preserve">Reconocer explícitamente el límite de una decisión propia forma parte del rigor exigible a un trabajo técnico. La elección estuvo correctamente motivada desde el punto de vista del aprendizaje; comprobar posteriormente su adecuación al problema es lo que transforma la elección en conocimiento.</w:t>
      </w:r>
    </w:p>
    <w:p>
      <w:pPr>
        <w:pStyle w:val="Heading2"/>
        <w:spacing w:after="160" w:before="280"/>
      </w:pPr>
      <w:r>
        <w:t xml:space="preserve">5.4. Otras decisiones de diseño</w:t>
      </w:r>
    </w:p>
    <w:p>
      <w:pPr>
        <w:pStyle w:val="Heading3"/>
        <w:spacing w:after="130" w:before="220"/>
      </w:pPr>
      <w:r>
        <w:t xml:space="preserve">5.4.1. Filtrado en el cliente</w:t>
      </w:r>
    </w:p>
    <w:p>
      <w:pPr>
        <w:spacing w:after="140" w:line="300"/>
        <w:jc w:val="both"/>
      </w:pPr>
      <w:r>
        <w:t xml:space="preserve">La interfaz descarga el catálogo completo en la carga inicial y aplica los filtros en el navegador mediante propiedades derivadas del marco de trabajo, en lugar de delegarlos en la API.</w:t>
      </w:r>
    </w:p>
    <w:p>
      <w:pPr>
        <w:spacing w:after="140" w:line="300"/>
        <w:jc w:val="both"/>
      </w:pPr>
      <w:r>
        <w:t xml:space="preserve">La decisión proporciona una respuesta instantánea al filtrar, a cambio de transferir la totalidad de los datos al inicio. Resulta además coherente con la limitación expuesta en el apartado 5.3: dado que el filtrado en el servidor requeriría de todos modos recorrer la tabla completa, no se produce pérdida de eficiencia. La limitación es la escalabilidad, analizada en el apartado 12.2.</w:t>
      </w:r>
    </w:p>
    <w:p>
      <w:pPr>
        <w:pStyle w:val="Heading3"/>
        <w:spacing w:after="130" w:before="220"/>
      </w:pPr>
      <w:r>
        <w:t xml:space="preserve">5.4.2. Despliegue en dos fases</w:t>
      </w:r>
    </w:p>
    <w:p>
      <w:pPr>
        <w:spacing w:after="140" w:line="300"/>
        <w:jc w:val="both"/>
      </w:pPr>
      <w:r>
        <w:t xml:space="preserve">El procedimiento de despliegue presenta una dependencia de orden que la herramienta de infraestructura no puede resolver de manera autónoma. Su análisis se desarrolla en el apartado 7.2.</w:t>
      </w:r>
    </w:p>
    <w:p>
      <w:pPr>
        <w:pStyle w:val="Heading3"/>
        <w:spacing w:after="130" w:before="220"/>
      </w:pPr>
      <w:r>
        <w:t xml:space="preserve">5.4.3. Evaluación de AWS Amplify</w:t>
      </w:r>
    </w:p>
    <w:p>
      <w:pPr>
        <w:spacing w:after="140" w:line="300"/>
        <w:jc w:val="both"/>
      </w:pPr>
      <w:r>
        <w:t xml:space="preserve">Se preparó la configuración necesaria para publicar la interfaz mediante AWS Amplify, servicio que automatiza la construcción y publicación de aplicaciones web a partir de un repositorio, en línea con la misma intención de explorar servicios no tratados en clase.</w:t>
      </w:r>
    </w:p>
    <w:p>
      <w:pPr>
        <w:spacing w:after="140" w:line="300"/>
        <w:jc w:val="both"/>
      </w:pPr>
      <w:r>
        <w:t xml:space="preserve">La opción fue finalmente descartada. Amplify sirve el contenido exclusivamente mediante protocolo cifrado y, al no disponer el balanceador de un proceso de escucha cifrado, el navegador bloquearía la totalidad de las invocaciones a la API en aplicación de la política de contenido mixto. La configuración se conserva en el repositorio como constancia de la evaluación realizada.</w:t>
      </w:r>
    </w:p>
    <w:p>
      <w:pPr>
        <w:pStyle w:val="Heading2"/>
        <w:spacing w:after="160" w:before="280"/>
      </w:pPr>
      <w:r>
        <w:t xml:space="preserve">5.5. Amazon Bedrock: análisis de viabilidad</w:t>
      </w:r>
    </w:p>
    <w:p>
      <w:pPr>
        <w:spacing w:after="140" w:line="300"/>
        <w:jc w:val="both"/>
      </w:pPr>
      <w:r>
        <w:t xml:space="preserve">El planteamiento inicial contemplaba, entre las funcionalidades opcionales, un asistente conversacional basado en Amazon Bedrock. Se evaluó su incorporación y se descartó por tres impedimentos de naturaleza distinta. Se documenta el análisis con detalle porque ninguno de los tres guarda relación con la disponibilidad de tiempo o de conocimiento, y porque el tercero constituye un hallazgo arquitectónico de interés independiente.</w:t>
      </w:r>
    </w:p>
    <w:p>
      <w:pPr>
        <w:pStyle w:val="Heading3"/>
        <w:spacing w:after="130" w:before="220"/>
      </w:pPr>
      <w:r>
        <w:t xml:space="preserve">5.5.1. Diseño previsto</w:t>
      </w:r>
    </w:p>
    <w:p>
      <w:pPr>
        <w:spacing w:after="140" w:line="300"/>
        <w:jc w:val="both"/>
      </w:pPr>
      <w:r>
        <w:t xml:space="preserve">La funcionalidad habría consistido en una búsqueda expresada en lenguaje natural: el usuario introduce una frase como «medias maratones en España en primavera» y el sistema la traduce a los criterios de filtrado correspondientes.</w:t>
      </w:r>
    </w:p>
    <w:p>
      <w:pPr>
        <w:shd w:fill="F2F2F2" w:val="clear"/>
        <w:spacing w:after="170" w:before="90" w:line="230"/>
        <w:ind w:left="200" w:right="200"/>
      </w:pPr>
      <w:r>
        <w:rPr>
          <w:rFonts w:ascii="Consolas" w:cs="Consolas" w:eastAsia="Consolas" w:hAnsi="Consolas"/>
          <w:sz w:val="15"/>
          <w:szCs w:val="15"/>
        </w:rPr>
        <w:t xml:space="preserve">Interfaz  -&gt;  POST /assistant  -&gt;  Bedrock InvokeModel</w:t>
      </w:r>
      <w:r>
        <w:rPr>
          <w:rFonts w:ascii="Consolas" w:cs="Consolas" w:eastAsia="Consolas" w:hAnsi="Consolas"/>
          <w:sz w:val="15"/>
          <w:szCs w:val="15"/>
        </w:rPr>
        <w:br/>
        <w:t xml:space="preserve">                                   (catalogo como contexto)</w:t>
      </w:r>
      <w:r>
        <w:rPr>
          <w:rFonts w:ascii="Consolas" w:cs="Consolas" w:eastAsia="Consolas" w:hAnsi="Consolas"/>
          <w:sz w:val="15"/>
          <w:szCs w:val="15"/>
        </w:rPr>
        <w:br/>
        <w:t xml:space="preserve">                                          |</w:t>
      </w:r>
      <w:r>
        <w:rPr>
          <w:rFonts w:ascii="Consolas" w:cs="Consolas" w:eastAsia="Consolas" w:hAnsi="Consolas"/>
          <w:sz w:val="15"/>
          <w:szCs w:val="15"/>
        </w:rPr>
        <w:br/>
        <w:t xml:space="preserve">                                          v</w:t>
      </w:r>
      <w:r>
        <w:rPr>
          <w:rFonts w:ascii="Consolas" w:cs="Consolas" w:eastAsia="Consolas" w:hAnsi="Consolas"/>
          <w:sz w:val="15"/>
          <w:szCs w:val="15"/>
        </w:rPr>
        <w:br/>
        <w:t xml:space="preserve">                            filtros estructurados  -&gt;  DynamoDB</w:t>
      </w:r>
    </w:p>
    <w:p>
      <w:pPr>
        <w:spacing w:after="240" w:before="60"/>
        <w:jc w:val="left"/>
      </w:pPr>
      <w:r>
        <w:rPr>
          <w:i/>
          <w:iCs/>
          <w:color w:val="595959"/>
          <w:sz w:val="17"/>
          <w:szCs w:val="17"/>
        </w:rPr>
        <w:t xml:space="preserve">Figura 5.1. Flujo previsto para el asistente de búsqueda en lenguaje natural.</w:t>
      </w:r>
    </w:p>
    <w:p>
      <w:pPr>
        <w:spacing w:after="140" w:line="300"/>
        <w:jc w:val="both"/>
      </w:pPr>
      <w:r>
        <w:t xml:space="preserve">Su implementación habría requerido un endpoint adicional en la API, la incorporación del cliente correspondiente del kit de desarrollo, el permiso de invocación de modelos en el rol de tarea, y un componente de entrada de texto en la interfaz.</w:t>
      </w:r>
    </w:p>
    <w:p>
      <w:pPr>
        <w:pStyle w:val="Heading3"/>
        <w:spacing w:after="130" w:before="220"/>
      </w:pPr>
      <w:r>
        <w:t xml:space="preserve">5.5.2. Primer impedimento: permisos del rol de usuario</w:t>
      </w:r>
    </w:p>
    <w:p>
      <w:pPr>
        <w:spacing w:after="140" w:line="300"/>
        <w:jc w:val="both"/>
      </w:pPr>
      <w:r>
        <w:t xml:space="preserve">La consulta del catálogo de modelos disponibles se rechaza con un error de acceso denegado, indicando que ninguna política de identidad autoriza la acción de listar modelos fundacionales.</w:t>
      </w:r>
    </w:p>
    <w:p>
      <w:pPr>
        <w:spacing w:after="140" w:line="300"/>
        <w:jc w:val="both"/>
      </w:pPr>
      <w:r>
        <w:t xml:space="preserve">Conviene atender a la formulación exacta del mensaje: no existe una denegación explícita, sino </w:t>
      </w:r>
      <w:r>
        <w:rPr>
          <w:b/>
          <w:bCs/>
        </w:rPr>
        <w:t xml:space="preserve">ausencia de autorización</w:t>
      </w:r>
      <w:r>
        <w:t xml:space="preserve">. La distinción es relevante, por cuanto indica que el servicio no forma parte del conjunto habilitado en el entorno de prácticas, y no que se haya restringido de forma deliberada.</w:t>
      </w:r>
    </w:p>
    <w:p>
      <w:pPr>
        <w:pStyle w:val="Heading3"/>
        <w:spacing w:after="130" w:before="220"/>
      </w:pPr>
      <w:r>
        <w:t xml:space="preserve">5.5.3. Segundo impedimento: imposibilidad de auditar el rol de tarea</w:t>
      </w:r>
    </w:p>
    <w:p>
      <w:pPr>
        <w:spacing w:after="140" w:line="300"/>
        <w:jc w:val="both"/>
      </w:pPr>
      <w:r>
        <w:t xml:space="preserve">La capa de aplicación no se ejecuta con el rol del usuario, sino con el rol de tarea, cuyos permisos podrían en principio diferir. La verificación resulta por tanto pertinente.</w:t>
      </w:r>
    </w:p>
    <w:p>
      <w:pPr>
        <w:spacing w:after="140" w:line="300"/>
        <w:jc w:val="both"/>
      </w:pPr>
      <w:r>
        <w:t xml:space="preserve">La consulta de las políticas asociadas a dicho rol revela cuatro políticas gestionadas por el proveedor —relativas a administración de sistemas, orquestación con Kubernetes y lectura del registro de imágenes— ninguna de las cuales concede acceso a Bedrock, y tres políticas propias del entorno de prácticas.</w:t>
      </w:r>
    </w:p>
    <w:p>
      <w:pPr>
        <w:spacing w:after="140" w:line="300"/>
        <w:jc w:val="both"/>
      </w:pPr>
      <w:r>
        <w:t xml:space="preserve">El contenido de estas tres últimas no puede inspeccionarse: la operación de consulta de políticas está </w:t>
      </w:r>
      <w:r>
        <w:rPr>
          <w:b/>
          <w:bCs/>
        </w:rPr>
        <w:t xml:space="preserve">denegada explícitamente</w:t>
      </w:r>
      <w:r>
        <w:t xml:space="preserve"> para el rol de usuario. La verificación por vía documental resulta en consecuencia imposible.</w:t>
      </w:r>
    </w:p>
    <w:p>
      <w:pPr>
        <w:pStyle w:val="Heading3"/>
        <w:spacing w:after="130" w:before="220"/>
      </w:pPr>
      <w:r>
        <w:t xml:space="preserve">5.5.4. Tercer impedimento: obstáculo arquitectónico</w:t>
      </w:r>
    </w:p>
    <w:p>
      <w:pPr>
        <w:spacing w:after="140" w:line="300"/>
        <w:jc w:val="both"/>
      </w:pPr>
      <w:r>
        <w:t xml:space="preserve">Es el impedimento de mayor interés, por cuanto es independiente de la cuestión de los permisos y habría persistido incluso disponiendo de ellos.</w:t>
      </w:r>
    </w:p>
    <w:p>
      <w:pPr>
        <w:spacing w:after="140" w:line="300"/>
        <w:jc w:val="both"/>
      </w:pPr>
      <w:r>
        <w:t xml:space="preserve">Las tareas se ejecutan en una subred privada sin salida hacia internet, y los servicios del proveedor se alcanzan mediante VPC endpoints. Bedrock, a diferencia de Amazon S3 y DynamoDB, </w:t>
      </w:r>
      <w:r>
        <w:rPr>
          <w:b/>
          <w:bCs/>
        </w:rPr>
        <w:t xml:space="preserve">no dispone de endpoint de modalidad Gateway</w:t>
      </w:r>
      <w:r>
        <w:t xml:space="preserve">, que son los que no tienen coste. La integración exigiría por tanto un endpoint adicional de modalidad Interface.</w:t>
      </w:r>
    </w:p>
    <w:p>
      <w:pPr>
        <w:spacing w:after="140" w:line="300"/>
        <w:jc w:val="both"/>
      </w:pPr>
      <w:r>
        <w:t xml:space="preserve">Su coste sería de 0,24 dólares diarios por zona de disponibilidad: 0,48 dólares diarios con la configuración de dos zonas, un quince por ciento sobre la factura actual analizada en el capítulo 9.</w:t>
      </w:r>
    </w:p>
    <w:p>
      <w:pPr>
        <w:spacing w:after="140" w:line="300"/>
        <w:jc w:val="both"/>
      </w:pPr>
      <w:r>
        <w:t xml:space="preserve">De ello se deriva una consecuencia metodológica: tampoco existe una prueba empírica de coste reducido. Desde la subred privada, una invocación fracasaría por agotamiento del tiempo de espera de red con independencia de los permisos, resultado indistinguible de una denegación. Discriminar la causa real exigiría crear previamente el endpoint y asumir su coste.</w:t>
      </w:r>
    </w:p>
    <w:p>
      <w:pPr>
        <w:pStyle w:val="Heading3"/>
        <w:spacing w:after="130" w:before="220"/>
      </w:pPr>
      <w:r>
        <w:t xml:space="preserve">5.5.5. Conclusión</w:t>
      </w:r>
    </w:p>
    <w:p>
      <w:pPr>
        <w:spacing w:after="140" w:line="300"/>
        <w:jc w:val="both"/>
      </w:pPr>
      <w:r>
        <w:t xml:space="preserve">La funcionalidad se descarta por limitación del entorno de prácticas y no por decisión de alcance. Su incorporación en un entorno sin restricciones requeriría cuatro actuaciones: habilitar el acceso al modelo en la cuenta, conceder el permiso de invocación al rol de tarea, añadir el VPC endpoint correspondiente, e implementar el endpoint y el componente descritos en el apartado 5.5.1.</w:t>
      </w:r>
    </w:p>
    <w:p>
      <w:pPr>
        <w:pBdr>
          <w:left w:val="single" w:color="1F3864" w:sz="12" w:space="10"/>
        </w:pBdr>
        <w:spacing w:after="180" w:before="60" w:line="290"/>
        <w:ind w:left="220"/>
        <w:jc w:val="both"/>
      </w:pPr>
      <w:r>
        <w:rPr>
          <w:color w:val="333333"/>
          <w:sz w:val="19"/>
          <w:szCs w:val="19"/>
        </w:rPr>
        <w:t xml:space="preserve">El valor de este análisis no reside en la funcionalidad, que no se ha construido, sino en haber determinado con precisión por qué no era posible y cuánto habría costado. Una limitación investigada en tres niveles aporta más que una funcionalidad implementada sin comprender sus implicaciones.</w:t>
      </w:r>
    </w:p>
    <w:p>
      <w:r>
        <w:br w:type="page"/>
      </w:r>
    </w:p>
    <w:p>
      <w:pPr>
        <w:pStyle w:val="Heading1"/>
        <w:spacing w:after="220" w:before="360"/>
      </w:pPr>
      <w:r>
        <w:t xml:space="preserve">6. Implementación</w:t>
      </w:r>
    </w:p>
    <w:p>
      <w:pPr>
        <w:pStyle w:val="Heading2"/>
        <w:spacing w:after="160" w:before="280"/>
      </w:pPr>
      <w:r>
        <w:t xml:space="preserve">6.1. Capa de aplicación: la API</w:t>
      </w:r>
    </w:p>
    <w:p>
      <w:pPr>
        <w:spacing w:after="140" w:line="300"/>
        <w:jc w:val="both"/>
      </w:pPr>
      <w:r>
        <w:t xml:space="preserve">La API se implementa con Express 5 y la versión 3 del kit de desarrollo de Amazon Web Services para JavaScript, en su variante modular, que permite incorporar únicamente los clientes de los servicios efectivamente utilizados.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1300"/>
        <w:gridCol w:w="3200"/>
        <w:gridCol w:w="4520"/>
      </w:tblGrid>
      <w:tr>
        <w:trPr>
          <w:tblHeader/>
        </w:trPr>
        <w:tc>
          <w:tcPr>
            <w:tcW w:type="dxa" w:w="13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Método</w:t>
            </w:r>
          </w:p>
        </w:tc>
        <w:tc>
          <w:tcPr>
            <w:tcW w:type="dxa" w:w="32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Ruta</w:t>
            </w:r>
          </w:p>
        </w:tc>
        <w:tc>
          <w:tcPr>
            <w:tcW w:type="dxa" w:w="45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Función</w:t>
            </w:r>
          </w:p>
        </w:tc>
      </w:tr>
      <w:tr>
        <w:tc>
          <w:tcPr>
            <w:tcW w:type="dxa" w:w="1300"/>
            <w:tcMar>
              <w:top w:type="dxa" w:w="70"/>
              <w:left w:type="dxa" w:w="110"/>
              <w:bottom w:type="dxa" w:w="70"/>
              <w:right w:type="dxa" w:w="110"/>
            </w:tcMar>
            <w:vAlign w:val="center"/>
          </w:tcPr>
          <w:p>
            <w:pPr>
              <w:spacing w:after="0" w:line="260"/>
              <w:jc w:val="left"/>
            </w:pPr>
            <w:r>
              <w:rPr>
                <w:b w:val="false"/>
                <w:bCs w:val="false"/>
                <w:sz w:val="18"/>
                <w:szCs w:val="18"/>
              </w:rPr>
              <w:t xml:space="preserve">GET</w:t>
            </w:r>
          </w:p>
        </w:tc>
        <w:tc>
          <w:tcPr>
            <w:tcW w:type="dxa" w:w="32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w:t>
            </w:r>
          </w:p>
        </w:tc>
        <w:tc>
          <w:tcPr>
            <w:tcW w:type="dxa" w:w="4520"/>
            <w:tcMar>
              <w:top w:type="dxa" w:w="70"/>
              <w:left w:type="dxa" w:w="110"/>
              <w:bottom w:type="dxa" w:w="70"/>
              <w:right w:type="dxa" w:w="110"/>
            </w:tcMar>
            <w:vAlign w:val="center"/>
          </w:tcPr>
          <w:p>
            <w:pPr>
              <w:spacing w:after="0" w:line="260"/>
              <w:jc w:val="left"/>
            </w:pPr>
            <w:r>
              <w:rPr>
                <w:b w:val="false"/>
                <w:bCs w:val="false"/>
                <w:sz w:val="18"/>
                <w:szCs w:val="18"/>
              </w:rPr>
              <w:t xml:space="preserve">Verificación de disponibilidad</w:t>
            </w:r>
          </w:p>
        </w:tc>
      </w:tr>
      <w:tr>
        <w:tc>
          <w:tcPr>
            <w:tcW w:type="dxa" w:w="1300"/>
            <w:tcMar>
              <w:top w:type="dxa" w:w="70"/>
              <w:left w:type="dxa" w:w="110"/>
              <w:bottom w:type="dxa" w:w="70"/>
              <w:right w:type="dxa" w:w="110"/>
            </w:tcMar>
            <w:vAlign w:val="center"/>
          </w:tcPr>
          <w:p>
            <w:pPr>
              <w:spacing w:after="0" w:line="260"/>
              <w:jc w:val="left"/>
            </w:pPr>
            <w:r>
              <w:rPr>
                <w:b w:val="false"/>
                <w:bCs w:val="false"/>
                <w:sz w:val="18"/>
                <w:szCs w:val="18"/>
              </w:rPr>
              <w:t xml:space="preserve">GET</w:t>
            </w:r>
          </w:p>
        </w:tc>
        <w:tc>
          <w:tcPr>
            <w:tcW w:type="dxa" w:w="32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/connection</w:t>
            </w:r>
          </w:p>
        </w:tc>
        <w:tc>
          <w:tcPr>
            <w:tcW w:type="dxa" w:w="4520"/>
            <w:tcMar>
              <w:top w:type="dxa" w:w="70"/>
              <w:left w:type="dxa" w:w="110"/>
              <w:bottom w:type="dxa" w:w="70"/>
              <w:right w:type="dxa" w:w="110"/>
            </w:tcMar>
            <w:vAlign w:val="center"/>
          </w:tcPr>
          <w:p>
            <w:pPr>
              <w:spacing w:after="0" w:line="260"/>
              <w:jc w:val="left"/>
            </w:pPr>
            <w:r>
              <w:rPr>
                <w:b w:val="false"/>
                <w:bCs w:val="false"/>
                <w:sz w:val="18"/>
                <w:szCs w:val="18"/>
              </w:rPr>
              <w:t xml:space="preserve">Verificación de conectividad con la base de datos</w:t>
            </w:r>
          </w:p>
        </w:tc>
      </w:tr>
      <w:tr>
        <w:tc>
          <w:tcPr>
            <w:tcW w:type="dxa" w:w="1300"/>
            <w:tcMar>
              <w:top w:type="dxa" w:w="70"/>
              <w:left w:type="dxa" w:w="110"/>
              <w:bottom w:type="dxa" w:w="70"/>
              <w:right w:type="dxa" w:w="110"/>
            </w:tcMar>
            <w:vAlign w:val="center"/>
          </w:tcPr>
          <w:p>
            <w:pPr>
              <w:spacing w:after="0" w:line="260"/>
              <w:jc w:val="left"/>
            </w:pPr>
            <w:r>
              <w:rPr>
                <w:b w:val="false"/>
                <w:bCs w:val="false"/>
                <w:sz w:val="18"/>
                <w:szCs w:val="18"/>
              </w:rPr>
              <w:t xml:space="preserve">GET</w:t>
            </w:r>
          </w:p>
        </w:tc>
        <w:tc>
          <w:tcPr>
            <w:tcW w:type="dxa" w:w="32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/races</w:t>
            </w:r>
          </w:p>
        </w:tc>
        <w:tc>
          <w:tcPr>
            <w:tcW w:type="dxa" w:w="4520"/>
            <w:tcMar>
              <w:top w:type="dxa" w:w="70"/>
              <w:left w:type="dxa" w:w="110"/>
              <w:bottom w:type="dxa" w:w="70"/>
              <w:right w:type="dxa" w:w="110"/>
            </w:tcMar>
            <w:vAlign w:val="center"/>
          </w:tcPr>
          <w:p>
            <w:pPr>
              <w:spacing w:after="0" w:line="260"/>
              <w:jc w:val="left"/>
            </w:pPr>
            <w:r>
              <w:rPr>
                <w:b w:val="false"/>
                <w:bCs w:val="false"/>
                <w:sz w:val="18"/>
                <w:szCs w:val="18"/>
              </w:rPr>
              <w:t xml:space="preserve">Recuperación del catálogo completo</w:t>
            </w:r>
          </w:p>
        </w:tc>
      </w:tr>
      <w:tr>
        <w:tc>
          <w:tcPr>
            <w:tcW w:type="dxa" w:w="1300"/>
            <w:tcMar>
              <w:top w:type="dxa" w:w="70"/>
              <w:left w:type="dxa" w:w="110"/>
              <w:bottom w:type="dxa" w:w="70"/>
              <w:right w:type="dxa" w:w="110"/>
            </w:tcMar>
            <w:vAlign w:val="center"/>
          </w:tcPr>
          <w:p>
            <w:pPr>
              <w:spacing w:after="0" w:line="260"/>
              <w:jc w:val="left"/>
            </w:pPr>
            <w:r>
              <w:rPr>
                <w:b w:val="false"/>
                <w:bCs w:val="false"/>
                <w:sz w:val="18"/>
                <w:szCs w:val="18"/>
              </w:rPr>
              <w:t xml:space="preserve">GET</w:t>
            </w:r>
          </w:p>
        </w:tc>
        <w:tc>
          <w:tcPr>
            <w:tcW w:type="dxa" w:w="32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/races?id=&lt;id&gt;</w:t>
            </w:r>
          </w:p>
        </w:tc>
        <w:tc>
          <w:tcPr>
            <w:tcW w:type="dxa" w:w="4520"/>
            <w:tcMar>
              <w:top w:type="dxa" w:w="70"/>
              <w:left w:type="dxa" w:w="110"/>
              <w:bottom w:type="dxa" w:w="70"/>
              <w:right w:type="dxa" w:w="110"/>
            </w:tcMar>
            <w:vAlign w:val="center"/>
          </w:tcPr>
          <w:p>
            <w:pPr>
              <w:spacing w:after="0" w:line="260"/>
              <w:jc w:val="left"/>
            </w:pPr>
            <w:r>
              <w:rPr>
                <w:b w:val="false"/>
                <w:bCs w:val="false"/>
                <w:sz w:val="18"/>
                <w:szCs w:val="18"/>
              </w:rPr>
              <w:t xml:space="preserve">Recuperación de un elemento por clave</w:t>
            </w:r>
          </w:p>
        </w:tc>
      </w:tr>
      <w:tr>
        <w:tc>
          <w:tcPr>
            <w:tcW w:type="dxa" w:w="1300"/>
            <w:tcMar>
              <w:top w:type="dxa" w:w="70"/>
              <w:left w:type="dxa" w:w="110"/>
              <w:bottom w:type="dxa" w:w="70"/>
              <w:right w:type="dxa" w:w="110"/>
            </w:tcMar>
            <w:vAlign w:val="center"/>
          </w:tcPr>
          <w:p>
            <w:pPr>
              <w:spacing w:after="0" w:line="260"/>
              <w:jc w:val="left"/>
            </w:pPr>
            <w:r>
              <w:rPr>
                <w:b w:val="false"/>
                <w:bCs w:val="false"/>
                <w:sz w:val="18"/>
                <w:szCs w:val="18"/>
              </w:rPr>
              <w:t xml:space="preserve">GET</w:t>
            </w:r>
          </w:p>
        </w:tc>
        <w:tc>
          <w:tcPr>
            <w:tcW w:type="dxa" w:w="32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/races?&lt;campo&gt;=&lt;valor&gt;</w:t>
            </w:r>
          </w:p>
        </w:tc>
        <w:tc>
          <w:tcPr>
            <w:tcW w:type="dxa" w:w="4520"/>
            <w:tcMar>
              <w:top w:type="dxa" w:w="70"/>
              <w:left w:type="dxa" w:w="110"/>
              <w:bottom w:type="dxa" w:w="70"/>
              <w:right w:type="dxa" w:w="110"/>
            </w:tcMar>
            <w:vAlign w:val="center"/>
          </w:tcPr>
          <w:p>
            <w:pPr>
              <w:spacing w:after="0" w:line="260"/>
              <w:jc w:val="left"/>
            </w:pPr>
            <w:r>
              <w:rPr>
                <w:b w:val="false"/>
                <w:bCs w:val="false"/>
                <w:sz w:val="18"/>
                <w:szCs w:val="18"/>
              </w:rPr>
              <w:t xml:space="preserve">Filtrado por coincidencia exacta de atributos</w:t>
            </w:r>
          </w:p>
        </w:tc>
      </w:tr>
      <w:tr>
        <w:tc>
          <w:tcPr>
            <w:tcW w:type="dxa" w:w="1300"/>
            <w:tcMar>
              <w:top w:type="dxa" w:w="70"/>
              <w:left w:type="dxa" w:w="110"/>
              <w:bottom w:type="dxa" w:w="70"/>
              <w:right w:type="dxa" w:w="110"/>
            </w:tcMar>
            <w:vAlign w:val="center"/>
          </w:tcPr>
          <w:p>
            <w:pPr>
              <w:spacing w:after="0" w:line="260"/>
              <w:jc w:val="left"/>
            </w:pPr>
            <w:r>
              <w:rPr>
                <w:b w:val="false"/>
                <w:bCs w:val="false"/>
                <w:sz w:val="18"/>
                <w:szCs w:val="18"/>
              </w:rPr>
              <w:t xml:space="preserve">POST</w:t>
            </w:r>
          </w:p>
        </w:tc>
        <w:tc>
          <w:tcPr>
            <w:tcW w:type="dxa" w:w="32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/races</w:t>
            </w:r>
          </w:p>
        </w:tc>
        <w:tc>
          <w:tcPr>
            <w:tcW w:type="dxa" w:w="4520"/>
            <w:tcMar>
              <w:top w:type="dxa" w:w="70"/>
              <w:left w:type="dxa" w:w="110"/>
              <w:bottom w:type="dxa" w:w="70"/>
              <w:right w:type="dxa" w:w="110"/>
            </w:tcMar>
            <w:vAlign w:val="center"/>
          </w:tcPr>
          <w:p>
            <w:pPr>
              <w:spacing w:after="0" w:line="260"/>
              <w:jc w:val="left"/>
            </w:pPr>
            <w:r>
              <w:rPr>
                <w:b w:val="false"/>
                <w:bCs w:val="false"/>
                <w:sz w:val="18"/>
                <w:szCs w:val="18"/>
              </w:rPr>
              <w:t xml:space="preserve">Creación de un elemento</w:t>
            </w:r>
          </w:p>
        </w:tc>
      </w:tr>
    </w:tbl>
    <w:p>
      <w:pPr>
        <w:spacing w:after="240" w:before="60"/>
        <w:jc w:val="left"/>
      </w:pPr>
      <w:r>
        <w:rPr>
          <w:i/>
          <w:iCs/>
          <w:color w:val="595959"/>
          <w:sz w:val="17"/>
          <w:szCs w:val="17"/>
        </w:rPr>
        <w:t xml:space="preserve">Tabla 6.1. Endpoints de la API.</w:t>
      </w:r>
    </w:p>
    <w:p>
      <w:pPr>
        <w:spacing w:after="140" w:line="300"/>
        <w:jc w:val="both"/>
      </w:pPr>
      <w:r>
        <w:t xml:space="preserve">La implementación distingue correctamente las dos modalidades de lectura disponibles: cuando el único parámetro recibido es el identificador emplea una operación de recuperación directa por clave; en cualquier otro caso recurre al recorrido de la tabla.</w:t>
      </w:r>
    </w:p>
    <w:p>
      <w:pPr>
        <w:spacing w:after="140" w:line="300"/>
        <w:jc w:val="both"/>
      </w:pPr>
      <w:r>
        <w:t xml:space="preserve">Se contempla asimismo la paginación impuesta por el servicio de base de datos, que devuelve un máximo de un megabyte por respuesta. La implementación itera sobre la clave de continuación hasta agotar el conjunto de resultados, evitando así el truncamiento silencioso que se produciría en caso contrario.</w:t>
      </w:r>
    </w:p>
    <w:p>
      <w:pPr>
        <w:spacing w:after="140" w:line="300"/>
        <w:jc w:val="both"/>
      </w:pPr>
      <w:r>
        <w:t xml:space="preserve">El identificador de cada elemento se genera combinando la marca temporal con un valor aleatorio. La solución resulta suficiente para el volumen del proyecto, si bien un identificador único universal ofrecería garantías formales de unicidad.</w:t>
      </w:r>
    </w:p>
    <w:p>
      <w:pPr>
        <w:pStyle w:val="Heading2"/>
        <w:spacing w:after="160" w:before="280"/>
      </w:pPr>
      <w:r>
        <w:t xml:space="preserve">6.2. Capa de presentación: la interfaz</w:t>
      </w:r>
    </w:p>
    <w:p>
      <w:pPr>
        <w:spacing w:after="140" w:line="300"/>
        <w:jc w:val="both"/>
      </w:pPr>
      <w:r>
        <w:t xml:space="preserve">La interfaz se implementa en Angular 22, empleando componentes autónomos y gestión de estado mediante señales, el modelo reactivo incorporado en las versiones recientes del marco de trabajo.</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600"/>
        <w:gridCol w:w="1800"/>
        <w:gridCol w:w="4620"/>
      </w:tblGrid>
      <w:tr>
        <w:trPr>
          <w:tblHeader/>
        </w:trPr>
        <w:tc>
          <w:tcPr>
            <w:tcW w:type="dxa" w:w="26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Elemento</w:t>
            </w:r>
          </w:p>
        </w:tc>
        <w:tc>
          <w:tcPr>
            <w:tcW w:type="dxa" w:w="18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Ruta</w:t>
            </w:r>
          </w:p>
        </w:tc>
        <w:tc>
          <w:tcPr>
            <w:tcW w:type="dxa" w:w="46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Responsabilidad</w:t>
            </w:r>
          </w:p>
        </w:tc>
      </w:tr>
      <w:tr>
        <w:tc>
          <w:tcPr>
            <w:tcW w:type="dxa" w:w="2600"/>
            <w:tcMar>
              <w:top w:type="dxa" w:w="70"/>
              <w:left w:type="dxa" w:w="110"/>
              <w:bottom w:type="dxa" w:w="70"/>
              <w:right w:type="dxa" w:w="110"/>
            </w:tcMar>
            <w:vAlign w:val="center"/>
          </w:tcPr>
          <w:p>
            <w:pPr>
              <w:spacing w:after="0" w:line="260"/>
              <w:jc w:val="left"/>
            </w:pPr>
            <w:r>
              <w:rPr>
                <w:b w:val="false"/>
                <w:bCs w:val="false"/>
                <w:sz w:val="18"/>
                <w:szCs w:val="18"/>
              </w:rPr>
              <w:t xml:space="preserve">DashboardComponent</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/dashboard</w:t>
            </w:r>
          </w:p>
        </w:tc>
        <w:tc>
          <w:tcPr>
            <w:tcW w:type="dxa" w:w="4620"/>
            <w:tcMar>
              <w:top w:type="dxa" w:w="70"/>
              <w:left w:type="dxa" w:w="110"/>
              <w:bottom w:type="dxa" w:w="70"/>
              <w:right w:type="dxa" w:w="110"/>
            </w:tcMar>
            <w:vAlign w:val="center"/>
          </w:tcPr>
          <w:p>
            <w:pPr>
              <w:spacing w:after="0" w:line="260"/>
              <w:jc w:val="left"/>
            </w:pPr>
            <w:r>
              <w:rPr>
                <w:b w:val="false"/>
                <w:bCs w:val="false"/>
                <w:sz w:val="18"/>
                <w:szCs w:val="18"/>
              </w:rPr>
              <w:t xml:space="preserve">Listado, buscador, filtros y estadísticas agregadas</w:t>
            </w:r>
          </w:p>
        </w:tc>
      </w:tr>
      <w:tr>
        <w:tc>
          <w:tcPr>
            <w:tcW w:type="dxa" w:w="2600"/>
            <w:tcMar>
              <w:top w:type="dxa" w:w="70"/>
              <w:left w:type="dxa" w:w="110"/>
              <w:bottom w:type="dxa" w:w="70"/>
              <w:right w:type="dxa" w:w="110"/>
            </w:tcMar>
            <w:vAlign w:val="center"/>
          </w:tcPr>
          <w:p>
            <w:pPr>
              <w:spacing w:after="0" w:line="260"/>
              <w:jc w:val="left"/>
            </w:pPr>
            <w:r>
              <w:rPr>
                <w:b w:val="false"/>
                <w:bCs w:val="false"/>
                <w:sz w:val="18"/>
                <w:szCs w:val="18"/>
              </w:rPr>
              <w:t xml:space="preserve">AddRaceComponent</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/add-race</w:t>
            </w:r>
          </w:p>
        </w:tc>
        <w:tc>
          <w:tcPr>
            <w:tcW w:type="dxa" w:w="4620"/>
            <w:tcMar>
              <w:top w:type="dxa" w:w="70"/>
              <w:left w:type="dxa" w:w="110"/>
              <w:bottom w:type="dxa" w:w="70"/>
              <w:right w:type="dxa" w:w="110"/>
            </w:tcMar>
            <w:vAlign w:val="center"/>
          </w:tcPr>
          <w:p>
            <w:pPr>
              <w:spacing w:after="0" w:line="260"/>
              <w:jc w:val="left"/>
            </w:pPr>
            <w:r>
              <w:rPr>
                <w:b w:val="false"/>
                <w:bCs w:val="false"/>
                <w:sz w:val="18"/>
                <w:szCs w:val="18"/>
              </w:rPr>
              <w:t xml:space="preserve">Formulario de registro con validación de campos</w:t>
            </w:r>
          </w:p>
        </w:tc>
      </w:tr>
      <w:tr>
        <w:tc>
          <w:tcPr>
            <w:tcW w:type="dxa" w:w="2600"/>
            <w:tcMar>
              <w:top w:type="dxa" w:w="70"/>
              <w:left w:type="dxa" w:w="110"/>
              <w:bottom w:type="dxa" w:w="70"/>
              <w:right w:type="dxa" w:w="110"/>
            </w:tcMar>
            <w:vAlign w:val="center"/>
          </w:tcPr>
          <w:p>
            <w:pPr>
              <w:spacing w:after="0" w:line="260"/>
              <w:jc w:val="left"/>
            </w:pPr>
            <w:r>
              <w:rPr>
                <w:b w:val="false"/>
                <w:bCs w:val="false"/>
                <w:sz w:val="18"/>
                <w:szCs w:val="18"/>
              </w:rPr>
              <w:t xml:space="preserve">RaceService</w:t>
            </w:r>
          </w:p>
        </w:tc>
        <w:tc>
          <w:tcPr>
            <w:tcW w:type="dxa" w:w="1800"/>
            <w:tcMar>
              <w:top w:type="dxa" w:w="70"/>
              <w:left w:type="dxa" w:w="110"/>
              <w:bottom w:type="dxa" w:w="70"/>
              <w:right w:type="dxa" w:w="110"/>
            </w:tcMar>
            <w:vAlign w:val="center"/>
          </w:tcPr>
          <w:p>
            <w:pPr>
              <w:spacing w:after="0" w:line="260"/>
              <w:jc w:val="left"/>
            </w:pPr>
            <w:r>
              <w:rPr>
                <w:b w:val="false"/>
                <w:bCs w:val="false"/>
                <w:sz w:val="18"/>
                <w:szCs w:val="18"/>
              </w:rPr>
              <w:t xml:space="preserve">—</w:t>
            </w:r>
          </w:p>
        </w:tc>
        <w:tc>
          <w:tcPr>
            <w:tcW w:type="dxa" w:w="4620"/>
            <w:tcMar>
              <w:top w:type="dxa" w:w="70"/>
              <w:left w:type="dxa" w:w="110"/>
              <w:bottom w:type="dxa" w:w="70"/>
              <w:right w:type="dxa" w:w="110"/>
            </w:tcMar>
            <w:vAlign w:val="center"/>
          </w:tcPr>
          <w:p>
            <w:pPr>
              <w:spacing w:after="0" w:line="260"/>
              <w:jc w:val="left"/>
            </w:pPr>
            <w:r>
              <w:rPr>
                <w:b w:val="false"/>
                <w:bCs w:val="false"/>
                <w:sz w:val="18"/>
                <w:szCs w:val="18"/>
              </w:rPr>
              <w:t xml:space="preserve">Encapsulamiento de las invocaciones a la API</w:t>
            </w:r>
          </w:p>
        </w:tc>
      </w:tr>
    </w:tbl>
    <w:p>
      <w:pPr>
        <w:spacing w:after="240" w:before="60"/>
        <w:jc w:val="left"/>
      </w:pPr>
      <w:r>
        <w:rPr>
          <w:i/>
          <w:iCs/>
          <w:color w:val="595959"/>
          <w:sz w:val="17"/>
          <w:szCs w:val="17"/>
        </w:rPr>
        <w:t xml:space="preserve">Tabla 6.2. Componentes de la interfaz.</w:t>
      </w:r>
    </w:p>
    <w:p>
      <w:pPr>
        <w:spacing w:after="140" w:line="300"/>
        <w:jc w:val="both"/>
      </w:pPr>
      <w:r>
        <w:t xml:space="preserve">El componente principal calcula mediante propiedades derivadas tanto el subconjunto filtrado de carreras como las estadísticas presentadas al usuario —número total, distancia media y país más frecuente—, que se recalculan automáticamente ante cualquier modificación de los criterios de filtrado.</w:t>
      </w:r>
    </w:p>
    <w:p>
      <w:pPr>
        <w:spacing w:after="140" w:line="300"/>
        <w:jc w:val="both"/>
      </w:pPr>
      <w:r>
        <w:t xml:space="preserve">El formulario de registro valida los seis campos antes del envío, incluyendo la comprobación de que la dirección web proporcionada es sintácticamente correcta. Esta validación reside exclusivamente en el cliente, circunstancia analizada en el apartado 10.2.</w:t>
      </w:r>
    </w:p>
    <w:p>
      <w:pPr>
        <w:pStyle w:val="Heading2"/>
        <w:spacing w:after="160" w:before="280"/>
      </w:pPr>
      <w:r>
        <w:t xml:space="preserve">6.3. Modelo de datos</w:t>
      </w:r>
    </w:p>
    <w:p>
      <w:pPr>
        <w:spacing w:after="140" w:line="300"/>
        <w:jc w:val="both"/>
      </w:pPr>
      <w:r>
        <w:t xml:space="preserve">Cada elemento de la tabla presenta la siguiente estructura:</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1800"/>
        <w:gridCol w:w="1500"/>
        <w:gridCol w:w="5720"/>
      </w:tblGrid>
      <w:tr>
        <w:trPr>
          <w:tblHeader/>
        </w:trPr>
        <w:tc>
          <w:tcPr>
            <w:tcW w:type="dxa" w:w="18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Atributo</w:t>
            </w:r>
          </w:p>
        </w:tc>
        <w:tc>
          <w:tcPr>
            <w:tcW w:type="dxa" w:w="1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Tipo</w:t>
            </w:r>
          </w:p>
        </w:tc>
        <w:tc>
          <w:tcPr>
            <w:tcW w:type="dxa" w:w="57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Descripción</w:t>
            </w:r>
          </w:p>
        </w:tc>
      </w:tr>
      <w:tr>
        <w:tc>
          <w:tcPr>
            <w:tcW w:type="dxa" w:w="18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id</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Cadena</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Clave de partición, generada por la API</w:t>
            </w:r>
          </w:p>
        </w:tc>
      </w:tr>
      <w:tr>
        <w:tc>
          <w:tcPr>
            <w:tcW w:type="dxa" w:w="18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name</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Cadena</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Denominación de la carrera</w:t>
            </w:r>
          </w:p>
        </w:tc>
      </w:tr>
      <w:tr>
        <w:tc>
          <w:tcPr>
            <w:tcW w:type="dxa" w:w="18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city</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Cadena</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Ciudad de celebración</w:t>
            </w:r>
          </w:p>
        </w:tc>
      </w:tr>
      <w:tr>
        <w:tc>
          <w:tcPr>
            <w:tcW w:type="dxa" w:w="18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country</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Cadena</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País de celebración</w:t>
            </w:r>
          </w:p>
        </w:tc>
      </w:tr>
      <w:tr>
        <w:tc>
          <w:tcPr>
            <w:tcW w:type="dxa" w:w="18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date</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Cadena</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Fecha en formato ISO 8601 (AAAA-MM-DD)</w:t>
            </w:r>
          </w:p>
        </w:tc>
      </w:tr>
      <w:tr>
        <w:tc>
          <w:tcPr>
            <w:tcW w:type="dxa" w:w="18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distance</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Número</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Distancia expresada en kilómetros</w:t>
            </w:r>
          </w:p>
        </w:tc>
      </w:tr>
    </w:tbl>
    <w:p>
      <w:pPr>
        <w:spacing w:after="240" w:before="60"/>
        <w:jc w:val="left"/>
      </w:pPr>
      <w:r>
        <w:rPr>
          <w:i/>
          <w:iCs/>
          <w:color w:val="595959"/>
          <w:sz w:val="17"/>
          <w:szCs w:val="17"/>
        </w:rPr>
        <w:t xml:space="preserve">Tabla 6.3. Estructura de los elementos de la tabla races.</w:t>
      </w:r>
    </w:p>
    <w:p>
      <w:pPr>
        <w:spacing w:after="140" w:line="300"/>
        <w:jc w:val="both"/>
      </w:pPr>
      <w:r>
        <w:t xml:space="preserve">DynamoDB no impone esquema alguno a los elementos almacenados: </w:t>
      </w:r>
      <w:r>
        <w:rPr>
          <w:b/>
          <w:bCs/>
        </w:rPr>
        <w:t xml:space="preserve">la coherencia estructural la garantiza el código de la API, no el motor de base de datos</w:t>
      </w:r>
      <w:r>
        <w:t xml:space="preserve">. Se trata de una diferencia sustancial respecto a un sistema relacional y traslada al desarrollador una responsabilidad que en aquel recae sobre el gestor.</w:t>
      </w:r>
    </w:p>
    <w:p>
      <w:pPr>
        <w:spacing w:after="140" w:line="300"/>
        <w:jc w:val="both"/>
      </w:pPr>
      <w:r>
        <w:t xml:space="preserve">Los archivos de definición y carga en lenguaje SQL correspondientes al modelo relacional del planteamiento inicial se conservan en el repositorio como documentación de aquella fase. No resultan ejecutables sobre DynamoDB, que no emplea SQL.</w:t>
      </w:r>
    </w:p>
    <w:p>
      <w:pPr>
        <w:pStyle w:val="Heading2"/>
        <w:spacing w:after="160" w:before="280"/>
      </w:pPr>
      <w:r>
        <w:t xml:space="preserve">6.4. Infraestructura como código</w:t>
      </w:r>
    </w:p>
    <w:p>
      <w:pPr>
        <w:spacing w:after="140" w:line="300"/>
        <w:jc w:val="both"/>
      </w:pPr>
      <w:r>
        <w:t xml:space="preserve">La totalidad de la infraestructura se define en Terraform. El despliegue completo crea veintisiete recursos, distribuidos del siguiente modo:</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5720"/>
        <w:gridCol w:w="1000"/>
      </w:tblGrid>
      <w:tr>
        <w:trPr>
          <w:tblHeader/>
        </w:trPr>
        <w:tc>
          <w:tcPr>
            <w:tcW w:type="dxa" w:w="23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Categoría</w:t>
            </w:r>
          </w:p>
        </w:tc>
        <w:tc>
          <w:tcPr>
            <w:tcW w:type="dxa" w:w="57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Recursos</w:t>
            </w:r>
          </w:p>
        </w:tc>
        <w:tc>
          <w:tcPr>
            <w:tcW w:type="dxa" w:w="1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Nº</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Red</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VPC, 3 subredes, Internet Gateway, 2 tablas de rutas, 3 asociaciones</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10</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Conectividad privada</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2 endpoints Gateway, 3 endpoints Interface</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5</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Seguridad</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3 grupos de seguridad</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3</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Datos</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Tabla DynamoDB</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1</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Registro de imágenes</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Repositorio ECR</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1</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Cómputo</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Clúster, definición de tarea, servicio</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3</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Balanceo</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Balanceador, grupo de destinos, proceso de escucha</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3</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Almacenamiento</w:t>
            </w:r>
          </w:p>
        </w:tc>
        <w:tc>
          <w:tcPr>
            <w:tcW w:type="dxa" w:w="5720"/>
            <w:tcMar>
              <w:top w:type="dxa" w:w="70"/>
              <w:left w:type="dxa" w:w="110"/>
              <w:bottom w:type="dxa" w:w="70"/>
              <w:right w:type="dxa" w:w="110"/>
            </w:tcMar>
            <w:vAlign w:val="center"/>
          </w:tcPr>
          <w:p>
            <w:pPr>
              <w:spacing w:after="0" w:line="260"/>
              <w:jc w:val="left"/>
            </w:pPr>
            <w:r>
              <w:rPr>
                <w:b w:val="false"/>
                <w:bCs w:val="false"/>
                <w:sz w:val="18"/>
                <w:szCs w:val="18"/>
              </w:rPr>
              <w:t xml:space="preserve">Bucket con configuración de sitio web, política y control de acceso</w:t>
            </w:r>
          </w:p>
        </w:tc>
        <w:tc>
          <w:tcPr>
            <w:tcW w:type="dxa" w:w="1000"/>
            <w:tcMar>
              <w:top w:type="dxa" w:w="70"/>
              <w:left w:type="dxa" w:w="110"/>
              <w:bottom w:type="dxa" w:w="70"/>
              <w:right w:type="dxa" w:w="110"/>
            </w:tcMar>
            <w:vAlign w:val="center"/>
          </w:tcPr>
          <w:p>
            <w:pPr>
              <w:spacing w:after="0" w:line="260"/>
              <w:jc w:val="left"/>
            </w:pPr>
            <w:r>
              <w:rPr>
                <w:b w:val="false"/>
                <w:bCs w:val="false"/>
                <w:sz w:val="18"/>
                <w:szCs w:val="18"/>
              </w:rPr>
              <w:t xml:space="preserve">4</w:t>
            </w:r>
          </w:p>
        </w:tc>
      </w:tr>
    </w:tbl>
    <w:p>
      <w:pPr>
        <w:spacing w:after="240" w:before="60"/>
        <w:jc w:val="left"/>
      </w:pPr>
      <w:r>
        <w:rPr>
          <w:i/>
          <w:iCs/>
          <w:color w:val="595959"/>
          <w:sz w:val="17"/>
          <w:szCs w:val="17"/>
        </w:rPr>
        <w:t xml:space="preserve">Tabla 6.4. Recursos de infraestructura desplegados.</w:t>
      </w:r>
    </w:p>
    <w:p>
      <w:pPr>
        <w:spacing w:after="140" w:line="300"/>
        <w:jc w:val="both"/>
      </w:pPr>
      <w:r>
        <w:t xml:space="preserve">El estado de Terraform se mantiene en un archivo local en el equipo de cada integrante, y no en un almacenamiento remoto compartido. Las implicaciones operativas y económicas de esta circunstancia se analizan en el apartado 9.3.</w:t>
      </w:r>
    </w:p>
    <w:p>
      <w:r>
        <w:br w:type="page"/>
      </w:r>
    </w:p>
    <w:p>
      <w:pPr>
        <w:pStyle w:val="Heading1"/>
        <w:spacing w:after="220" w:before="360"/>
      </w:pPr>
      <w:r>
        <w:t xml:space="preserve">7. Despliegue y automatización</w:t>
      </w:r>
    </w:p>
    <w:p>
      <w:pPr>
        <w:pStyle w:val="Heading2"/>
        <w:spacing w:after="160" w:before="280"/>
      </w:pPr>
      <w:r>
        <w:t xml:space="preserve">7.1. Fases del despliegue</w:t>
      </w:r>
    </w:p>
    <w:p>
      <w:pPr>
        <w:spacing w:after="140" w:line="300"/>
        <w:jc w:val="both"/>
      </w:pPr>
      <w:r>
        <w:t xml:space="preserve">El despliegue completo desde un entorno vacío comprende ocho fases: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900"/>
        <w:gridCol w:w="8120"/>
      </w:tblGrid>
      <w:tr>
        <w:trPr>
          <w:tblHeader/>
        </w:trPr>
        <w:tc>
          <w:tcPr>
            <w:tcW w:type="dxa" w:w="9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Fase</w:t>
            </w:r>
          </w:p>
        </w:tc>
        <w:tc>
          <w:tcPr>
            <w:tcW w:type="dxa" w:w="81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Actuación</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1</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Verificación de la disponibilidad de las herramientas requeridas</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2</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Verificación de la validez de las credenciales del proveedor</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3</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Creación de la infraestructura base, excluida la capa de cómputo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4</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Construcción de la imagen del contenedor y publicación en el registro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5</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Creación del clúster, la definición de tarea y el servicio</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6</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Espera activa hasta la disponibilidad efectiva de la API</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7</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Compilación de la interfaz y publicación en el almacenamiento de objetos</w:t>
            </w:r>
          </w:p>
        </w:tc>
      </w:tr>
      <w:tr>
        <w:tc>
          <w:tcPr>
            <w:tcW w:type="dxa" w:w="900"/>
            <w:tcMar>
              <w:top w:type="dxa" w:w="70"/>
              <w:left w:type="dxa" w:w="110"/>
              <w:bottom w:type="dxa" w:w="70"/>
              <w:right w:type="dxa" w:w="110"/>
            </w:tcMar>
            <w:vAlign w:val="center"/>
          </w:tcPr>
          <w:p>
            <w:pPr>
              <w:spacing w:after="0" w:line="260"/>
              <w:jc w:val="left"/>
            </w:pPr>
            <w:r>
              <w:rPr>
                <w:b w:val="false"/>
                <w:bCs w:val="false"/>
                <w:sz w:val="18"/>
                <w:szCs w:val="18"/>
              </w:rPr>
              <w:t xml:space="preserve">8</w:t>
            </w:r>
          </w:p>
        </w:tc>
        <w:tc>
          <w:tcPr>
            <w:tcW w:type="dxa" w:w="8120"/>
            <w:tcMar>
              <w:top w:type="dxa" w:w="70"/>
              <w:left w:type="dxa" w:w="110"/>
              <w:bottom w:type="dxa" w:w="70"/>
              <w:right w:type="dxa" w:w="110"/>
            </w:tcMar>
            <w:vAlign w:val="center"/>
          </w:tcPr>
          <w:p>
            <w:pPr>
              <w:spacing w:after="0" w:line="260"/>
              <w:jc w:val="left"/>
            </w:pPr>
            <w:r>
              <w:rPr>
                <w:b w:val="false"/>
                <w:bCs w:val="false"/>
                <w:sz w:val="18"/>
                <w:szCs w:val="18"/>
              </w:rPr>
              <w:t xml:space="preserve">Carga de un conjunto de datos de ejemplo</w:t>
            </w:r>
          </w:p>
        </w:tc>
      </w:tr>
    </w:tbl>
    <w:p>
      <w:pPr>
        <w:spacing w:after="240" w:before="60"/>
        <w:jc w:val="left"/>
      </w:pPr>
      <w:r>
        <w:rPr>
          <w:i/>
          <w:iCs/>
          <w:color w:val="595959"/>
          <w:sz w:val="17"/>
          <w:szCs w:val="17"/>
        </w:rPr>
        <w:t xml:space="preserve">Tabla 7.1. Fases del procedimiento de despliegue.</w:t>
      </w:r>
    </w:p>
    <w:p>
      <w:pPr>
        <w:pStyle w:val="Heading2"/>
        <w:spacing w:after="160" w:before="280"/>
      </w:pPr>
      <w:r>
        <w:t xml:space="preserve">7.2. La dependencia entre la imagen y el servicio</w:t>
      </w:r>
    </w:p>
    <w:p>
      <w:pPr>
        <w:spacing w:after="140" w:line="300"/>
        <w:jc w:val="both"/>
      </w:pPr>
      <w:r>
        <w:t xml:space="preserve">El procedimiento presenta una dependencia de orden que la herramienta de infraestructura no puede resolver de forma autónoma, y que constituye el aspecto técnicamente más interesante del despliegue.</w:t>
      </w:r>
    </w:p>
    <w:p>
      <w:pPr>
        <w:spacing w:after="140" w:line="300"/>
        <w:jc w:val="both"/>
      </w:pPr>
      <w:r>
        <w:t xml:space="preserve">Terraform crea el repositorio de imágenes, pero vacío: no es competencia suya construir ni publicar la imagen del contenedor, tarea que corresponde a Docker y se ejecuta al margen de la herramienta. Si se solicita la creación de la totalidad de los recursos en una única operación, el servicio de cómputo se crea antes de que la imagen esté disponible, intenta obtenerla del repositorio y falla de forma reiterada.</w:t>
      </w:r>
    </w:p>
    <w:p>
      <w:pPr>
        <w:spacing w:after="140" w:line="300"/>
        <w:jc w:val="both"/>
      </w:pPr>
      <w:r>
        <w:t xml:space="preserve">La solución adoptada consiste en dividir el despliegue en dos fases, gobernadas por una variable booleana que condiciona la creación de los recursos de cómputo:</w:t>
      </w:r>
    </w:p>
    <w:p>
      <w:pPr>
        <w:shd w:fill="F2F2F2" w:val="clear"/>
        <w:spacing w:after="170" w:before="90" w:line="230"/>
        <w:ind w:left="200" w:right="200"/>
      </w:pPr>
      <w:r>
        <w:rPr>
          <w:rFonts w:ascii="Consolas" w:cs="Consolas" w:eastAsia="Consolas" w:hAnsi="Consolas"/>
          <w:sz w:val="15"/>
          <w:szCs w:val="15"/>
        </w:rPr>
        <w:t xml:space="preserve">Fase 1   enable-ECS = false   -&gt;  red, base de datos, registro,</w:t>
      </w:r>
      <w:r>
        <w:rPr>
          <w:rFonts w:ascii="Consolas" w:cs="Consolas" w:eastAsia="Consolas" w:hAnsi="Consolas"/>
          <w:sz w:val="15"/>
          <w:szCs w:val="15"/>
        </w:rPr>
        <w:br/>
        <w:t xml:space="preserve">                                  almacenamiento, balanceador</w:t>
      </w:r>
      <w:r>
        <w:rPr>
          <w:rFonts w:ascii="Consolas" w:cs="Consolas" w:eastAsia="Consolas" w:hAnsi="Consolas"/>
          <w:sz w:val="15"/>
          <w:szCs w:val="15"/>
        </w:rPr>
        <w:br/>
        <w:t xml:space="preserve"> </w:t>
      </w:r>
      <w:r>
        <w:rPr>
          <w:rFonts w:ascii="Consolas" w:cs="Consolas" w:eastAsia="Consolas" w:hAnsi="Consolas"/>
          <w:sz w:val="15"/>
          <w:szCs w:val="15"/>
        </w:rPr>
        <w:br/>
        <w:t xml:space="preserve">Intermedio                    -&gt;  construccion y publicacion de la</w:t>
      </w:r>
      <w:r>
        <w:rPr>
          <w:rFonts w:ascii="Consolas" w:cs="Consolas" w:eastAsia="Consolas" w:hAnsi="Consolas"/>
          <w:sz w:val="15"/>
          <w:szCs w:val="15"/>
        </w:rPr>
        <w:br/>
        <w:t xml:space="preserve">                                  imagen del contenedor (Docker)</w:t>
      </w:r>
      <w:r>
        <w:rPr>
          <w:rFonts w:ascii="Consolas" w:cs="Consolas" w:eastAsia="Consolas" w:hAnsi="Consolas"/>
          <w:sz w:val="15"/>
          <w:szCs w:val="15"/>
        </w:rPr>
        <w:br/>
        <w:t xml:space="preserve"> </w:t>
      </w:r>
      <w:r>
        <w:rPr>
          <w:rFonts w:ascii="Consolas" w:cs="Consolas" w:eastAsia="Consolas" w:hAnsi="Consolas"/>
          <w:sz w:val="15"/>
          <w:szCs w:val="15"/>
        </w:rPr>
        <w:br/>
        <w:t xml:space="preserve">Fase 2   enable-ECS = true    -&gt;  clúster, definicion de tarea y servicio</w:t>
      </w:r>
    </w:p>
    <w:p>
      <w:pPr>
        <w:spacing w:after="240" w:before="60"/>
        <w:jc w:val="left"/>
      </w:pPr>
      <w:r>
        <w:rPr>
          <w:i/>
          <w:iCs/>
          <w:color w:val="595959"/>
          <w:sz w:val="17"/>
          <w:szCs w:val="17"/>
        </w:rPr>
        <w:t xml:space="preserve">Figura 7.1. Secuencia del despliegue en dos fases.</w:t>
      </w:r>
    </w:p>
    <w:p>
      <w:pPr>
        <w:spacing w:after="140" w:line="300"/>
        <w:jc w:val="both"/>
      </w:pPr>
      <w:r>
        <w:t xml:space="preserve">El mecanismo se implementa mediante el atributo de recuento de recursos de Terraform: los tres recursos de cómputo declaran </w:t>
      </w:r>
      <w:r>
        <w:rPr>
          <w:b/>
          <w:bCs/>
        </w:rPr>
        <w:t xml:space="preserve">count = var.enable-ECS ? 1 : 0</w:t>
      </w:r>
      <w:r>
        <w:t xml:space="preserve">, de modo que un valor falso equivale a la inexistencia del recurso.</w:t>
      </w:r>
    </w:p>
    <w:p>
      <w:pPr>
        <w:spacing w:after="140" w:line="300"/>
        <w:jc w:val="both"/>
      </w:pPr>
      <w:r>
        <w:t xml:space="preserve">La solución es funcional pero constituye, reconocidamente, un artificio: se emplea un interruptor para forzar manualmente un orden que la herramienta debería poder deducir. La alternativa técnicamente correcta sería segregar la infraestructura en dos estados independientes —uno para la capa base y otro para la aplicación—, práctica habitual en entornos productivos que suprimiría la necesidad de la variable y del criterio humano para accionarla en el momento adecuado.</w:t>
      </w:r>
    </w:p>
    <w:p>
      <w:pPr>
        <w:pStyle w:val="Heading2"/>
        <w:spacing w:after="160" w:before="280"/>
      </w:pPr>
      <w:r>
        <w:t xml:space="preserve">7.3. Automatización del procedimiento</w:t>
      </w:r>
    </w:p>
    <w:p>
      <w:pPr>
        <w:spacing w:after="140" w:line="300"/>
        <w:jc w:val="both"/>
      </w:pPr>
      <w:r>
        <w:t xml:space="preserve">Se ha desarrollado un procedimiento automatizado que ejecuta las ocho fases de forma desatendida. Sus características relevantes son las siguientes:</w:t>
      </w:r>
    </w:p>
    <w:p>
      <w:pPr>
        <w:pStyle w:val="ListParagraph"/>
        <w:numPr>
          <w:ilvl w:val="0"/>
          <w:numId w:val="2"/>
        </w:numPr>
        <w:spacing w:after="90" w:line="300"/>
        <w:jc w:val="both"/>
      </w:pPr>
      <w:r>
        <w:rPr>
          <w:b/>
          <w:bCs/>
        </w:rPr>
        <w:t xml:space="preserve">Verificación previa. </w:t>
      </w:r>
      <w:r>
        <w:t xml:space="preserve">Comprueba la disponibilidad de las herramientas y la validez de las credenciales antes de crear ningún recurso, de modo que un defecto de configuración se detecta en segundos en lugar de a mitad del procedimiento.</w:t>
      </w:r>
    </w:p>
    <w:p>
      <w:pPr>
        <w:pStyle w:val="ListParagraph"/>
        <w:numPr>
          <w:ilvl w:val="0"/>
          <w:numId w:val="2"/>
        </w:numPr>
        <w:spacing w:after="90" w:line="300"/>
        <w:jc w:val="both"/>
      </w:pPr>
      <w:r>
        <w:rPr>
          <w:b/>
          <w:bCs/>
        </w:rPr>
        <w:t xml:space="preserve">Comprobación del código de retorno. </w:t>
      </w:r>
      <w:r>
        <w:t xml:space="preserve">Se evalúa el código de salida de cada herramienta invocada, y no el contenido del canal de error estándar, dado que numerosas herramientas emplean dicho canal para emitir advertencias inocuas.</w:t>
      </w:r>
    </w:p>
    <w:p>
      <w:pPr>
        <w:pStyle w:val="ListParagraph"/>
        <w:numPr>
          <w:ilvl w:val="0"/>
          <w:numId w:val="2"/>
        </w:numPr>
        <w:spacing w:after="90" w:line="300"/>
        <w:jc w:val="both"/>
      </w:pPr>
      <w:r>
        <w:rPr>
          <w:b/>
          <w:bCs/>
        </w:rPr>
        <w:t xml:space="preserve">Espera activa. </w:t>
      </w:r>
      <w:r>
        <w:t xml:space="preserve">Consulta el balanceador de carga en intervalos regulares, hasta un máximo establecido, antes de proceder con la publicación de la interfaz.</w:t>
      </w:r>
    </w:p>
    <w:p>
      <w:pPr>
        <w:pStyle w:val="ListParagraph"/>
        <w:numPr>
          <w:ilvl w:val="0"/>
          <w:numId w:val="2"/>
        </w:numPr>
        <w:spacing w:after="90" w:line="300"/>
        <w:jc w:val="both"/>
      </w:pPr>
      <w:r>
        <w:rPr>
          <w:b/>
          <w:bCs/>
        </w:rPr>
        <w:t xml:space="preserve">Inyección de la configuración. </w:t>
      </w:r>
      <w:r>
        <w:t xml:space="preserve">Actualiza automáticamente la dirección del balanceador en el código de la interfaz, dado que dicha dirección es asignada por el proveedor y varía en cada creación.</w:t>
      </w:r>
    </w:p>
    <w:p>
      <w:pPr>
        <w:pStyle w:val="ListParagraph"/>
        <w:numPr>
          <w:ilvl w:val="0"/>
          <w:numId w:val="2"/>
        </w:numPr>
        <w:spacing w:after="90" w:line="300"/>
        <w:jc w:val="both"/>
      </w:pPr>
      <w:r>
        <w:rPr>
          <w:b/>
          <w:bCs/>
        </w:rPr>
        <w:t xml:space="preserve">Verificación integrada. </w:t>
      </w:r>
      <w:r>
        <w:t xml:space="preserve">Comprueba que el resultado de la compilación no contiene código fuente antes de publicarlo, previniendo la reaparición del defecto documentado en el apartado 11.6.</w:t>
      </w:r>
    </w:p>
    <w:p>
      <w:pPr>
        <w:pStyle w:val="ListParagraph"/>
        <w:numPr>
          <w:ilvl w:val="0"/>
          <w:numId w:val="2"/>
        </w:numPr>
        <w:spacing w:after="90" w:line="300"/>
        <w:jc w:val="both"/>
      </w:pPr>
      <w:r>
        <w:rPr>
          <w:b/>
          <w:bCs/>
        </w:rPr>
        <w:t xml:space="preserve">Fallo seguro. </w:t>
      </w:r>
      <w:r>
        <w:t xml:space="preserve">En caso de interrupción no destruye los recursos ya creados, permitiendo la corrección y reintento sin pérdida del trabajo previo.</w:t>
      </w:r>
    </w:p>
    <w:p>
      <w:pPr>
        <w:spacing w:after="140" w:line="300"/>
        <w:jc w:val="both"/>
      </w:pPr>
      <w:r>
        <w:t xml:space="preserve">Se ha desarrollado igualmente un procedimiento de carga de datos de ejemplo mediante invocaciones a la API, equivalente funcional del archivo de carga en lenguaje SQL del diseño relacional inicial.</w:t>
      </w:r>
    </w:p>
    <w:p>
      <w:pPr>
        <w:pStyle w:val="Heading2"/>
        <w:spacing w:after="160" w:before="280"/>
      </w:pPr>
      <w:r>
        <w:t xml:space="preserve">7.4. Integración continua y despliegue</w:t>
      </w:r>
    </w:p>
    <w:p>
      <w:pPr>
        <w:spacing w:after="140" w:line="300"/>
        <w:jc w:val="both"/>
      </w:pPr>
      <w:r>
        <w:t xml:space="preserve">El repositorio incorpora dos flujos de trabajo automatizados con responsabilidades deliberadamente separadas.</w:t>
      </w:r>
    </w:p>
    <w:p>
      <w:pPr>
        <w:pStyle w:val="Heading3"/>
        <w:spacing w:after="130" w:before="220"/>
      </w:pPr>
      <w:r>
        <w:t xml:space="preserve">7.4.1. Integración continua</w:t>
      </w:r>
    </w:p>
    <w:p>
      <w:pPr>
        <w:spacing w:after="140" w:line="300"/>
        <w:jc w:val="both"/>
      </w:pPr>
      <w:r>
        <w:t xml:space="preserve">El primer flujo se ejecuta de forma automática ante cada incorporación de cambios a la rama principal y ante cada propuesta de cambio. No requiere credenciales del proveedor, circunstancia esencial en este entorno, por lo que funciona de manera incondicional.</w:t>
      </w:r>
    </w:p>
    <w:p>
      <w:pPr>
        <w:spacing w:after="140" w:line="300"/>
        <w:jc w:val="both"/>
      </w:pPr>
      <w:r>
        <w:t xml:space="preserve">Comprende tres trabajos ejecutados en paralelo: validación de la configuración de infraestructura, compilación de la interfaz, y construcción de la imagen del contenedor con análisis de vulnerabilidades mediante Trivy sobre el sistema base y las dependencias.</w:t>
      </w:r>
    </w:p>
    <w:p>
      <w:pPr>
        <w:spacing w:after="140" w:line="300"/>
        <w:jc w:val="both"/>
      </w:pPr>
      <w:r>
        <w:t xml:space="preserve">Incorpora asimismo una </w:t>
      </w:r>
      <w:r>
        <w:rPr>
          <w:b/>
          <w:bCs/>
        </w:rPr>
        <w:t xml:space="preserve">guarda de regresión</w:t>
      </w:r>
      <w:r>
        <w:t xml:space="preserve">: tras compilar la interfaz, cuenta los archivos de código fuente presentes en el resultado y falla si encuentra alguno. El defecto documentado en el apartado 11.6 —la publicación de código fuente en un almacenamiento público— no puede por tanto reaparecer sin que la integración continua lo bloquee.</w:t>
      </w:r>
    </w:p>
    <w:p>
      <w:pPr>
        <w:spacing w:after="140" w:line="300"/>
        <w:jc w:val="both"/>
      </w:pPr>
      <w:r>
        <w:t xml:space="preserve">Constituye un ejemplo del principio según el cual un defecto corregido debe convertirse en una garantía permanente: no basta con arreglarlo, hay que impedir que vuelva.</w:t>
      </w:r>
    </w:p>
    <w:p>
      <w:pPr>
        <w:pStyle w:val="Heading3"/>
        <w:spacing w:after="130" w:before="220"/>
      </w:pPr>
      <w:r>
        <w:t xml:space="preserve">7.4.2. Despliegue automatizado</w:t>
      </w:r>
    </w:p>
    <w:p>
      <w:pPr>
        <w:spacing w:after="140" w:line="300"/>
        <w:jc w:val="both"/>
      </w:pPr>
      <w:r>
        <w:t xml:space="preserve">El segundo flujo despliega la aplicación sobre una infraestructura previamente existente. Publica la imagen en el registro, fuerza el redespliegue del servicio de cómputo, aguarda a que la API responda, y compila y publica la interfaz inyectando la dirección del balanceador.</w:t>
      </w:r>
    </w:p>
    <w:p>
      <w:pPr>
        <w:spacing w:after="140" w:line="300"/>
        <w:jc w:val="both"/>
      </w:pPr>
      <w:r>
        <w:t xml:space="preserve">La imagen se etiqueta con dos referencias: la etiqueta fija que la definición de tarea referencia, y el identificador abreviado del commit correspondiente. Esta segunda etiqueta mitiga parcialmente la limitación de trazabilidad de versiones señalada en el apartado 12.2.</w:t>
      </w:r>
    </w:p>
    <w:p>
      <w:pPr>
        <w:pStyle w:val="Heading3"/>
        <w:spacing w:after="130" w:before="220"/>
      </w:pPr>
      <w:r>
        <w:t xml:space="preserve">7.4.3. Justificación del disparo manual</w:t>
      </w:r>
    </w:p>
    <w:p>
      <w:pPr>
        <w:spacing w:after="140" w:line="300"/>
        <w:jc w:val="both"/>
      </w:pPr>
      <w:r>
        <w:t xml:space="preserve">El despliegue no se ejecuta de forma continua, sino que se acciona manualmente. La decisión responde a dos restricciones estructurales del entorno.</w:t>
      </w:r>
    </w:p>
    <w:p>
      <w:pPr>
        <w:spacing w:after="140" w:line="300"/>
        <w:jc w:val="both"/>
      </w:pPr>
      <w:r>
        <w:rPr>
          <w:b/>
          <w:bCs/>
        </w:rPr>
        <w:t xml:space="preserve">Credenciales temporales. </w:t>
      </w:r>
      <w:r>
        <w:t xml:space="preserve">El entorno de prácticas emite credenciales que caducan cada pocas horas. Un despliegue automático ante cada cambio fallaría la mayor parte del tiempo, produciendo un flujo permanentemente en estado de error que dejaría de aportar información.</w:t>
      </w:r>
    </w:p>
    <w:p>
      <w:pPr>
        <w:spacing w:after="140" w:line="300"/>
        <w:jc w:val="both"/>
      </w:pPr>
      <w:r>
        <w:rPr>
          <w:b/>
          <w:bCs/>
        </w:rPr>
        <w:t xml:space="preserve">Estado local de la infraestructura. </w:t>
      </w:r>
      <w:r>
        <w:t xml:space="preserve">El flujo no tiene acceso al estado de Terraform, mantenido en local, por lo que no puede crear ni modificar infraestructura. Localiza los recursos existentes consultando la interfaz de programación del proveedor en lugar de leer los valores de salida de la herramienta.</w:t>
      </w:r>
    </w:p>
    <w:p>
      <w:pPr>
        <w:spacing w:after="140" w:line="300"/>
        <w:jc w:val="both"/>
      </w:pPr>
      <w:r>
        <w:t xml:space="preserve">Esta segunda restricción constituye, no obstante, una separación de responsabilidades adecuada: el flujo despliega la aplicación mientras que el aprovisionamiento de la infraestructura se realiza de forma independiente. Conviene señalar además que la aprobación manual de los despliegues es práctica extendida en entornos productivos, de modo que el disparo manual no debe interpretarse como una carencia sino como una decisión razonada.</w:t>
      </w:r>
    </w:p>
    <w:p>
      <w:pPr>
        <w:pStyle w:val="Heading2"/>
        <w:spacing w:after="160" w:before="280"/>
      </w:pPr>
      <w:r>
        <w:t xml:space="preserve">7.5. Resultados medidos</w:t>
      </w:r>
    </w:p>
    <w:p>
      <w:pPr>
        <w:spacing w:after="140" w:line="300"/>
        <w:jc w:val="both"/>
      </w:pPr>
      <w:r>
        <w:t xml:space="preserve">Mediciones obtenidas en la ejecución del procedimiento sobre un entorno vacío y sobre un entorno preexistente:</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5520"/>
        <w:gridCol w:w="3500"/>
      </w:tblGrid>
      <w:tr>
        <w:trPr>
          <w:tblHeader/>
        </w:trPr>
        <w:tc>
          <w:tcPr>
            <w:tcW w:type="dxa" w:w="55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Métrica</w:t>
            </w:r>
          </w:p>
        </w:tc>
        <w:tc>
          <w:tcPr>
            <w:tcW w:type="dxa" w:w="3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Valor</w:t>
            </w:r>
          </w:p>
        </w:tc>
      </w:tr>
      <w:tr>
        <w:tc>
          <w:tcPr>
            <w:tcW w:type="dxa" w:w="5520"/>
            <w:tcMar>
              <w:top w:type="dxa" w:w="70"/>
              <w:left w:type="dxa" w:w="110"/>
              <w:bottom w:type="dxa" w:w="70"/>
              <w:right w:type="dxa" w:w="110"/>
            </w:tcMar>
            <w:vAlign w:val="center"/>
          </w:tcPr>
          <w:p>
            <w:pPr>
              <w:spacing w:after="0" w:line="260"/>
              <w:jc w:val="left"/>
            </w:pPr>
            <w:r>
              <w:rPr>
                <w:b w:val="false"/>
                <w:bCs w:val="false"/>
                <w:sz w:val="18"/>
                <w:szCs w:val="18"/>
              </w:rPr>
              <w:t xml:space="preserve">Recursos creados</w:t>
            </w:r>
          </w:p>
        </w:tc>
        <w:tc>
          <w:tcPr>
            <w:tcW w:type="dxa" w:w="3500"/>
            <w:tcMar>
              <w:top w:type="dxa" w:w="70"/>
              <w:left w:type="dxa" w:w="110"/>
              <w:bottom w:type="dxa" w:w="70"/>
              <w:right w:type="dxa" w:w="110"/>
            </w:tcMar>
            <w:vAlign w:val="center"/>
          </w:tcPr>
          <w:p>
            <w:pPr>
              <w:spacing w:after="0" w:line="260"/>
              <w:jc w:val="left"/>
            </w:pPr>
            <w:r>
              <w:rPr>
                <w:b w:val="false"/>
                <w:bCs w:val="false"/>
                <w:sz w:val="18"/>
                <w:szCs w:val="18"/>
              </w:rPr>
              <w:t xml:space="preserve">27</w:t>
            </w:r>
          </w:p>
        </w:tc>
      </w:tr>
      <w:tr>
        <w:tc>
          <w:tcPr>
            <w:tcW w:type="dxa" w:w="5520"/>
            <w:tcMar>
              <w:top w:type="dxa" w:w="70"/>
              <w:left w:type="dxa" w:w="110"/>
              <w:bottom w:type="dxa" w:w="70"/>
              <w:right w:type="dxa" w:w="110"/>
            </w:tcMar>
            <w:vAlign w:val="center"/>
          </w:tcPr>
          <w:p>
            <w:pPr>
              <w:spacing w:after="0" w:line="260"/>
              <w:jc w:val="left"/>
            </w:pPr>
            <w:r>
              <w:rPr>
                <w:b w:val="false"/>
                <w:bCs w:val="false"/>
                <w:sz w:val="18"/>
                <w:szCs w:val="18"/>
              </w:rPr>
              <w:t xml:space="preserve">Duración de la creación del balanceador de carga</w:t>
            </w:r>
          </w:p>
        </w:tc>
        <w:tc>
          <w:tcPr>
            <w:tcW w:type="dxa" w:w="3500"/>
            <w:tcMar>
              <w:top w:type="dxa" w:w="70"/>
              <w:left w:type="dxa" w:w="110"/>
              <w:bottom w:type="dxa" w:w="70"/>
              <w:right w:type="dxa" w:w="110"/>
            </w:tcMar>
            <w:vAlign w:val="center"/>
          </w:tcPr>
          <w:p>
            <w:pPr>
              <w:spacing w:after="0" w:line="260"/>
              <w:jc w:val="left"/>
            </w:pPr>
            <w:r>
              <w:rPr>
                <w:b w:val="false"/>
                <w:bCs w:val="false"/>
                <w:sz w:val="18"/>
                <w:szCs w:val="18"/>
              </w:rPr>
              <w:t xml:space="preserve">3 min 5 s</w:t>
            </w:r>
          </w:p>
        </w:tc>
      </w:tr>
      <w:tr>
        <w:tc>
          <w:tcPr>
            <w:tcW w:type="dxa" w:w="5520"/>
            <w:tcMar>
              <w:top w:type="dxa" w:w="70"/>
              <w:left w:type="dxa" w:w="110"/>
              <w:bottom w:type="dxa" w:w="70"/>
              <w:right w:type="dxa" w:w="110"/>
            </w:tcMar>
            <w:vAlign w:val="center"/>
          </w:tcPr>
          <w:p>
            <w:pPr>
              <w:spacing w:after="0" w:line="260"/>
              <w:jc w:val="left"/>
            </w:pPr>
            <w:r>
              <w:rPr>
                <w:b w:val="false"/>
                <w:bCs w:val="false"/>
                <w:sz w:val="18"/>
                <w:szCs w:val="18"/>
              </w:rPr>
              <w:t xml:space="preserve">Duración total del primer despliegue</w:t>
            </w:r>
          </w:p>
        </w:tc>
        <w:tc>
          <w:tcPr>
            <w:tcW w:type="dxa" w:w="3500"/>
            <w:tcMar>
              <w:top w:type="dxa" w:w="70"/>
              <w:left w:type="dxa" w:w="110"/>
              <w:bottom w:type="dxa" w:w="70"/>
              <w:right w:type="dxa" w:w="110"/>
            </w:tcMar>
            <w:vAlign w:val="center"/>
          </w:tcPr>
          <w:p>
            <w:pPr>
              <w:spacing w:after="0" w:line="260"/>
              <w:jc w:val="left"/>
            </w:pPr>
            <w:r>
              <w:rPr>
                <w:b w:val="false"/>
                <w:bCs w:val="false"/>
                <w:sz w:val="18"/>
                <w:szCs w:val="18"/>
              </w:rPr>
              <w:t xml:space="preserve">Aproximadamente 12 min</w:t>
            </w:r>
          </w:p>
        </w:tc>
      </w:tr>
      <w:tr>
        <w:tc>
          <w:tcPr>
            <w:tcW w:type="dxa" w:w="5520"/>
            <w:tcMar>
              <w:top w:type="dxa" w:w="70"/>
              <w:left w:type="dxa" w:w="110"/>
              <w:bottom w:type="dxa" w:w="70"/>
              <w:right w:type="dxa" w:w="110"/>
            </w:tcMar>
            <w:vAlign w:val="center"/>
          </w:tcPr>
          <w:p>
            <w:pPr>
              <w:spacing w:after="0" w:line="260"/>
              <w:jc w:val="left"/>
            </w:pPr>
            <w:r>
              <w:rPr>
                <w:b w:val="false"/>
                <w:bCs w:val="false"/>
                <w:sz w:val="18"/>
                <w:szCs w:val="18"/>
              </w:rPr>
              <w:t xml:space="preserve">Duración de un redespliegue sobre infraestructura existente</w:t>
            </w:r>
          </w:p>
        </w:tc>
        <w:tc>
          <w:tcPr>
            <w:tcW w:type="dxa" w:w="3500"/>
            <w:tcMar>
              <w:top w:type="dxa" w:w="70"/>
              <w:left w:type="dxa" w:w="110"/>
              <w:bottom w:type="dxa" w:w="70"/>
              <w:right w:type="dxa" w:w="110"/>
            </w:tcMar>
            <w:vAlign w:val="center"/>
          </w:tcPr>
          <w:p>
            <w:pPr>
              <w:spacing w:after="0" w:line="260"/>
              <w:jc w:val="left"/>
            </w:pPr>
            <w:r>
              <w:rPr>
                <w:b w:val="false"/>
                <w:bCs w:val="false"/>
                <w:sz w:val="18"/>
                <w:szCs w:val="18"/>
              </w:rPr>
              <w:t xml:space="preserve">2 min 12 s</w:t>
            </w:r>
          </w:p>
        </w:tc>
      </w:tr>
      <w:tr>
        <w:tc>
          <w:tcPr>
            <w:tcW w:type="dxa" w:w="5520"/>
            <w:tcMar>
              <w:top w:type="dxa" w:w="70"/>
              <w:left w:type="dxa" w:w="110"/>
              <w:bottom w:type="dxa" w:w="70"/>
              <w:right w:type="dxa" w:w="110"/>
            </w:tcMar>
            <w:vAlign w:val="center"/>
          </w:tcPr>
          <w:p>
            <w:pPr>
              <w:spacing w:after="0" w:line="260"/>
              <w:jc w:val="left"/>
            </w:pPr>
            <w:r>
              <w:rPr>
                <w:b w:val="false"/>
                <w:bCs w:val="false"/>
                <w:sz w:val="18"/>
                <w:szCs w:val="18"/>
              </w:rPr>
              <w:t xml:space="preserve">Elementos cargados en la base de datos</w:t>
            </w:r>
          </w:p>
        </w:tc>
        <w:tc>
          <w:tcPr>
            <w:tcW w:type="dxa" w:w="3500"/>
            <w:tcMar>
              <w:top w:type="dxa" w:w="70"/>
              <w:left w:type="dxa" w:w="110"/>
              <w:bottom w:type="dxa" w:w="70"/>
              <w:right w:type="dxa" w:w="110"/>
            </w:tcMar>
            <w:vAlign w:val="center"/>
          </w:tcPr>
          <w:p>
            <w:pPr>
              <w:spacing w:after="0" w:line="260"/>
              <w:jc w:val="left"/>
            </w:pPr>
            <w:r>
              <w:rPr>
                <w:b w:val="false"/>
                <w:bCs w:val="false"/>
                <w:sz w:val="18"/>
                <w:szCs w:val="18"/>
              </w:rPr>
              <w:t xml:space="preserve">12 de 12, sin errores</w:t>
            </w:r>
          </w:p>
        </w:tc>
      </w:tr>
      <w:tr>
        <w:tc>
          <w:tcPr>
            <w:tcW w:type="dxa" w:w="5520"/>
            <w:tcMar>
              <w:top w:type="dxa" w:w="70"/>
              <w:left w:type="dxa" w:w="110"/>
              <w:bottom w:type="dxa" w:w="70"/>
              <w:right w:type="dxa" w:w="110"/>
            </w:tcMar>
            <w:vAlign w:val="center"/>
          </w:tcPr>
          <w:p>
            <w:pPr>
              <w:spacing w:after="0" w:line="260"/>
              <w:jc w:val="left"/>
            </w:pPr>
            <w:r>
              <w:rPr>
                <w:b w:val="false"/>
                <w:bCs w:val="false"/>
                <w:sz w:val="18"/>
                <w:szCs w:val="18"/>
              </w:rPr>
              <w:t xml:space="preserve">Verificación de ausencia de código fuente en la compilación</w:t>
            </w:r>
          </w:p>
        </w:tc>
        <w:tc>
          <w:tcPr>
            <w:tcW w:type="dxa" w:w="3500"/>
            <w:tcMar>
              <w:top w:type="dxa" w:w="70"/>
              <w:left w:type="dxa" w:w="110"/>
              <w:bottom w:type="dxa" w:w="70"/>
              <w:right w:type="dxa" w:w="110"/>
            </w:tcMar>
            <w:vAlign w:val="center"/>
          </w:tcPr>
          <w:p>
            <w:pPr>
              <w:spacing w:after="0" w:line="260"/>
              <w:jc w:val="left"/>
            </w:pPr>
            <w:r>
              <w:rPr>
                <w:b w:val="false"/>
                <w:bCs w:val="false"/>
                <w:sz w:val="18"/>
                <w:szCs w:val="18"/>
              </w:rPr>
              <w:t xml:space="preserve">Satisfactoria</w:t>
            </w:r>
          </w:p>
        </w:tc>
      </w:tr>
    </w:tbl>
    <w:p>
      <w:pPr>
        <w:spacing w:after="240" w:before="60"/>
        <w:jc w:val="left"/>
      </w:pPr>
      <w:r>
        <w:rPr>
          <w:i/>
          <w:iCs/>
          <w:color w:val="595959"/>
          <w:sz w:val="17"/>
          <w:szCs w:val="17"/>
        </w:rPr>
        <w:t xml:space="preserve">Tabla 7.2. Resultados medidos del procedimiento de despliegue.</w:t>
      </w:r>
    </w:p>
    <w:p>
      <w:pPr>
        <w:spacing w:after="140" w:line="300"/>
        <w:jc w:val="both"/>
      </w:pPr>
      <w:r>
        <w:t xml:space="preserve">El balanceador de carga constituye, con diferencia considerable, el recurso de aprovisionamiento más lento: tres minutos frente a segundos en el resto de los casos. Este dato refuerza el argumento expuesto en el apartado 7.2 en favor de segregar la infraestructura en dos estados independientes, dado que toda operación sobre la capa base implica asumir dicha espera.</w:t>
      </w:r>
    </w:p>
    <w:p>
      <w:r>
        <w:br w:type="page"/>
      </w:r>
    </w:p>
    <w:p>
      <w:pPr>
        <w:pStyle w:val="Heading1"/>
        <w:spacing w:after="220" w:before="360"/>
      </w:pPr>
      <w:r>
        <w:t xml:space="preserve">8. Pruebas y validación</w:t>
      </w:r>
    </w:p>
    <w:p>
      <w:pPr>
        <w:pStyle w:val="Heading2"/>
        <w:spacing w:after="160" w:before="280"/>
      </w:pPr>
      <w:r>
        <w:t xml:space="preserve">8.1. Validación funcional</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900"/>
        <w:gridCol w:w="4120"/>
        <w:gridCol w:w="2000"/>
      </w:tblGrid>
      <w:tr>
        <w:trPr>
          <w:tblHeader/>
        </w:trPr>
        <w:tc>
          <w:tcPr>
            <w:tcW w:type="dxa" w:w="29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Prueba</w:t>
            </w:r>
          </w:p>
        </w:tc>
        <w:tc>
          <w:tcPr>
            <w:tcW w:type="dxa" w:w="41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Método</w:t>
            </w:r>
          </w:p>
        </w:tc>
        <w:tc>
          <w:tcPr>
            <w:tcW w:type="dxa" w:w="2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Resultado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Disponibilidad de la API</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Petición GET sobre la raíz del balanceador</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Correcto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Conectividad con la base de datos</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Petición GET sobre /connection</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Correcto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Creación de elementos</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12 peticiones POST sobre /races</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12 de 12</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Lectura del catálogo</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Petición GET sobre /races</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12 elementos</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Carga de la interfaz</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Acceso mediante navegador</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Correcto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Integración de las tres capas</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Indicador de estado en la interfaz</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Activo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Búsqueda por nombre y ciudad</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Interacción con la interfaz</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Correcto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Filtrado por país y distancia</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Interacción con la interfaz</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Correcto</w:t>
            </w:r>
          </w:p>
        </w:tc>
      </w:tr>
      <w:tr>
        <w:tc>
          <w:tcPr>
            <w:tcW w:type="dxa" w:w="2900"/>
            <w:tcMar>
              <w:top w:type="dxa" w:w="70"/>
              <w:left w:type="dxa" w:w="110"/>
              <w:bottom w:type="dxa" w:w="70"/>
              <w:right w:type="dxa" w:w="110"/>
            </w:tcMar>
            <w:vAlign w:val="center"/>
          </w:tcPr>
          <w:p>
            <w:pPr>
              <w:spacing w:after="0" w:line="260"/>
              <w:jc w:val="left"/>
            </w:pPr>
            <w:r>
              <w:rPr>
                <w:b w:val="false"/>
                <w:bCs w:val="false"/>
                <w:sz w:val="18"/>
                <w:szCs w:val="18"/>
              </w:rPr>
              <w:t xml:space="preserve">Registro mediante formulario</w:t>
            </w:r>
          </w:p>
        </w:tc>
        <w:tc>
          <w:tcPr>
            <w:tcW w:type="dxa" w:w="4120"/>
            <w:tcMar>
              <w:top w:type="dxa" w:w="70"/>
              <w:left w:type="dxa" w:w="110"/>
              <w:bottom w:type="dxa" w:w="70"/>
              <w:right w:type="dxa" w:w="110"/>
            </w:tcMar>
            <w:vAlign w:val="center"/>
          </w:tcPr>
          <w:p>
            <w:pPr>
              <w:spacing w:after="0" w:line="260"/>
              <w:jc w:val="left"/>
            </w:pPr>
            <w:r>
              <w:rPr>
                <w:b w:val="false"/>
                <w:bCs w:val="false"/>
                <w:sz w:val="18"/>
                <w:szCs w:val="18"/>
              </w:rPr>
              <w:t xml:space="preserve">Interacción con la interfaz</w:t>
            </w:r>
          </w:p>
        </w:tc>
        <w:tc>
          <w:tcPr>
            <w:tcW w:type="dxa" w:w="2000"/>
            <w:tcMar>
              <w:top w:type="dxa" w:w="70"/>
              <w:left w:type="dxa" w:w="110"/>
              <w:bottom w:type="dxa" w:w="70"/>
              <w:right w:type="dxa" w:w="110"/>
            </w:tcMar>
            <w:vAlign w:val="center"/>
          </w:tcPr>
          <w:p>
            <w:pPr>
              <w:spacing w:after="0" w:line="260"/>
              <w:jc w:val="left"/>
            </w:pPr>
            <w:r>
              <w:rPr>
                <w:b w:val="false"/>
                <w:bCs w:val="false"/>
                <w:sz w:val="18"/>
                <w:szCs w:val="18"/>
              </w:rPr>
              <w:t xml:space="preserve">Correcto</w:t>
            </w:r>
          </w:p>
        </w:tc>
      </w:tr>
    </w:tbl>
    <w:p>
      <w:pPr>
        <w:spacing w:after="240" w:before="60"/>
        <w:jc w:val="left"/>
      </w:pPr>
      <w:r>
        <w:rPr>
          <w:i/>
          <w:iCs/>
          <w:color w:val="595959"/>
          <w:sz w:val="17"/>
          <w:szCs w:val="17"/>
        </w:rPr>
        <w:t xml:space="preserve">Tabla 8.1. Resultados de la validación funcional.</w:t>
      </w:r>
    </w:p>
    <w:p>
      <w:pPr>
        <w:spacing w:after="140" w:line="300"/>
        <w:jc w:val="both"/>
      </w:pPr>
      <w:r>
        <w:t xml:space="preserve">La verificación de mayor valor es la sexta. El indicador de estado presentado en la interfaz se alimenta de una invocación efectiva del navegador a la API, la cual a su vez requiere que la capa de aplicación esté operativa. Su activación confirma por tanto, mediante una única observación, que las tres capas se comunican correctamente en condiciones reales de uso.</w:t>
      </w:r>
    </w:p>
    <w:p>
      <w:pPr>
        <w:pStyle w:val="Heading2"/>
        <w:spacing w:after="160" w:before="280"/>
      </w:pPr>
      <w:r>
        <w:t xml:space="preserve">8.2. Verificación de las correcciones aplicadas</w:t>
      </w:r>
    </w:p>
    <w:p>
      <w:pPr>
        <w:spacing w:after="140" w:line="300"/>
        <w:jc w:val="both"/>
      </w:pPr>
      <w:r>
        <w:t xml:space="preserve">Durante la revisión final se detectaron y corrigieron dos defectos, cuya resolución se verificó posteriormente de forma explícita:</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3300"/>
        <w:gridCol w:w="3220"/>
        <w:gridCol w:w="2500"/>
      </w:tblGrid>
      <w:tr>
        <w:trPr>
          <w:tblHeader/>
        </w:trPr>
        <w:tc>
          <w:tcPr>
            <w:tcW w:type="dxa" w:w="33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Defecto</w:t>
            </w:r>
          </w:p>
        </w:tc>
        <w:tc>
          <w:tcPr>
            <w:tcW w:type="dxa" w:w="32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Verificación</w:t>
            </w:r>
          </w:p>
        </w:tc>
        <w:tc>
          <w:tcPr>
            <w:tcW w:type="dxa" w:w="2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Resultado</w:t>
            </w:r>
          </w:p>
        </w:tc>
      </w:tr>
      <w:tr>
        <w:tc>
          <w:tcPr>
            <w:tcW w:type="dxa" w:w="3300"/>
            <w:tcMar>
              <w:top w:type="dxa" w:w="70"/>
              <w:left w:type="dxa" w:w="110"/>
              <w:bottom w:type="dxa" w:w="70"/>
              <w:right w:type="dxa" w:w="110"/>
            </w:tcMar>
            <w:vAlign w:val="center"/>
          </w:tcPr>
          <w:p>
            <w:pPr>
              <w:spacing w:after="0" w:line="260"/>
              <w:jc w:val="left"/>
            </w:pPr>
            <w:r>
              <w:rPr>
                <w:b w:val="false"/>
                <w:bCs w:val="false"/>
                <w:sz w:val="18"/>
                <w:szCs w:val="18"/>
              </w:rPr>
              <w:t xml:space="preserve">Publicación de código fuente en el almacenamiento público</w:t>
            </w:r>
          </w:p>
        </w:tc>
        <w:tc>
          <w:tcPr>
            <w:tcW w:type="dxa" w:w="3220"/>
            <w:tcMar>
              <w:top w:type="dxa" w:w="70"/>
              <w:left w:type="dxa" w:w="110"/>
              <w:bottom w:type="dxa" w:w="70"/>
              <w:right w:type="dxa" w:w="110"/>
            </w:tcMar>
            <w:vAlign w:val="center"/>
          </w:tcPr>
          <w:p>
            <w:pPr>
              <w:spacing w:after="0" w:line="260"/>
              <w:jc w:val="left"/>
            </w:pPr>
            <w:r>
              <w:rPr>
                <w:b w:val="false"/>
                <w:bCs w:val="false"/>
                <w:sz w:val="18"/>
                <w:szCs w:val="18"/>
              </w:rPr>
              <w:t xml:space="preserve">Búsqueda de archivos de código en el resultado de la compilación</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0 archivos (previamente 7)</w:t>
            </w:r>
          </w:p>
        </w:tc>
      </w:tr>
      <w:tr>
        <w:tc>
          <w:tcPr>
            <w:tcW w:type="dxa" w:w="3300"/>
            <w:tcMar>
              <w:top w:type="dxa" w:w="70"/>
              <w:left w:type="dxa" w:w="110"/>
              <w:bottom w:type="dxa" w:w="70"/>
              <w:right w:type="dxa" w:w="110"/>
            </w:tcMar>
            <w:vAlign w:val="center"/>
          </w:tcPr>
          <w:p>
            <w:pPr>
              <w:spacing w:after="0" w:line="260"/>
              <w:jc w:val="left"/>
            </w:pPr>
            <w:r>
              <w:rPr>
                <w:b w:val="false"/>
                <w:bCs w:val="false"/>
                <w:sz w:val="18"/>
                <w:szCs w:val="18"/>
              </w:rPr>
              <w:t xml:space="preserve">Inoperatividad del filtrado numérico en la API</w:t>
            </w:r>
          </w:p>
        </w:tc>
        <w:tc>
          <w:tcPr>
            <w:tcW w:type="dxa" w:w="3220"/>
            <w:tcMar>
              <w:top w:type="dxa" w:w="70"/>
              <w:left w:type="dxa" w:w="110"/>
              <w:bottom w:type="dxa" w:w="70"/>
              <w:right w:type="dxa" w:w="110"/>
            </w:tcMar>
            <w:vAlign w:val="center"/>
          </w:tcPr>
          <w:p>
            <w:pPr>
              <w:spacing w:after="0" w:line="260"/>
              <w:jc w:val="left"/>
            </w:pPr>
            <w:r>
              <w:rPr>
                <w:b w:val="false"/>
                <w:bCs w:val="false"/>
                <w:sz w:val="18"/>
                <w:szCs w:val="18"/>
              </w:rPr>
              <w:t xml:space="preserve">Petición de filtrado por distancia</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Devuelve resultados (previamente vacío)</w:t>
            </w:r>
          </w:p>
        </w:tc>
      </w:tr>
    </w:tbl>
    <w:p>
      <w:pPr>
        <w:spacing w:after="240" w:before="60"/>
        <w:jc w:val="left"/>
      </w:pPr>
      <w:r>
        <w:rPr>
          <w:i/>
          <w:iCs/>
          <w:color w:val="595959"/>
          <w:sz w:val="17"/>
          <w:szCs w:val="17"/>
        </w:rPr>
        <w:t xml:space="preserve">Tabla 8.2. Verificación de las correcciones aplicadas.</w:t>
      </w:r>
    </w:p>
    <w:p>
      <w:pPr>
        <w:spacing w:after="140" w:line="300"/>
        <w:jc w:val="both"/>
      </w:pPr>
      <w:r>
        <w:t xml:space="preserve">La primera verificación se ha incorporado al procedimiento automatizado de despliegue, de modo que el defecto no puede reaparecer sin ser detectado.</w:t>
      </w:r>
    </w:p>
    <w:p>
      <w:pPr>
        <w:pStyle w:val="Heading2"/>
        <w:spacing w:after="160" w:before="280"/>
      </w:pPr>
      <w:r>
        <w:t xml:space="preserve">8.3. Pruebas no realizadas</w:t>
      </w:r>
    </w:p>
    <w:p>
      <w:pPr>
        <w:spacing w:after="140" w:line="300"/>
        <w:jc w:val="both"/>
      </w:pPr>
      <w:r>
        <w:t xml:space="preserve">No se han desarrollado pruebas automatizadas. El entorno de pruebas se encuentra instalado en el proyecto de la interfaz y existe un archivo de especificación generado por las herramientas del marco de trabajo, pero sin casos implementados. Constituye el incumplimiento del requisito RNF-10 en su vertiente de validación automática.</w:t>
      </w:r>
    </w:p>
    <w:p>
      <w:pPr>
        <w:spacing w:after="140" w:line="300"/>
        <w:jc w:val="both"/>
      </w:pPr>
      <w:r>
        <w:t xml:space="preserve">Tampoco se han realizado pruebas de carga ni de resistencia, por lo que no se dispone de datos empíricos sobre el comportamiento del sistema ante volúmenes elevados de datos o de peticiones concurrentes. Las conclusiones relativas a la escalabilidad expuestas en los apartados 5.3 y 12.2 se fundamentan en el análisis del modelo de datos y no en mediciones.</w:t>
      </w:r>
    </w:p>
    <w:p>
      <w:r>
        <w:br w:type="page"/>
      </w:r>
    </w:p>
    <w:p>
      <w:pPr>
        <w:pStyle w:val="Heading1"/>
        <w:spacing w:after="220" w:before="360"/>
      </w:pPr>
      <w:r>
        <w:t xml:space="preserve">9. Análisis económico</w:t>
      </w:r>
    </w:p>
    <w:p>
      <w:pPr>
        <w:pStyle w:val="Heading2"/>
        <w:spacing w:after="160" w:before="280"/>
      </w:pPr>
      <w:r>
        <w:t xml:space="preserve">9.1. Desglose del coste</w:t>
      </w:r>
    </w:p>
    <w:p>
      <w:pPr>
        <w:spacing w:after="140" w:line="300"/>
        <w:jc w:val="both"/>
      </w:pPr>
      <w:r>
        <w:t xml:space="preserve">Estimación correspondiente a la región us-east-1 con la infraestructura desplegada y sin actividad, elaborada a partir de los precios públicos de referencia del proveedor:</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4020"/>
        <w:gridCol w:w="1700"/>
        <w:gridCol w:w="1700"/>
        <w:gridCol w:w="1600"/>
      </w:tblGrid>
      <w:tr>
        <w:trPr>
          <w:tblHeader/>
        </w:trPr>
        <w:tc>
          <w:tcPr>
            <w:tcW w:type="dxa" w:w="40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Recurso</w:t>
            </w:r>
          </w:p>
        </w:tc>
        <w:tc>
          <w:tcPr>
            <w:tcW w:type="dxa" w:w="17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Coste diario</w:t>
            </w:r>
          </w:p>
        </w:tc>
        <w:tc>
          <w:tcPr>
            <w:tcW w:type="dxa" w:w="17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Coste mensual</w:t>
            </w:r>
          </w:p>
        </w:tc>
        <w:tc>
          <w:tcPr>
            <w:tcW w:type="dxa" w:w="16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 del total</w:t>
            </w:r>
          </w:p>
        </w:tc>
      </w:tr>
      <w:tr>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3 VPC endpoints de modalidad Interface, en 2 zonas</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1,44 USD</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44 USD</w:t>
            </w:r>
          </w:p>
        </w:tc>
        <w:tc>
          <w:tcPr>
            <w:tcW w:type="dxa" w:w="1600"/>
            <w:tcMar>
              <w:top w:type="dxa" w:w="70"/>
              <w:left w:type="dxa" w:w="110"/>
              <w:bottom w:type="dxa" w:w="70"/>
              <w:right w:type="dxa" w:w="110"/>
            </w:tcMar>
            <w:vAlign w:val="center"/>
          </w:tcPr>
          <w:p>
            <w:pPr>
              <w:spacing w:after="0" w:line="260"/>
              <w:jc w:val="left"/>
            </w:pPr>
            <w:r>
              <w:rPr>
                <w:b w:val="false"/>
                <w:bCs w:val="false"/>
                <w:sz w:val="18"/>
                <w:szCs w:val="18"/>
              </w:rPr>
              <w:t xml:space="preserve">46 %</w:t>
            </w:r>
          </w:p>
        </w:tc>
      </w:tr>
      <w:tr>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2 tareas Fargate (1 vCPU y 2 GB en total)</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1,20 USD</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36 USD</w:t>
            </w:r>
          </w:p>
        </w:tc>
        <w:tc>
          <w:tcPr>
            <w:tcW w:type="dxa" w:w="1600"/>
            <w:tcMar>
              <w:top w:type="dxa" w:w="70"/>
              <w:left w:type="dxa" w:w="110"/>
              <w:bottom w:type="dxa" w:w="70"/>
              <w:right w:type="dxa" w:w="110"/>
            </w:tcMar>
            <w:vAlign w:val="center"/>
          </w:tcPr>
          <w:p>
            <w:pPr>
              <w:spacing w:after="0" w:line="260"/>
              <w:jc w:val="left"/>
            </w:pPr>
            <w:r>
              <w:rPr>
                <w:b w:val="false"/>
                <w:bCs w:val="false"/>
                <w:sz w:val="18"/>
                <w:szCs w:val="18"/>
              </w:rPr>
              <w:t xml:space="preserve">38 %</w:t>
            </w:r>
          </w:p>
        </w:tc>
      </w:tr>
      <w:tr>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Application Load Balancer</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0,54 USD</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16 USD</w:t>
            </w:r>
          </w:p>
        </w:tc>
        <w:tc>
          <w:tcPr>
            <w:tcW w:type="dxa" w:w="1600"/>
            <w:tcMar>
              <w:top w:type="dxa" w:w="70"/>
              <w:left w:type="dxa" w:w="110"/>
              <w:bottom w:type="dxa" w:w="70"/>
              <w:right w:type="dxa" w:w="110"/>
            </w:tcMar>
            <w:vAlign w:val="center"/>
          </w:tcPr>
          <w:p>
            <w:pPr>
              <w:spacing w:after="0" w:line="260"/>
              <w:jc w:val="left"/>
            </w:pPr>
            <w:r>
              <w:rPr>
                <w:b w:val="false"/>
                <w:bCs w:val="false"/>
                <w:sz w:val="18"/>
                <w:szCs w:val="18"/>
              </w:rPr>
              <w:t xml:space="preserve">17 %</w:t>
            </w:r>
          </w:p>
        </w:tc>
      </w:tr>
      <w:tr>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DynamoDB, S3, ECR y endpoints Gateway</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Céntimos</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~1 USD</w:t>
            </w:r>
          </w:p>
        </w:tc>
        <w:tc>
          <w:tcPr>
            <w:tcW w:type="dxa" w:w="1600"/>
            <w:tcMar>
              <w:top w:type="dxa" w:w="70"/>
              <w:left w:type="dxa" w:w="110"/>
              <w:bottom w:type="dxa" w:w="70"/>
              <w:right w:type="dxa" w:w="110"/>
            </w:tcMar>
            <w:vAlign w:val="center"/>
          </w:tcPr>
          <w:p>
            <w:pPr>
              <w:spacing w:after="0" w:line="260"/>
              <w:jc w:val="left"/>
            </w:pPr>
            <w:r>
              <w:rPr>
                <w:b w:val="false"/>
                <w:bCs w:val="false"/>
                <w:sz w:val="18"/>
                <w:szCs w:val="18"/>
              </w:rPr>
              <w:t xml:space="preserve">1 %</w:t>
            </w:r>
          </w:p>
        </w:tc>
      </w:tr>
      <w:tr>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Total</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3,12 USD</w:t>
            </w:r>
          </w:p>
        </w:tc>
        <w:tc>
          <w:tcPr>
            <w:tcW w:type="dxa" w:w="1700"/>
            <w:tcMar>
              <w:top w:type="dxa" w:w="70"/>
              <w:left w:type="dxa" w:w="110"/>
              <w:bottom w:type="dxa" w:w="70"/>
              <w:right w:type="dxa" w:w="110"/>
            </w:tcMar>
            <w:vAlign w:val="center"/>
          </w:tcPr>
          <w:p>
            <w:pPr>
              <w:spacing w:after="0" w:line="260"/>
              <w:jc w:val="left"/>
            </w:pPr>
            <w:r>
              <w:rPr>
                <w:b w:val="false"/>
                <w:bCs w:val="false"/>
                <w:sz w:val="18"/>
                <w:szCs w:val="18"/>
              </w:rPr>
              <w:t xml:space="preserve">97 USD</w:t>
            </w:r>
          </w:p>
        </w:tc>
        <w:tc>
          <w:tcPr>
            <w:tcW w:type="dxa" w:w="1600"/>
            <w:tcMar>
              <w:top w:type="dxa" w:w="70"/>
              <w:left w:type="dxa" w:w="110"/>
              <w:bottom w:type="dxa" w:w="70"/>
              <w:right w:type="dxa" w:w="110"/>
            </w:tcMar>
            <w:vAlign w:val="center"/>
          </w:tcPr>
          <w:p>
            <w:pPr>
              <w:spacing w:after="0" w:line="260"/>
              <w:jc w:val="left"/>
            </w:pPr>
            <w:r>
              <w:rPr>
                <w:b w:val="false"/>
                <w:bCs w:val="false"/>
                <w:sz w:val="18"/>
                <w:szCs w:val="18"/>
              </w:rPr>
              <w:t xml:space="preserve">100 %</w:t>
            </w:r>
          </w:p>
        </w:tc>
      </w:tr>
    </w:tbl>
    <w:p>
      <w:pPr>
        <w:spacing w:after="240" w:before="60"/>
        <w:jc w:val="left"/>
      </w:pPr>
      <w:r>
        <w:rPr>
          <w:i/>
          <w:iCs/>
          <w:color w:val="595959"/>
          <w:sz w:val="17"/>
          <w:szCs w:val="17"/>
        </w:rPr>
        <w:t xml:space="preserve">Tabla 9.1. Desglose estimado del coste de la infraestructura.</w:t>
      </w:r>
    </w:p>
    <w:p>
      <w:pPr>
        <w:spacing w:after="140" w:line="300"/>
        <w:jc w:val="both"/>
      </w:pPr>
      <w:r>
        <w:t xml:space="preserve">Los valores corresponden a precios públicos de referencia y no a facturación efectiva, cuyo dato exacto se obtiene de las herramientas de análisis de coste del proveedor.</w:t>
      </w:r>
    </w:p>
    <w:p>
      <w:pPr>
        <w:pStyle w:val="Heading2"/>
        <w:spacing w:after="160" w:before="280"/>
      </w:pPr>
      <w:r>
        <w:t xml:space="preserve">9.2. Análisis de los resultados</w:t>
      </w:r>
    </w:p>
    <w:p>
      <w:pPr>
        <w:spacing w:after="140" w:line="300"/>
        <w:jc w:val="both"/>
      </w:pPr>
      <w:r>
        <w:rPr>
          <w:b/>
          <w:bCs/>
        </w:rPr>
        <w:t xml:space="preserve">Los VPC endpoints de modalidad Interface constituyen la principal partida de gasto</w:t>
      </w:r>
      <w:r>
        <w:t xml:space="preserve">, por encima tanto del cómputo como del balanceo. Se trata de un coste habitualmente ignorado en los análisis, dado que no se corresponde con ningún componente visible de la aplicación: no procesan lógica, no almacenan datos y no atienden usuarios.</w:t>
      </w:r>
    </w:p>
    <w:p>
      <w:pPr>
        <w:spacing w:after="140" w:line="300"/>
        <w:jc w:val="both"/>
      </w:pPr>
      <w:r>
        <w:t xml:space="preserve">Su existencia es consecuencia directa y exclusiva de la decisión de aislar completamente la subred privada, expuesta en el apartado 4.5. Se configura por tanto un compromiso explícito y cuantificable entre aislamiento de red y coste: ubicar las tareas en la subred pública con dirección IP pública suprimiría la necesidad de los tres endpoints, con un ahorro aproximado de cuarenta y cuatro dólares mensuales, a cambio de exponer la capa de aplicación a internet.</w:t>
      </w:r>
    </w:p>
    <w:p>
      <w:pPr>
        <w:spacing w:after="140" w:line="300"/>
        <w:jc w:val="both"/>
      </w:pPr>
      <w:r>
        <w:t xml:space="preserve">El equipo ha priorizado el aislamiento. La relevancia de este análisis reside en que documenta el precio concreto de una decisión de arquitectura, en lugar de presentarla como una opción sin contrapartidas.</w:t>
      </w:r>
    </w:p>
    <w:p>
      <w:pPr>
        <w:spacing w:after="140" w:line="300"/>
        <w:jc w:val="both"/>
      </w:pPr>
      <w:r>
        <w:rPr>
          <w:b/>
          <w:bCs/>
        </w:rPr>
        <w:t xml:space="preserve">El precio de la tolerancia al fallo de zona. </w:t>
      </w:r>
      <w:r>
        <w:t xml:space="preserve">Los endpoints de modalidad Interface se facturan por zona de disponibilidad, no por endpoint. Al desplegar la capa de aplicación en dos zonas para satisfacer el requisito RNF-8, cada endpoint crea dos interfaces de red en lugar de una y su coste se duplica: de 0,72 a 1,44 dólares diarios.</w:t>
      </w:r>
    </w:p>
    <w:p>
      <w:pPr>
        <w:spacing w:after="140" w:line="300"/>
        <w:jc w:val="both"/>
      </w:pPr>
      <w:r>
        <w:rPr>
          <w:b/>
          <w:bCs/>
        </w:rPr>
        <w:t xml:space="preserve">El cumplimiento de RNF-8 tiene por tanto un precio cuantificado de 0,72 dólares diarios</w:t>
      </w:r>
      <w:r>
        <w:t xml:space="preserve">, un incremento del treinta por ciento sobre la factura previa. Resulta significativo que el sobrecoste no proceda del cómputo —Fargate se factura por tarea con independencia de su ubicación— sino íntegramente de duplicar la conectividad privada. La alta disponibilidad, en esta arquitectura, la encarece la red y no el procesamiento.</w:t>
      </w:r>
    </w:p>
    <w:p>
      <w:pPr>
        <w:spacing w:after="140" w:line="300"/>
        <w:jc w:val="both"/>
      </w:pPr>
      <w:r>
        <w:rPr>
          <w:b/>
          <w:bCs/>
        </w:rPr>
        <w:t xml:space="preserve">La detención de la sesión del entorno de prácticas no interrumpe la facturación.</w:t>
      </w:r>
      <w:r>
        <w:t xml:space="preserve"> Los entornos de prácticas del proveedor detienen automáticamente las instancias de máquina virtual al finalizar la sesión, pero la arquitectura de este proyecto no emplea máquinas virtuales: el servicio de cómputo sin servidores, el balanceador y los endpoints continúan operativos y facturando. Únicamente la destrucción explícita de la infraestructura reduce el consumo a cero.</w:t>
      </w:r>
    </w:p>
    <w:p>
      <w:pPr>
        <w:spacing w:after="140" w:line="300"/>
        <w:jc w:val="both"/>
      </w:pPr>
      <w:r>
        <w:t xml:space="preserve">Esta circunstancia se descubrió durante el desarrollo, en las condiciones descritas en el apartado 11.3, y motivó la incorporación de advertencias explícitas tanto en la documentación del repositorio como en la salida del procedimiento automatizado.</w:t>
      </w:r>
    </w:p>
    <w:p>
      <w:pPr>
        <w:pStyle w:val="Heading2"/>
        <w:spacing w:after="160" w:before="280"/>
      </w:pPr>
      <w:r>
        <w:t xml:space="preserve">9.3. Implicaciones del estado local de la infraestructura</w:t>
      </w:r>
    </w:p>
    <w:p>
      <w:pPr>
        <w:spacing w:after="140" w:line="300"/>
        <w:jc w:val="both"/>
      </w:pPr>
      <w:r>
        <w:t xml:space="preserve">Al mantenerse el estado de Terraform en un archivo local en el equipo de cada integrante, cada despliegue genera una infraestructura completamente independiente. Varios despliegues simultáneos multiplican en consecuencia el coste de forma proporcional.</w:t>
      </w:r>
    </w:p>
    <w:p>
      <w:pPr>
        <w:spacing w:after="140" w:line="300"/>
        <w:jc w:val="both"/>
      </w:pPr>
      <w:r>
        <w:t xml:space="preserve">A ello se añade una restricción técnica de naturaleza distinta: el nombre del bucket de almacenamiento está fijado en el código, y los nombres de bucket son únicos a escala global en el proveedor y no por cuenta. Solo un integrante del equipo puede, por tanto, mantener la infraestructura desplegada en un momento dado; un segundo intento fracasa por conflicto de nombres.</w:t>
      </w:r>
    </w:p>
    <w:p>
      <w:pPr>
        <w:spacing w:after="140" w:line="300"/>
        <w:jc w:val="both"/>
      </w:pPr>
      <w:r>
        <w:t xml:space="preserve">La resolución de ambas cuestiones consistiría en incorporar el identificador de cuenta al nombre del bucket, y en emplear un almacenamiento remoto compartido con mecanismo de bloqueo para el estado de la infraestructura.</w:t>
      </w:r>
    </w:p>
    <w:p>
      <w:r>
        <w:br w:type="page"/>
      </w:r>
    </w:p>
    <w:p>
      <w:pPr>
        <w:pStyle w:val="Heading1"/>
        <w:spacing w:after="220" w:before="360"/>
      </w:pPr>
      <w:r>
        <w:t xml:space="preserve">10. Análisis de seguridad</w:t>
      </w:r>
    </w:p>
    <w:p>
      <w:pPr>
        <w:pStyle w:val="Heading2"/>
        <w:spacing w:after="160" w:before="280"/>
      </w:pPr>
      <w:r>
        <w:t xml:space="preserve">10.1. Medidas implementadas</w:t>
      </w:r>
    </w:p>
    <w:p>
      <w:pPr>
        <w:pStyle w:val="ListParagraph"/>
        <w:numPr>
          <w:ilvl w:val="0"/>
          <w:numId w:val="2"/>
        </w:numPr>
        <w:spacing w:after="90" w:line="300"/>
        <w:jc w:val="both"/>
      </w:pPr>
      <w:r>
        <w:rPr>
          <w:b/>
          <w:bCs/>
        </w:rPr>
        <w:t xml:space="preserve">Aislamiento de la capa de aplicación. </w:t>
      </w:r>
      <w:r>
        <w:t xml:space="preserve">Las tareas se ejecutan en una subred privada, sin dirección IP pública y sin ruta hacia internet, de modo que no son alcanzables desde el exterior ni pueden establecer conexiones salientes hacia él.</w:t>
      </w:r>
    </w:p>
    <w:p>
      <w:pPr>
        <w:pStyle w:val="ListParagraph"/>
        <w:numPr>
          <w:ilvl w:val="0"/>
          <w:numId w:val="2"/>
        </w:numPr>
        <w:spacing w:after="90" w:line="300"/>
        <w:jc w:val="both"/>
      </w:pPr>
      <w:r>
        <w:rPr>
          <w:b/>
          <w:bCs/>
        </w:rPr>
        <w:t xml:space="preserve">Encadenamiento de grupos de seguridad por referencia. </w:t>
      </w:r>
      <w:r>
        <w:t xml:space="preserve">Cada capa admite tráfico exclusivamente de la inmediatamente anterior, mediante referencias entre grupos y no rangos de direcciones, lo que preserva la validez de la configuración ante cambios en el direccionamiento.</w:t>
      </w:r>
    </w:p>
    <w:p>
      <w:pPr>
        <w:pStyle w:val="ListParagraph"/>
        <w:numPr>
          <w:ilvl w:val="0"/>
          <w:numId w:val="2"/>
        </w:numPr>
        <w:spacing w:after="90" w:line="300"/>
        <w:jc w:val="both"/>
      </w:pPr>
      <w:r>
        <w:rPr>
          <w:b/>
          <w:bCs/>
        </w:rPr>
        <w:t xml:space="preserve">Tráfico interno por la red privada del proveedor. </w:t>
      </w:r>
      <w:r>
        <w:t xml:space="preserve">El acceso a la base de datos, al registro de imágenes y al servicio de trazas se realiza mediante VPC endpoints, sin tránsito por internet.</w:t>
      </w:r>
    </w:p>
    <w:p>
      <w:pPr>
        <w:pStyle w:val="ListParagraph"/>
        <w:numPr>
          <w:ilvl w:val="0"/>
          <w:numId w:val="2"/>
        </w:numPr>
        <w:spacing w:after="90" w:line="300"/>
        <w:jc w:val="both"/>
      </w:pPr>
      <w:r>
        <w:rPr>
          <w:b/>
          <w:bCs/>
        </w:rPr>
        <w:t xml:space="preserve">Contenedor sin privilegios. </w:t>
      </w:r>
      <w:r>
        <w:t xml:space="preserve">El archivo de definición de la imagen establece un usuario sin privilegios, de modo que el proceso no se ejecuta como superusuario. Limita el alcance de una eventual vulneración del proceso.</w:t>
      </w:r>
    </w:p>
    <w:p>
      <w:pPr>
        <w:pStyle w:val="ListParagraph"/>
        <w:numPr>
          <w:ilvl w:val="0"/>
          <w:numId w:val="2"/>
        </w:numPr>
        <w:spacing w:after="90" w:line="300"/>
        <w:jc w:val="both"/>
      </w:pPr>
      <w:r>
        <w:rPr>
          <w:b/>
          <w:bCs/>
        </w:rPr>
        <w:t xml:space="preserve">Ausencia de credenciales en el código. </w:t>
      </w:r>
      <w:r>
        <w:t xml:space="preserve">El acceso a la base de datos se obtiene del rol de identidad asociado a la tarea, mecanismo que proporciona credenciales temporales de rotación automática. No existe ninguna clave de acceso almacenada en el repositorio.</w:t>
      </w:r>
    </w:p>
    <w:p>
      <w:pPr>
        <w:pStyle w:val="Heading2"/>
        <w:spacing w:after="160" w:before="280"/>
      </w:pPr>
      <w:r>
        <w:t xml:space="preserve">10.2. Deficiencias identificadas</w:t>
      </w:r>
    </w:p>
    <w:p>
      <w:pPr>
        <w:pStyle w:val="Heading3"/>
        <w:spacing w:after="130" w:before="220"/>
      </w:pPr>
      <w:r>
        <w:t xml:space="preserve">10.2.1. Ausencia de cifrado en tránsito</w:t>
      </w:r>
    </w:p>
    <w:p>
      <w:pPr>
        <w:spacing w:after="140" w:line="300"/>
        <w:jc w:val="both"/>
      </w:pPr>
      <w:r>
        <w:t xml:space="preserve">Constituye la deficiencia principal. Los puntos de acceso de sitio web estático del servicio de almacenamiento no admiten protocolo cifrado, y el balanceador de carga dispone únicamente de un proceso de escucha en el puerto no cifrado. La totalidad del tráfico circula, por tanto, sin cifrar.</w:t>
      </w:r>
    </w:p>
    <w:p>
      <w:pPr>
        <w:spacing w:after="140" w:line="300"/>
        <w:jc w:val="both"/>
      </w:pPr>
      <w:r>
        <w:t xml:space="preserve">Ambas mitades del problema se encuentran acopladas: servir la interfaz mediante protocolo cifrado sin hacer lo propio con la API provocaría que el navegador bloqueara la totalidad de las invocaciones en aplicación de la política de contenido mixto, que impide que una página servida de forma segura invoque recursos no seguros. El resultado sería una interfaz que carga correctamente pero resulta inoperante.</w:t>
      </w:r>
    </w:p>
    <w:p>
      <w:pPr>
        <w:spacing w:after="140" w:line="300"/>
        <w:jc w:val="both"/>
      </w:pPr>
      <w:r>
        <w:t xml:space="preserve">La resolución exige ambos elementos de forma simultánea: una red de distribución de contenido ante el bucket de almacenamiento, que proporciona cifrado sin configuración adicional, y un certificado en el balanceador de carga. La emisión del certificado requiere acreditar el control de un dominio propio, del que no se dispone en el entorno de prácticas. La deficiencia se documenta en consecuencia como limitación asumida y no como defecto subsanable.</w:t>
      </w:r>
    </w:p>
    <w:p>
      <w:pPr>
        <w:pStyle w:val="Heading3"/>
        <w:spacing w:after="130" w:before="220"/>
      </w:pPr>
      <w:r>
        <w:t xml:space="preserve">10.2.2. Política de origen cruzado permisiva</w:t>
      </w:r>
    </w:p>
    <w:p>
      <w:pPr>
        <w:spacing w:after="140" w:line="300"/>
        <w:jc w:val="both"/>
      </w:pPr>
      <w:r>
        <w:t xml:space="preserve">La configuración de intercambio de recursos de origen cruzado se ha establecido sin restricciones, autorizando peticiones desde cualquier origen. Procedería limitarla al dominio de la interfaz.</w:t>
      </w:r>
    </w:p>
    <w:p>
      <w:pPr>
        <w:pStyle w:val="Heading3"/>
        <w:spacing w:after="130" w:before="220"/>
      </w:pPr>
      <w:r>
        <w:t xml:space="preserve">10.2.3. Ausencia de autenticación</w:t>
      </w:r>
    </w:p>
    <w:p>
      <w:pPr>
        <w:spacing w:after="140" w:line="300"/>
        <w:jc w:val="both"/>
      </w:pPr>
      <w:r>
        <w:t xml:space="preserve">La API es de acceso público y cualquier agente puede crear elementos. El proyecto incorpora la dependencia necesaria para la emisión y verificación de tokens, y el código contiene comentarios que prevén la gestión de usuarios, pero la funcionalidad no se ha implementado. Corresponde a una exclusión deliberada del alcance, expuesta en el apartado 3.3.</w:t>
      </w:r>
    </w:p>
    <w:p>
      <w:pPr>
        <w:pStyle w:val="Heading3"/>
        <w:spacing w:after="130" w:before="220"/>
      </w:pPr>
      <w:r>
        <w:t xml:space="preserve">10.2.4. Validación exclusivamente en el cliente</w:t>
      </w:r>
    </w:p>
    <w:p>
      <w:pPr>
        <w:spacing w:after="140" w:line="300"/>
        <w:jc w:val="both"/>
      </w:pPr>
      <w:r>
        <w:t xml:space="preserve">La API no valida el contenido de las peticiones recibidas. La validación implementada en el formulario resulta eludible invocando la API directamente, lo que permitiría crear elementos con campos vacíos o de tipo incorrecto, degradando la integridad de los datos. Constituye una deficiencia de diseño: toda validación debe replicarse en el servidor, por cuanto el cliente se encuentra bajo control del usuario.</w:t>
      </w:r>
    </w:p>
    <w:p>
      <w:pPr>
        <w:pStyle w:val="Heading3"/>
        <w:spacing w:after="130" w:before="220"/>
      </w:pPr>
      <w:r>
        <w:t xml:space="preserve">10.2.5. Rol de identidad excesivamente amplio</w:t>
      </w:r>
    </w:p>
    <w:p>
      <w:pPr>
        <w:spacing w:after="140" w:line="300"/>
        <w:jc w:val="both"/>
      </w:pPr>
      <w:r>
        <w:t xml:space="preserve">El rol de ejecución y el rol de tarea apuntan ambos a un rol preexistente del entorno de prácticas, dotado de permisos amplios. Desempeñan funciones distintas —el primero autoriza al orquestador a obtener la imagen y escribir trazas; el segundo autoriza al código a acceder a la base de datos— y en un entorno real corresponderían a dos roles independientes con el mínimo privilegio necesario en cada caso.</w:t>
      </w:r>
    </w:p>
    <w:p>
      <w:pPr>
        <w:spacing w:after="140" w:line="300"/>
        <w:jc w:val="both"/>
      </w:pPr>
      <w:r>
        <w:t xml:space="preserve">Esta dependencia implica, adicionalmente, que el proyecto no resulta trasladable a una cuenta convencional del proveedor sin modificar dicha referencia, dado que el rol en cuestión existe únicamente en los entornos de prácticas.</w:t>
      </w:r>
    </w:p>
    <w:p>
      <w:r>
        <w:br w:type="page"/>
      </w:r>
    </w:p>
    <w:p>
      <w:pPr>
        <w:pStyle w:val="Heading1"/>
        <w:spacing w:after="220" w:before="360"/>
      </w:pPr>
      <w:r>
        <w:t xml:space="preserve">11. Incidencias y resolución de problemas</w:t>
      </w:r>
    </w:p>
    <w:p>
      <w:pPr>
        <w:spacing w:after="140" w:line="300"/>
        <w:jc w:val="both"/>
      </w:pPr>
      <w:r>
        <w:t xml:space="preserve">Se documentan a continuación las incidencias efectivamente encontradas durante el desarrollo y el despliegue, con indicación del síntoma observado, el diagnóstico realizado y la resolución aplicada. Se incluyen por su valor como registro del proceso de trabajo y por cuanto constituyeron, en conjunto, la principal fuente de aprendizaje del proyecto.</w:t>
      </w:r>
    </w:p>
    <w:p>
      <w:pPr>
        <w:pStyle w:val="Heading2"/>
        <w:spacing w:after="160" w:before="280"/>
      </w:pPr>
      <w:r>
        <w:t xml:space="preserve">11.1. Fallo reiterado en el arranque de las tareas</w:t>
      </w:r>
    </w:p>
    <w:p>
      <w:pPr>
        <w:spacing w:after="140" w:line="300"/>
        <w:jc w:val="both"/>
      </w:pPr>
      <w:r>
        <w:rPr>
          <w:b/>
          <w:bCs/>
        </w:rPr>
        <w:t xml:space="preserve">Síntoma. </w:t>
      </w:r>
      <w:r>
        <w:t xml:space="preserve">Tras la primera aplicación de la configuración de infraestructura, las tareas del servicio de cómputo fallaban de forma reiterada sin llegar a alcanzar el estado operativo, con un error relativo a la imposibilidad de obtener el contenedor.</w:t>
      </w:r>
    </w:p>
    <w:p>
      <w:pPr>
        <w:spacing w:after="140" w:line="300"/>
        <w:jc w:val="both"/>
      </w:pPr>
      <w:r>
        <w:rPr>
          <w:b/>
          <w:bCs/>
        </w:rPr>
        <w:t xml:space="preserve">Diagnóstico. </w:t>
      </w:r>
      <w:r>
        <w:t xml:space="preserve">El servicio se había creado con anterioridad a la existencia de la imagen en el registro, de modo que el orquestador no encontraba nada que ejecutar. El error no residía en la configuración sino en el orden de las operaciones, tal como se analiza en el apartado 7.2.</w:t>
      </w:r>
    </w:p>
    <w:p>
      <w:pPr>
        <w:spacing w:after="140" w:line="300"/>
        <w:jc w:val="both"/>
      </w:pPr>
      <w:r>
        <w:rPr>
          <w:b/>
          <w:bCs/>
        </w:rPr>
        <w:t xml:space="preserve">Resolución. </w:t>
      </w:r>
      <w:r>
        <w:t xml:space="preserve">División del despliegue en dos fases. Una vez publicada la imagen, forzar un nuevo despliegue del servicio permitió el arranque correcto de ambas tareas.</w:t>
      </w:r>
    </w:p>
    <w:p>
      <w:pPr>
        <w:pStyle w:val="Heading2"/>
        <w:spacing w:after="160" w:before="280"/>
      </w:pPr>
      <w:r>
        <w:t xml:space="preserve">11.2. Interfaz operativa sin datos</w:t>
      </w:r>
    </w:p>
    <w:p>
      <w:pPr>
        <w:spacing w:after="140" w:line="300"/>
        <w:jc w:val="both"/>
      </w:pPr>
      <w:r>
        <w:rPr>
          <w:b/>
          <w:bCs/>
        </w:rPr>
        <w:t xml:space="preserve">Síntoma. </w:t>
      </w:r>
      <w:r>
        <w:t xml:space="preserve">La interfaz se cargaba correctamente pero no presentaba ningún dato.</w:t>
      </w:r>
    </w:p>
    <w:p>
      <w:pPr>
        <w:spacing w:after="140" w:line="300"/>
        <w:jc w:val="both"/>
      </w:pPr>
      <w:r>
        <w:rPr>
          <w:b/>
          <w:bCs/>
        </w:rPr>
        <w:t xml:space="preserve">Diagnóstico. </w:t>
      </w:r>
      <w:r>
        <w:t xml:space="preserve">La dirección del balanceador de carga se encuentra escrita en el código fuente de la interfaz, y el valor almacenado en el repositorio correspondía a un despliegue anterior ya destruido. El nombre de dominio de un balanceador es asignado por el proveedor y varía en cada creación.</w:t>
      </w:r>
    </w:p>
    <w:p>
      <w:pPr>
        <w:spacing w:after="140" w:line="300"/>
        <w:jc w:val="both"/>
      </w:pPr>
      <w:r>
        <w:rPr>
          <w:b/>
          <w:bCs/>
        </w:rPr>
        <w:t xml:space="preserve">Resolución. </w:t>
      </w:r>
      <w:r>
        <w:t xml:space="preserve">Actualización del valor y, posteriormente, automatización de su inyección en el procedimiento de despliegue. La resolución de fondo —externalizar la configuración a un archivo consultado en tiempo de ejecución— se documenta como línea de trabajo futuro en el apartado 12.3.</w:t>
      </w:r>
    </w:p>
    <w:p>
      <w:pPr>
        <w:pStyle w:val="Heading2"/>
        <w:spacing w:after="160" w:before="280"/>
      </w:pPr>
      <w:r>
        <w:t xml:space="preserve">11.3. Anulación de las credenciales del entorno de prácticas</w:t>
      </w:r>
    </w:p>
    <w:p>
      <w:pPr>
        <w:spacing w:after="140" w:line="300"/>
        <w:jc w:val="both"/>
      </w:pPr>
      <w:r>
        <w:rPr>
          <w:b/>
          <w:bCs/>
        </w:rPr>
        <w:t xml:space="preserve">Síntoma. </w:t>
      </w:r>
      <w:r>
        <w:t xml:space="preserve">La operación de destrucción de la infraestructura fallaba con errores de autorización simultáneos en la totalidad de los servicios, con indicación de una denegación explícita establecida por una política de identidad.</w:t>
      </w:r>
    </w:p>
    <w:p>
      <w:pPr>
        <w:spacing w:after="140" w:line="300"/>
        <w:jc w:val="both"/>
      </w:pPr>
      <w:r>
        <w:rPr>
          <w:b/>
          <w:bCs/>
        </w:rPr>
        <w:t xml:space="preserve">Diagnóstico. </w:t>
      </w:r>
      <w:r>
        <w:t xml:space="preserve">La sesión del entorno de prácticas se había detenido, circunstancia que anula las credenciales aunque los recursos continúen existiendo y facturando.</w:t>
      </w:r>
    </w:p>
    <w:p>
      <w:pPr>
        <w:spacing w:after="140" w:line="300"/>
        <w:jc w:val="both"/>
      </w:pPr>
      <w:r>
        <w:rPr>
          <w:b/>
          <w:bCs/>
        </w:rPr>
        <w:t xml:space="preserve">Resolución. </w:t>
      </w:r>
      <w:r>
        <w:t xml:space="preserve">Reinicio de la sesión y renovación de las credenciales. La incidencia evidenció que la detención de la sesión no interrumpe el consumo, hallazgo recogido en el apartado 9.2 y que motivó la incorporación de advertencias en la documentación.</w:t>
      </w:r>
    </w:p>
    <w:p>
      <w:pPr>
        <w:pStyle w:val="Heading2"/>
        <w:spacing w:after="160" w:before="280"/>
      </w:pPr>
      <w:r>
        <w:t xml:space="preserve">11.4. Rechazo de la autenticación contra el registro de imágenes</w:t>
      </w:r>
    </w:p>
    <w:p>
      <w:pPr>
        <w:spacing w:after="140" w:line="300"/>
        <w:jc w:val="both"/>
      </w:pPr>
      <w:r>
        <w:rPr>
          <w:b/>
          <w:bCs/>
        </w:rPr>
        <w:t xml:space="preserve">Síntoma. </w:t>
      </w:r>
      <w:r>
        <w:t xml:space="preserve">La operación de autenticación contra el registro de imágenes era rechazada con un error de petición incorrecta, exclusivamente al ejecutarse desde el procedimiento automatizado y no de forma interactiva.</w:t>
      </w:r>
    </w:p>
    <w:p>
      <w:pPr>
        <w:spacing w:after="140" w:line="300"/>
        <w:jc w:val="both"/>
      </w:pPr>
      <w:r>
        <w:rPr>
          <w:b/>
          <w:bCs/>
        </w:rPr>
        <w:t xml:space="preserve">Diagnóstico. </w:t>
      </w:r>
      <w:r>
        <w:t xml:space="preserve">El intérprete de comandos empleado termina las líneas con la secuencia de retorno de carro y nueva línea al canalizar la salida de un programa hacia la entrada de otro. La herramienta de contenedores elimina el carácter de nueva línea pero conserva el de retorno de carro, de modo que el token de autenticación llegaba con un carácter adicional y el registro rechazaba la cabecera resultante como malformada.</w:t>
      </w:r>
    </w:p>
    <w:p>
      <w:pPr>
        <w:spacing w:after="140" w:line="300"/>
        <w:jc w:val="both"/>
      </w:pPr>
      <w:r>
        <w:rPr>
          <w:b/>
          <w:bCs/>
        </w:rPr>
        <w:t xml:space="preserve">Resolución. </w:t>
      </w:r>
      <w:r>
        <w:t xml:space="preserve">Sustitución de la canalización por el paso del token como argumento, previa eliminación de espacios en blanco, con un método alternativo de reserva que delega la canalización al intérprete de comandos del sistema, el cual transfiere los datos sin alteración.</w:t>
      </w:r>
    </w:p>
    <w:p>
      <w:pPr>
        <w:pBdr>
          <w:left w:val="single" w:color="1F3864" w:sz="12" w:space="10"/>
        </w:pBdr>
        <w:spacing w:after="180" w:before="60" w:line="290"/>
        <w:ind w:left="220"/>
        <w:jc w:val="both"/>
      </w:pPr>
      <w:r>
        <w:rPr>
          <w:color w:val="333333"/>
          <w:sz w:val="19"/>
          <w:szCs w:val="19"/>
        </w:rPr>
        <w:t xml:space="preserve">Esta incidencia ilustra una clase de problema característica de los entornos heterogéneos: el defecto no residía en ninguno de los dos programas implicados, sino en la convención de terminación de línea del intérprete que los conectaba.</w:t>
      </w:r>
    </w:p>
    <w:p>
      <w:pPr>
        <w:pStyle w:val="Heading2"/>
        <w:spacing w:after="160" w:before="280"/>
      </w:pPr>
      <w:r>
        <w:t xml:space="preserve">11.5. Conexión rechazada al acceder a la interfaz</w:t>
      </w:r>
    </w:p>
    <w:p>
      <w:pPr>
        <w:spacing w:after="140" w:line="300"/>
        <w:jc w:val="both"/>
      </w:pPr>
      <w:r>
        <w:rPr>
          <w:b/>
          <w:bCs/>
        </w:rPr>
        <w:t xml:space="preserve">Síntoma. </w:t>
      </w:r>
      <w:r>
        <w:t xml:space="preserve">El navegador rechazaba la conexión al acceder a la dirección del sitio web, mientras que la misma petición realizada desde la línea de comandos obtenía una respuesta correcta.</w:t>
      </w:r>
    </w:p>
    <w:p>
      <w:pPr>
        <w:spacing w:after="140" w:line="300"/>
        <w:jc w:val="both"/>
      </w:pPr>
      <w:r>
        <w:rPr>
          <w:b/>
          <w:bCs/>
        </w:rPr>
        <w:t xml:space="preserve">Diagnóstico. </w:t>
      </w:r>
      <w:r>
        <w:t xml:space="preserve">El navegador promocionaba automáticamente la conexión a protocolo cifrado, y los puntos de acceso de sitio web estático del servicio de almacenamiento no admiten dicho protocolo, por lo que no existía ningún proceso de escucha en el puerto correspondiente.</w:t>
      </w:r>
    </w:p>
    <w:p>
      <w:pPr>
        <w:spacing w:after="140" w:line="300"/>
        <w:jc w:val="both"/>
      </w:pPr>
      <w:r>
        <w:rPr>
          <w:b/>
          <w:bCs/>
        </w:rPr>
        <w:t xml:space="preserve">Resolución. </w:t>
      </w:r>
      <w:r>
        <w:t xml:space="preserve">Acceso explícito mediante protocolo no cifrado. La incidencia condujo al análisis del problema de contenido mixto expuesto en el apartado 10.2.1 y al descarte de la publicación mediante AWS Amplify.</w:t>
      </w:r>
    </w:p>
    <w:p>
      <w:pPr>
        <w:pStyle w:val="Heading2"/>
        <w:spacing w:after="160" w:before="280"/>
      </w:pPr>
      <w:r>
        <w:t xml:space="preserve">11.6. Defectos detectados en la revisión final</w:t>
      </w:r>
    </w:p>
    <w:p>
      <w:pPr>
        <w:spacing w:after="140" w:line="300"/>
        <w:jc w:val="both"/>
      </w:pPr>
      <w:r>
        <w:t xml:space="preserve">La revisión sistemática del repositorio previa a la entrega permitió identificar tres defectos que no producían síntomas visibles:</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300"/>
        <w:gridCol w:w="5220"/>
        <w:gridCol w:w="1500"/>
      </w:tblGrid>
      <w:tr>
        <w:trPr>
          <w:tblHeader/>
        </w:trPr>
        <w:tc>
          <w:tcPr>
            <w:tcW w:type="dxa" w:w="23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Defecto</w:t>
            </w:r>
          </w:p>
        </w:tc>
        <w:tc>
          <w:tcPr>
            <w:tcW w:type="dxa" w:w="52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Análisis</w:t>
            </w:r>
          </w:p>
        </w:tc>
        <w:tc>
          <w:tcPr>
            <w:tcW w:type="dxa" w:w="1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Estado</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Publicación de código fuente en el almacenamiento público</w:t>
            </w:r>
          </w:p>
        </w:tc>
        <w:tc>
          <w:tcPr>
            <w:tcW w:type="dxa" w:w="5220"/>
            <w:tcMar>
              <w:top w:type="dxa" w:w="70"/>
              <w:left w:type="dxa" w:w="110"/>
              <w:bottom w:type="dxa" w:w="70"/>
              <w:right w:type="dxa" w:w="110"/>
            </w:tcMar>
            <w:vAlign w:val="center"/>
          </w:tcPr>
          <w:p>
            <w:pPr>
              <w:spacing w:after="0" w:line="260"/>
              <w:jc w:val="left"/>
            </w:pPr>
            <w:r>
              <w:rPr>
                <w:b w:val="false"/>
                <w:bCs w:val="false"/>
                <w:sz w:val="18"/>
                <w:szCs w:val="18"/>
              </w:rPr>
              <w:t xml:space="preserve">La configuración de recursos estáticos del proyecto de la interfaz copiaba la totalidad del directorio de código fuente al resultado de la compilación. Los archivos de código quedaban en consecuencia publicados y accesibles en un bucket público</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Corregido</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Inoperatividad del filtrado numérico</w:t>
            </w:r>
          </w:p>
        </w:tc>
        <w:tc>
          <w:tcPr>
            <w:tcW w:type="dxa" w:w="5220"/>
            <w:tcMar>
              <w:top w:type="dxa" w:w="70"/>
              <w:left w:type="dxa" w:w="110"/>
              <w:bottom w:type="dxa" w:w="70"/>
              <w:right w:type="dxa" w:w="110"/>
            </w:tcMar>
            <w:vAlign w:val="center"/>
          </w:tcPr>
          <w:p>
            <w:pPr>
              <w:spacing w:after="0" w:line="260"/>
              <w:jc w:val="left"/>
            </w:pPr>
            <w:r>
              <w:rPr>
                <w:b w:val="false"/>
                <w:bCs w:val="false"/>
                <w:sz w:val="18"/>
                <w:szCs w:val="18"/>
              </w:rPr>
              <w:t xml:space="preserve">Una sentencia calculaba la conversión de tipo del valor recibido sin asignar el resultado a ninguna variable, por lo que se descartaba. Los valores numéricos se transmitían a la base de datos como cadenas de texto, sin coincidir nunca con los números almacenados. El defecto permanecía latente por cuanto la interfaz no emplea esa vía</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Corregido</w:t>
            </w:r>
          </w:p>
        </w:tc>
      </w:tr>
      <w:tr>
        <w:tc>
          <w:tcPr>
            <w:tcW w:type="dxa" w:w="2300"/>
            <w:tcMar>
              <w:top w:type="dxa" w:w="70"/>
              <w:left w:type="dxa" w:w="110"/>
              <w:bottom w:type="dxa" w:w="70"/>
              <w:right w:type="dxa" w:w="110"/>
            </w:tcMar>
            <w:vAlign w:val="center"/>
          </w:tcPr>
          <w:p>
            <w:pPr>
              <w:spacing w:after="0" w:line="260"/>
              <w:jc w:val="left"/>
            </w:pPr>
            <w:r>
              <w:rPr>
                <w:b w:val="false"/>
                <w:bCs w:val="false"/>
                <w:sz w:val="18"/>
                <w:szCs w:val="18"/>
              </w:rPr>
              <w:t xml:space="preserve">Caché del compilador bajo control de versiones</w:t>
            </w:r>
          </w:p>
        </w:tc>
        <w:tc>
          <w:tcPr>
            <w:tcW w:type="dxa" w:w="5220"/>
            <w:tcMar>
              <w:top w:type="dxa" w:w="70"/>
              <w:left w:type="dxa" w:w="110"/>
              <w:bottom w:type="dxa" w:w="70"/>
              <w:right w:type="dxa" w:w="110"/>
            </w:tcMar>
            <w:vAlign w:val="center"/>
          </w:tcPr>
          <w:p>
            <w:pPr>
              <w:spacing w:after="0" w:line="260"/>
              <w:jc w:val="left"/>
            </w:pPr>
            <w:r>
              <w:rPr>
                <w:b w:val="false"/>
                <w:bCs w:val="false"/>
                <w:sz w:val="18"/>
                <w:szCs w:val="18"/>
              </w:rPr>
              <w:t xml:space="preserve">El directorio de caché del compilador de la interfaz se encontraba versionado, generando decenas de miles de líneas de diferencias espurias ante cualquier cambio de versión e impidiendo en la práctica la revisión de los cambios reales</w:t>
            </w:r>
          </w:p>
        </w:tc>
        <w:tc>
          <w:tcPr>
            <w:tcW w:type="dxa" w:w="1500"/>
            <w:tcMar>
              <w:top w:type="dxa" w:w="70"/>
              <w:left w:type="dxa" w:w="110"/>
              <w:bottom w:type="dxa" w:w="70"/>
              <w:right w:type="dxa" w:w="110"/>
            </w:tcMar>
            <w:vAlign w:val="center"/>
          </w:tcPr>
          <w:p>
            <w:pPr>
              <w:spacing w:after="0" w:line="260"/>
              <w:jc w:val="left"/>
            </w:pPr>
            <w:r>
              <w:rPr>
                <w:b w:val="false"/>
                <w:bCs w:val="false"/>
                <w:sz w:val="18"/>
                <w:szCs w:val="18"/>
              </w:rPr>
              <w:t xml:space="preserve">Corregido</w:t>
            </w:r>
          </w:p>
        </w:tc>
      </w:tr>
    </w:tbl>
    <w:p>
      <w:pPr>
        <w:spacing w:after="240" w:before="60"/>
        <w:jc w:val="left"/>
      </w:pPr>
      <w:r>
        <w:rPr>
          <w:i/>
          <w:iCs/>
          <w:color w:val="595959"/>
          <w:sz w:val="17"/>
          <w:szCs w:val="17"/>
        </w:rPr>
        <w:t xml:space="preserve">Tabla 11.1. Defectos detectados en la revisión final.</w:t>
      </w:r>
    </w:p>
    <w:p>
      <w:pPr>
        <w:spacing w:after="140" w:line="300"/>
        <w:jc w:val="both"/>
      </w:pPr>
      <w:r>
        <w:t xml:space="preserve">El primero constituía una deficiencia de seguridad de alcance limitado, dado que el código de una interfaz web no contiene credenciales, pero representaba en cualquier caso una configuración incorrecta con exposición innecesaria de información. Su verificación se ha incorporado al procedimiento automatizado de despliegue.</w:t>
      </w:r>
    </w:p>
    <w:p>
      <w:r>
        <w:br w:type="page"/>
      </w:r>
    </w:p>
    <w:p>
      <w:pPr>
        <w:pStyle w:val="Heading1"/>
        <w:spacing w:after="220" w:before="360"/>
      </w:pPr>
      <w:r>
        <w:t xml:space="preserve">12. Limitaciones y trabajo futuro</w:t>
      </w:r>
    </w:p>
    <w:p>
      <w:pPr>
        <w:pStyle w:val="Heading2"/>
        <w:spacing w:after="160" w:before="280"/>
      </w:pPr>
      <w:r>
        <w:t xml:space="preserve">12.1. Limitaciones funcionales</w:t>
      </w:r>
    </w:p>
    <w:p>
      <w:pPr>
        <w:pStyle w:val="ListParagraph"/>
        <w:numPr>
          <w:ilvl w:val="0"/>
          <w:numId w:val="2"/>
        </w:numPr>
        <w:spacing w:after="90" w:line="300"/>
        <w:jc w:val="both"/>
      </w:pPr>
      <w:r>
        <w:t xml:space="preserve">No se ha implementado la búsqueda por fecha, prevista en el requisito RF-6.</w:t>
      </w:r>
    </w:p>
    <w:p>
      <w:pPr>
        <w:pStyle w:val="ListParagraph"/>
        <w:numPr>
          <w:ilvl w:val="0"/>
          <w:numId w:val="2"/>
        </w:numPr>
        <w:spacing w:after="90" w:line="300"/>
        <w:jc w:val="both"/>
      </w:pPr>
      <w:r>
        <w:t xml:space="preserve">No se ha implementado la visualización del circuito de cada carrera, requisito RF-7, cuya satisfacción exigiría ampliar la API para admitir la carga de archivos y almacenarlos en el servicio de objetos.</w:t>
      </w:r>
    </w:p>
    <w:p>
      <w:pPr>
        <w:pStyle w:val="ListParagraph"/>
        <w:numPr>
          <w:ilvl w:val="0"/>
          <w:numId w:val="2"/>
        </w:numPr>
        <w:spacing w:after="90" w:line="300"/>
        <w:jc w:val="both"/>
      </w:pPr>
      <w:r>
        <w:t xml:space="preserve">El conjunto de operaciones sobre los datos está incompleto: no existen operaciones de modificación ni de eliminación, requisito RF-8.</w:t>
      </w:r>
    </w:p>
    <w:p>
      <w:pPr>
        <w:pStyle w:val="ListParagraph"/>
        <w:numPr>
          <w:ilvl w:val="0"/>
          <w:numId w:val="2"/>
        </w:numPr>
        <w:spacing w:after="90" w:line="300"/>
        <w:jc w:val="both"/>
      </w:pPr>
      <w:r>
        <w:t xml:space="preserve">Los elementos se presentan en el orden arbitrario en que los devuelve la base de datos, sin ordenación por fecha, lo que resulta poco natural en un catálogo de eventos futuros.</w:t>
      </w:r>
    </w:p>
    <w:p>
      <w:pPr>
        <w:pStyle w:val="Heading2"/>
        <w:spacing w:after="160" w:before="280"/>
      </w:pPr>
      <w:r>
        <w:t xml:space="preserve">12.2. Limitaciones técnicas</w:t>
      </w:r>
    </w:p>
    <w:p>
      <w:pPr>
        <w:pStyle w:val="ListParagraph"/>
        <w:numPr>
          <w:ilvl w:val="0"/>
          <w:numId w:val="2"/>
        </w:numPr>
        <w:spacing w:after="90" w:line="300"/>
        <w:jc w:val="both"/>
      </w:pPr>
      <w:r>
        <w:t xml:space="preserve">Ausencia de cifrado en tránsito, analizada en el apartado 10.2.1.</w:t>
      </w:r>
    </w:p>
    <w:p>
      <w:pPr>
        <w:pStyle w:val="ListParagraph"/>
        <w:numPr>
          <w:ilvl w:val="0"/>
          <w:numId w:val="2"/>
        </w:numPr>
        <w:spacing w:after="90" w:line="300"/>
        <w:jc w:val="both"/>
      </w:pPr>
      <w:r>
        <w:t xml:space="preserve">No se ha integrado Amazon Bedrock, por los tres impedimentos analizados en el apartado 5.5.</w:t>
      </w:r>
    </w:p>
    <w:p>
      <w:pPr>
        <w:pStyle w:val="ListParagraph"/>
        <w:numPr>
          <w:ilvl w:val="0"/>
          <w:numId w:val="2"/>
        </w:numPr>
        <w:spacing w:after="90" w:line="300"/>
        <w:jc w:val="both"/>
      </w:pPr>
      <w:r>
        <w:t xml:space="preserve">Las búsquedas se resuelven mediante recorrido completo de la tabla, sin índices secundarios, según el análisis del apartado 5.3.</w:t>
      </w:r>
    </w:p>
    <w:p>
      <w:pPr>
        <w:pStyle w:val="ListParagraph"/>
        <w:numPr>
          <w:ilvl w:val="0"/>
          <w:numId w:val="2"/>
        </w:numPr>
        <w:spacing w:after="90" w:line="300"/>
        <w:jc w:val="both"/>
      </w:pPr>
      <w:r>
        <w:t xml:space="preserve">Ausencia de paginación tanto en la API como en la interfaz, lo que implica transferir el catálogo completo en cada carga.</w:t>
      </w:r>
    </w:p>
    <w:p>
      <w:pPr>
        <w:pStyle w:val="ListParagraph"/>
        <w:numPr>
          <w:ilvl w:val="0"/>
          <w:numId w:val="2"/>
        </w:numPr>
        <w:spacing w:after="90" w:line="300"/>
        <w:jc w:val="both"/>
      </w:pPr>
      <w:r>
        <w:t xml:space="preserve">La definición de tarea referencia una etiqueta de imagen fija. El flujo de despliegue publica además la imagen con el identificador del commit, lo que aporta trazabilidad, pero la referencia de la definición sigue siendo estática.</w:t>
      </w:r>
    </w:p>
    <w:p>
      <w:pPr>
        <w:pStyle w:val="ListParagraph"/>
        <w:numPr>
          <w:ilvl w:val="0"/>
          <w:numId w:val="2"/>
        </w:numPr>
        <w:spacing w:after="90" w:line="300"/>
        <w:jc w:val="both"/>
      </w:pPr>
      <w:r>
        <w:t xml:space="preserve">El estado de la infraestructura es local, sin almacenamiento compartido ni mecanismo de bloqueo, con las implicaciones expuestas en los apartados 9.3 y 7.4.3.</w:t>
      </w:r>
    </w:p>
    <w:p>
      <w:pPr>
        <w:pStyle w:val="ListParagraph"/>
        <w:numPr>
          <w:ilvl w:val="0"/>
          <w:numId w:val="2"/>
        </w:numPr>
        <w:spacing w:after="90" w:line="300"/>
        <w:jc w:val="both"/>
      </w:pPr>
      <w:r>
        <w:t xml:space="preserve">El despliegue automatizado es de disparo manual y no continuo, por las razones expuestas en el apartado 7.4.3.</w:t>
      </w:r>
    </w:p>
    <w:p>
      <w:pPr>
        <w:pStyle w:val="ListParagraph"/>
        <w:numPr>
          <w:ilvl w:val="0"/>
          <w:numId w:val="2"/>
        </w:numPr>
        <w:spacing w:after="90" w:line="300"/>
        <w:jc w:val="both"/>
      </w:pPr>
      <w:r>
        <w:t xml:space="preserve">Dependencia de un rol de identidad exclusivo de los entornos de prácticas, lo que impide el traslado directo a una cuenta convencional.</w:t>
      </w:r>
    </w:p>
    <w:p>
      <w:pPr>
        <w:pStyle w:val="ListParagraph"/>
        <w:numPr>
          <w:ilvl w:val="0"/>
          <w:numId w:val="2"/>
        </w:numPr>
        <w:spacing w:after="90" w:line="300"/>
        <w:jc w:val="both"/>
      </w:pPr>
      <w:r>
        <w:t xml:space="preserve">Ausencia de pruebas automatizadas.</w:t>
      </w:r>
    </w:p>
    <w:p>
      <w:pPr>
        <w:pStyle w:val="Heading2"/>
        <w:spacing w:after="160" w:before="280"/>
      </w:pPr>
      <w:r>
        <w:t xml:space="preserve">12.3. Líneas de trabajo futuro</w:t>
      </w:r>
    </w:p>
    <w:p>
      <w:pPr>
        <w:spacing w:after="140" w:line="300"/>
        <w:jc w:val="both"/>
      </w:pPr>
      <w:r>
        <w:t xml:space="preserve">Se relacionan por orden de prioridad estimada, atendiendo conjuntamente al impacto y a la complejidad de cada actuación:</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500"/>
        <w:gridCol w:w="4020"/>
        <w:gridCol w:w="2500"/>
      </w:tblGrid>
      <w:tr>
        <w:trPr>
          <w:tblHeader/>
        </w:trPr>
        <w:tc>
          <w:tcPr>
            <w:tcW w:type="dxa" w:w="2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Línea de trabajo</w:t>
            </w:r>
          </w:p>
        </w:tc>
        <w:tc>
          <w:tcPr>
            <w:tcW w:type="dxa" w:w="40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Actuación</w:t>
            </w:r>
          </w:p>
        </w:tc>
        <w:tc>
          <w:tcPr>
            <w:tcW w:type="dxa" w:w="25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Complejidad</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Cifrado de extremo a extremo</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Red de distribución de contenido ante el bucket y certificado en el balanceador</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Alta: requiere dominio propio</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Despliegue continuo</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Almacenamiento remoto del estado y credenciales no temporales</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Media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Asistente conversacional</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Habilitar el servicio, conceder el permiso y añadir el VPC endpoint</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No viable en el entorno de prácticas</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Externalización de la configuración</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Archivo de configuración consultado en tiempo de ejecución</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Baja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Búsquedas eficientes</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Índices secundarios globales y paginación</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Media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Autenticación de usuarios</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Servicio gestionado de identidad, o emisión propia de tokens</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Media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Pruebas automatizadas</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Casos de prueba en la interfaz y en la API</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Baja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Trazabilidad de versiones</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Etiquetado de la imagen con el identificador del commit</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Baja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Segregación del despliegue</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Dos estados de infraestructura independientes</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Media</w:t>
            </w:r>
          </w:p>
        </w:tc>
      </w:tr>
      <w:tr>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Completar las operaciones de datos</w:t>
            </w:r>
          </w:p>
        </w:tc>
        <w:tc>
          <w:tcPr>
            <w:tcW w:type="dxa" w:w="4020"/>
            <w:tcMar>
              <w:top w:type="dxa" w:w="70"/>
              <w:left w:type="dxa" w:w="110"/>
              <w:bottom w:type="dxa" w:w="70"/>
              <w:right w:type="dxa" w:w="110"/>
            </w:tcMar>
            <w:vAlign w:val="center"/>
          </w:tcPr>
          <w:p>
            <w:pPr>
              <w:spacing w:after="0" w:line="260"/>
              <w:jc w:val="left"/>
            </w:pPr>
            <w:r>
              <w:rPr>
                <w:b w:val="false"/>
                <w:bCs w:val="false"/>
                <w:sz w:val="18"/>
                <w:szCs w:val="18"/>
              </w:rPr>
              <w:t xml:space="preserve">Métodos de modificación y eliminación</w:t>
            </w:r>
          </w:p>
        </w:tc>
        <w:tc>
          <w:tcPr>
            <w:tcW w:type="dxa" w:w="2500"/>
            <w:tcMar>
              <w:top w:type="dxa" w:w="70"/>
              <w:left w:type="dxa" w:w="110"/>
              <w:bottom w:type="dxa" w:w="70"/>
              <w:right w:type="dxa" w:w="110"/>
            </w:tcMar>
            <w:vAlign w:val="center"/>
          </w:tcPr>
          <w:p>
            <w:pPr>
              <w:spacing w:after="0" w:line="260"/>
              <w:jc w:val="left"/>
            </w:pPr>
            <w:r>
              <w:rPr>
                <w:b w:val="false"/>
                <w:bCs w:val="false"/>
                <w:sz w:val="18"/>
                <w:szCs w:val="18"/>
              </w:rPr>
              <w:t xml:space="preserve">Baja</w:t>
            </w:r>
          </w:p>
        </w:tc>
      </w:tr>
    </w:tbl>
    <w:p>
      <w:pPr>
        <w:spacing w:after="240" w:before="60"/>
        <w:jc w:val="left"/>
      </w:pPr>
      <w:r>
        <w:rPr>
          <w:i/>
          <w:iCs/>
          <w:color w:val="595959"/>
          <w:sz w:val="17"/>
          <w:szCs w:val="17"/>
        </w:rPr>
        <w:t xml:space="preserve">Tabla 12.1. Líneas de trabajo futuro.</w:t>
      </w:r>
    </w:p>
    <w:p>
      <w:r>
        <w:br w:type="page"/>
      </w:r>
    </w:p>
    <w:p>
      <w:pPr>
        <w:pStyle w:val="Heading1"/>
        <w:spacing w:after="220" w:before="360"/>
      </w:pPr>
      <w:r>
        <w:t xml:space="preserve">13. Conclusiones</w:t>
      </w:r>
    </w:p>
    <w:p>
      <w:pPr>
        <w:pStyle w:val="Heading2"/>
        <w:spacing w:after="160" w:before="280"/>
      </w:pPr>
      <w:r>
        <w:t xml:space="preserve">13.1. Sobre el resultado alcanzado</w:t>
      </w:r>
    </w:p>
    <w:p>
      <w:pPr>
        <w:spacing w:after="140" w:line="300"/>
        <w:jc w:val="both"/>
      </w:pPr>
      <w:r>
        <w:t xml:space="preserve">La plataforma se encuentra desplegada y operativa, con las tres capas comunicándose correctamente y un procedimiento de despliegue capaz de recrear el entorno completo desde cero. Se han satisfecho cinco de los ocho requisitos funcionales y nueve de los trece no funcionales, con las excepciones documentadas y analizadas en los capítulos correspondientes.</w:t>
      </w:r>
    </w:p>
    <w:p>
      <w:pPr>
        <w:spacing w:after="140" w:line="300"/>
        <w:jc w:val="both"/>
      </w:pPr>
      <w:r>
        <w:t xml:space="preserve">Las tres incorporaciones de la fase final elevan el grado de cumplimiento en aspectos sustantivos. La distribución de la capa de aplicación en dos zonas de disponibilidad satisface la tolerancia al fallo de zona, con un coste cuantificado. Los flujos de integración continua y de despliegue automatizan la validación y la publicación, incorporando además una garantía de no regresión sobre un defecto previamente corregido. Y el análisis de viabilidad de Amazon Bedrock, aunque concluyó en su descarte, produjo un hallazgo arquitectónico de valor propio.</w:t>
      </w:r>
    </w:p>
    <w:p>
      <w:pPr>
        <w:pStyle w:val="Heading2"/>
        <w:spacing w:after="160" w:before="280"/>
      </w:pPr>
      <w:r>
        <w:t xml:space="preserve">13.2. Sobre la infraestructura como código</w:t>
      </w:r>
    </w:p>
    <w:p>
      <w:pPr>
        <w:spacing w:after="140" w:line="300"/>
        <w:jc w:val="both"/>
      </w:pPr>
      <w:r>
        <w:t xml:space="preserve">Definir la totalidad de la infraestructura mediante Terraform ha resultado determinante, y no únicamente por la reproducibilidad que aporta.</w:t>
      </w:r>
    </w:p>
    <w:p>
      <w:pPr>
        <w:spacing w:after="140" w:line="300"/>
        <w:jc w:val="both"/>
      </w:pPr>
      <w:r>
        <w:t xml:space="preserve">La consecuencia menos evidente y de mayor calado ha sido de naturaleza económica. </w:t>
      </w:r>
      <w:r>
        <w:rPr>
          <w:b/>
          <w:bCs/>
        </w:rPr>
        <w:t xml:space="preserve">La capacidad de recrear el entorno completo en dos minutos es lo que hace viable destruirlo de forma rutinaria.</w:t>
      </w:r>
      <w:r>
        <w:t xml:space="preserve"> Un entorno construido manualmente, cuya recreación exigiera una jornada de trabajo, no se destruiría nunca: permanecería activo por comodidad y agotaría el crédito disponible. La automatización no es, en este sentido, una mejora de eficiencia, sino la condición que habilita una práctica de control de coste que de otro modo no se sostendría.</w:t>
      </w:r>
    </w:p>
    <w:p>
      <w:pPr>
        <w:pStyle w:val="Heading2"/>
        <w:spacing w:after="160" w:before="280"/>
      </w:pPr>
      <w:r>
        <w:t xml:space="preserve">13.3. Sobre las decisiones de arquitectura</w:t>
      </w:r>
    </w:p>
    <w:p>
      <w:pPr>
        <w:spacing w:after="140" w:line="300"/>
        <w:jc w:val="both"/>
      </w:pPr>
      <w:r>
        <w:t xml:space="preserve">El aislamiento de la capa de aplicación en una subred privada sin salida hacia internet resulta sólido desde la perspectiva de la seguridad, pero tiene un coste económico concreto y cuantificado: los VPC endpoints necesarios para suplir esa ausencia de conectividad constituyen la principal partida de gasto de la infraestructura, por encima del propio cómputo.</w:t>
      </w:r>
    </w:p>
    <w:p>
      <w:pPr>
        <w:spacing w:after="140" w:line="300"/>
        <w:jc w:val="both"/>
      </w:pPr>
      <w:r>
        <w:t xml:space="preserve">El caso de la tolerancia al fallo de zona lo ilustra con particular claridad. Distribuir la capa de aplicación en dos zonas no encarece el cómputo, que se factura por tarea con independencia de su ubicación, sino la conectividad privada, dado que los endpoints se facturan por zona. El sobrecoste del treinta por ciento procede íntegramente de un componente de red que no ejecuta lógica alguna. Fue una consecuencia que no se anticipó al plantear el requisito y que solo se identificó al calcular su precio.</w:t>
      </w:r>
    </w:p>
    <w:p>
      <w:pPr>
        <w:spacing w:after="140" w:line="300"/>
        <w:jc w:val="both"/>
      </w:pPr>
      <w:r>
        <w:t xml:space="preserve">La lección es de carácter general: </w:t>
      </w:r>
      <w:r>
        <w:rPr>
          <w:b/>
          <w:bCs/>
        </w:rPr>
        <w:t xml:space="preserve">los compromisos de arquitectura no son abstractos, se manifiestan en la factura</w:t>
      </w:r>
      <w:r>
        <w:t xml:space="preserve">. Documentar el precio de una decisión resulta más útil que presentarla como una opción exenta de contrapartidas.</w:t>
      </w:r>
    </w:p>
    <w:p>
      <w:pPr>
        <w:pStyle w:val="Heading2"/>
        <w:spacing w:after="160" w:before="280"/>
      </w:pPr>
      <w:r>
        <w:t xml:space="preserve">13.4. Sobre la elección del modelo de datos</w:t>
      </w:r>
    </w:p>
    <w:p>
      <w:pPr>
        <w:spacing w:after="140" w:line="300"/>
        <w:jc w:val="both"/>
      </w:pPr>
      <w:r>
        <w:t xml:space="preserve">El análisis desarrollado en el apartado 5.3 constituye, en retrospectiva, el aprendizaje de mayor valor del proyecto. La decisión de emplear una base de datos NoSQL estaba correctamente motivada desde la perspectiva formativa, pero el patrón de acceso de la aplicación —búsquedas por múltiples atributos ajenos a la clave de partición— no corresponde al que este tipo de sistema resuelve eficientemente.</w:t>
      </w:r>
    </w:p>
    <w:p>
      <w:pPr>
        <w:spacing w:after="140" w:line="300"/>
        <w:jc w:val="both"/>
      </w:pPr>
      <w:r>
        <w:t xml:space="preserve">Elegir una tecnología en función de lo que se desea aprender es legítimo en un contexto académico. Verificar posteriormente si dicha tecnología encajaba con el problema planteado es lo que transforma la elección en conocimiento transferible.</w:t>
      </w:r>
    </w:p>
    <w:p>
      <w:pPr>
        <w:pStyle w:val="Heading2"/>
        <w:spacing w:after="160" w:before="280"/>
      </w:pPr>
      <w:r>
        <w:t xml:space="preserve">13.5. Sobre el proceso de trabajo</w:t>
      </w:r>
    </w:p>
    <w:p>
      <w:pPr>
        <w:spacing w:after="140" w:line="300"/>
        <w:jc w:val="both"/>
      </w:pPr>
      <w:r>
        <w:t xml:space="preserve">Las incidencias documentadas en el capítulo 11 no constituyeron obstáculos accesorios al desarrollo, sino el ámbito donde se produjo el aprendizaje efectivo: el orden de las dependencias en un despliegue automatizado, el ciclo de vida de las credenciales temporales, el comportamiento de las convenciones de terminación de línea al conectar programas heterogéneos, y la distinción entre detener una sesión de trabajo y detener una infraestructura en funcionamiento.</w:t>
      </w:r>
    </w:p>
    <w:p>
      <w:pPr>
        <w:spacing w:after="140" w:line="300"/>
        <w:jc w:val="both"/>
      </w:pPr>
      <w:r>
        <w:t xml:space="preserve">Resulta igualmente significativo que tres de los defectos corregidos no produjeran ningún síntoma observable y solo se detectaran mediante revisión sistemática. Un sistema que funciona no es necesariamente un sistema correcto.</w:t>
      </w:r>
    </w:p>
    <w:p>
      <w:pPr>
        <w:pStyle w:val="Heading2"/>
        <w:spacing w:after="160" w:before="280"/>
      </w:pPr>
      <w:r>
        <w:t xml:space="preserve">13.6. Sobre las limitaciones asumidas</w:t>
      </w:r>
    </w:p>
    <w:p>
      <w:pPr>
        <w:spacing w:after="140" w:line="300"/>
        <w:jc w:val="both"/>
      </w:pPr>
      <w:r>
        <w:t xml:space="preserve">La ausencia de cifrado en tránsito es la carencia de mayor relevancia y no resulta subsanable en el entorno de prácticas, por la imposibilidad de acreditar el control de un dominio propio ante una autoridad de certificación.</w:t>
      </w:r>
    </w:p>
    <w:p>
      <w:pPr>
        <w:spacing w:after="140" w:line="300"/>
        <w:jc w:val="both"/>
      </w:pPr>
      <w:r>
        <w:t xml:space="preserve">Se ha optado por documentarla de forma explícita, junto con la arquitectura que la resolvería y las razones concretas de su inviabilidad actual, por entender que identificar una limitación y acreditar el conocimiento de su solución aporta más valor que omitirla.</w:t>
      </w:r>
    </w:p>
    <w:p>
      <w:r>
        <w:br w:type="page"/>
      </w:r>
    </w:p>
    <w:p>
      <w:pPr>
        <w:pStyle w:val="Heading1"/>
        <w:spacing w:after="220" w:before="360"/>
      </w:pPr>
      <w:r>
        <w:t xml:space="preserve">14. Reparto de trabajo</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2200"/>
        <w:gridCol w:w="6820"/>
      </w:tblGrid>
      <w:tr>
        <w:trPr>
          <w:tblHeader/>
        </w:trPr>
        <w:tc>
          <w:tcPr>
            <w:tcW w:type="dxa" w:w="22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Integrante</w:t>
            </w:r>
          </w:p>
        </w:tc>
        <w:tc>
          <w:tcPr>
            <w:tcW w:type="dxa" w:w="68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Aportación</w:t>
            </w:r>
          </w:p>
        </w:tc>
      </w:tr>
      <w:tr>
        <w:tc>
          <w:tcPr>
            <w:tcW w:type="dxa" w:w="2200"/>
            <w:tcMar>
              <w:top w:type="dxa" w:w="70"/>
              <w:left w:type="dxa" w:w="110"/>
              <w:bottom w:type="dxa" w:w="70"/>
              <w:right w:type="dxa" w:w="110"/>
            </w:tcMar>
            <w:vAlign w:val="center"/>
          </w:tcPr>
          <w:p>
            <w:pPr>
              <w:spacing w:after="0" w:line="260"/>
              <w:jc w:val="left"/>
            </w:pPr>
            <w:r>
              <w:rPr>
                <w:b w:val="false"/>
                <w:bCs w:val="false"/>
                <w:sz w:val="18"/>
                <w:szCs w:val="18"/>
              </w:rPr>
              <w:t xml:space="preserve">Itzel Lorente</w:t>
            </w:r>
          </w:p>
        </w:tc>
        <w:tc>
          <w:tcPr>
            <w:tcW w:type="dxa" w:w="6820"/>
            <w:tcMar>
              <w:top w:type="dxa" w:w="70"/>
              <w:left w:type="dxa" w:w="110"/>
              <w:bottom w:type="dxa" w:w="70"/>
              <w:right w:type="dxa" w:w="110"/>
            </w:tcMar>
            <w:vAlign w:val="center"/>
          </w:tcPr>
          <w:p>
            <w:pPr>
              <w:spacing w:after="0" w:line="260"/>
              <w:jc w:val="left"/>
            </w:pPr>
            <w:r>
              <w:rPr>
                <w:b w:val="false"/>
                <w:bCs w:val="false"/>
                <w:sz w:val="18"/>
                <w:szCs w:val="18"/>
              </w:rPr>
              <w:t xml:space="preserve">Despliegue de la infraestructura con Terraform. Contenedorización de la API y publicación de la imagen en el registro. Despliegue del servicio de cómputo. Publicación de la interfaz en el almacenamiento de objetos. Desarrollo del procedimiento automatizado de despliegue y del procedimiento de carga de datos. Revisión técnica del repositorio, detección y corrección de los defectos documentados en el apartado 11.6. Documentación de arquitectura y elaboración de la presente memoria</w:t>
            </w:r>
          </w:p>
        </w:tc>
      </w:tr>
      <w:tr>
        <w:tc>
          <w:tcPr>
            <w:tcW w:type="dxa" w:w="2200"/>
            <w:tcMar>
              <w:top w:type="dxa" w:w="70"/>
              <w:left w:type="dxa" w:w="110"/>
              <w:bottom w:type="dxa" w:w="70"/>
              <w:right w:type="dxa" w:w="110"/>
            </w:tcMar>
            <w:vAlign w:val="center"/>
          </w:tcPr>
          <w:p>
            <w:pPr>
              <w:spacing w:after="0" w:line="260"/>
              <w:jc w:val="left"/>
            </w:pPr>
            <w:r>
              <w:rPr>
                <w:b w:val="false"/>
                <w:bCs w:val="false"/>
                <w:sz w:val="18"/>
                <w:szCs w:val="18"/>
              </w:rPr>
              <w:t xml:space="preserve">Miquel [apellido]</w:t>
            </w:r>
          </w:p>
        </w:tc>
        <w:tc>
          <w:tcPr>
            <w:tcW w:type="dxa" w:w="6820"/>
            <w:tcMar>
              <w:top w:type="dxa" w:w="70"/>
              <w:left w:type="dxa" w:w="110"/>
              <w:bottom w:type="dxa" w:w="70"/>
              <w:right w:type="dxa" w:w="110"/>
            </w:tcMar>
            <w:vAlign w:val="center"/>
          </w:tcPr>
          <w:p>
            <w:pPr>
              <w:spacing w:after="0" w:line="260"/>
              <w:jc w:val="left"/>
            </w:pPr>
            <w:r>
              <w:rPr>
                <w:b w:val="false"/>
                <w:bCs w:val="false"/>
                <w:sz w:val="18"/>
                <w:szCs w:val="18"/>
              </w:rPr>
              <w:t xml:space="preserve">[Completar] Desarrollo de la API. Implementación individual alternativa e independiente sobre instancias de máquina virtual</w:t>
            </w:r>
          </w:p>
        </w:tc>
      </w:tr>
      <w:tr>
        <w:tc>
          <w:tcPr>
            <w:tcW w:type="dxa" w:w="2200"/>
            <w:tcMar>
              <w:top w:type="dxa" w:w="70"/>
              <w:left w:type="dxa" w:w="110"/>
              <w:bottom w:type="dxa" w:w="70"/>
              <w:right w:type="dxa" w:w="110"/>
            </w:tcMar>
            <w:vAlign w:val="center"/>
          </w:tcPr>
          <w:p>
            <w:pPr>
              <w:spacing w:after="0" w:line="260"/>
              <w:jc w:val="left"/>
            </w:pPr>
            <w:r>
              <w:rPr>
                <w:b w:val="false"/>
                <w:bCs w:val="false"/>
                <w:sz w:val="18"/>
                <w:szCs w:val="18"/>
              </w:rPr>
              <w:t xml:space="preserve">Òscar [apellido]</w:t>
            </w:r>
          </w:p>
        </w:tc>
        <w:tc>
          <w:tcPr>
            <w:tcW w:type="dxa" w:w="6820"/>
            <w:tcMar>
              <w:top w:type="dxa" w:w="70"/>
              <w:left w:type="dxa" w:w="110"/>
              <w:bottom w:type="dxa" w:w="70"/>
              <w:right w:type="dxa" w:w="110"/>
            </w:tcMar>
            <w:vAlign w:val="center"/>
          </w:tcPr>
          <w:p>
            <w:pPr>
              <w:spacing w:after="0" w:line="260"/>
              <w:jc w:val="left"/>
            </w:pPr>
            <w:r>
              <w:rPr>
                <w:b w:val="false"/>
                <w:bCs w:val="false"/>
                <w:sz w:val="18"/>
                <w:szCs w:val="18"/>
              </w:rPr>
              <w:t xml:space="preserve">[Completar] Exploración inicial de la infraestructura en Terraform</w:t>
            </w:r>
          </w:p>
        </w:tc>
      </w:tr>
      <w:tr>
        <w:tc>
          <w:tcPr>
            <w:tcW w:type="dxa" w:w="2200"/>
            <w:tcMar>
              <w:top w:type="dxa" w:w="70"/>
              <w:left w:type="dxa" w:w="110"/>
              <w:bottom w:type="dxa" w:w="70"/>
              <w:right w:type="dxa" w:w="110"/>
            </w:tcMar>
            <w:vAlign w:val="center"/>
          </w:tcPr>
          <w:p>
            <w:pPr>
              <w:spacing w:after="0" w:line="260"/>
              <w:jc w:val="left"/>
            </w:pPr>
            <w:r>
              <w:rPr>
                <w:b w:val="false"/>
                <w:bCs w:val="false"/>
                <w:sz w:val="18"/>
                <w:szCs w:val="18"/>
              </w:rPr>
              <w:t xml:space="preserve">[Completar]</w:t>
            </w:r>
          </w:p>
        </w:tc>
        <w:tc>
          <w:tcPr>
            <w:tcW w:type="dxa" w:w="6820"/>
            <w:tcMar>
              <w:top w:type="dxa" w:w="70"/>
              <w:left w:type="dxa" w:w="110"/>
              <w:bottom w:type="dxa" w:w="70"/>
              <w:right w:type="dxa" w:w="110"/>
            </w:tcMar>
            <w:vAlign w:val="center"/>
          </w:tcPr>
          <w:p>
            <w:pPr>
              <w:spacing w:after="0" w:line="260"/>
              <w:jc w:val="left"/>
            </w:pPr>
            <w:r>
              <w:rPr>
                <w:b w:val="false"/>
                <w:bCs w:val="false"/>
                <w:sz w:val="18"/>
                <w:szCs w:val="18"/>
              </w:rPr>
              <w:t xml:space="preserve">[Completar]</w:t>
            </w:r>
          </w:p>
        </w:tc>
      </w:tr>
    </w:tbl>
    <w:p>
      <w:pPr>
        <w:spacing w:after="240" w:before="60"/>
        <w:jc w:val="left"/>
      </w:pPr>
      <w:r>
        <w:rPr>
          <w:i/>
          <w:iCs/>
          <w:color w:val="595959"/>
          <w:sz w:val="17"/>
          <w:szCs w:val="17"/>
        </w:rPr>
        <w:t xml:space="preserve">Tabla 14.1. Reparto de trabajo entre los integrantes del grupo.</w:t>
      </w:r>
    </w:p>
    <w:p>
      <w:pPr>
        <w:pBdr>
          <w:left w:val="single" w:color="1F3864" w:sz="12" w:space="10"/>
        </w:pBdr>
        <w:spacing w:after="180" w:before="60" w:line="290"/>
        <w:ind w:left="220"/>
        <w:jc w:val="both"/>
      </w:pPr>
      <w:r>
        <w:rPr>
          <w:color w:val="333333"/>
          <w:sz w:val="19"/>
          <w:szCs w:val="19"/>
        </w:rPr>
        <w:t xml:space="preserve">Completar con los nombres y aportaciones efectivas de cada integrante antes de la entrega.</w:t>
      </w:r>
    </w:p>
    <w:p>
      <w:r>
        <w:br w:type="page"/>
      </w:r>
    </w:p>
    <w:p>
      <w:pPr>
        <w:pStyle w:val="Heading1"/>
        <w:spacing w:after="220" w:before="360"/>
      </w:pPr>
      <w:r>
        <w:t xml:space="preserve">15. Referencias</w:t>
      </w:r>
    </w:p>
    <w:p>
      <w:pPr>
        <w:pStyle w:val="Heading2"/>
        <w:spacing w:after="160" w:before="280"/>
      </w:pPr>
      <w:r>
        <w:t xml:space="preserve">15.1. Documentación técnica</w:t>
      </w:r>
    </w:p>
    <w:p>
      <w:pPr>
        <w:spacing w:after="100" w:line="300"/>
        <w:jc w:val="both"/>
      </w:pPr>
      <w:r>
        <w:t xml:space="preserve">Amazon Web Services. Amazon Elastic Container Service Developer Guide. https://docs.aws.amazon.com/ecs/</w:t>
      </w:r>
    </w:p>
    <w:p>
      <w:pPr>
        <w:spacing w:after="100" w:line="300"/>
        <w:jc w:val="both"/>
      </w:pPr>
      <w:r>
        <w:t xml:space="preserve">Amazon Web Services. AWS Fargate for Amazon ECS. https://docs.aws.amazon.com/AmazonECS/latest/developerguide/AWS_Fargate.html</w:t>
      </w:r>
    </w:p>
    <w:p>
      <w:pPr>
        <w:spacing w:after="100" w:line="300"/>
        <w:jc w:val="both"/>
      </w:pPr>
      <w:r>
        <w:t xml:space="preserve">Amazon Web Services. Amazon DynamoDB Developer Guide. https://docs.aws.amazon.com/dynamodb/</w:t>
      </w:r>
    </w:p>
    <w:p>
      <w:pPr>
        <w:spacing w:after="100" w:line="300"/>
        <w:jc w:val="both"/>
      </w:pPr>
      <w:r>
        <w:t xml:space="preserve">Amazon Web Services. Website endpoints. Amazon S3 User Guide. https://docs.aws.amazon.com/AmazonS3/latest/userguide/WebsiteEndpoints.html</w:t>
      </w:r>
    </w:p>
    <w:p>
      <w:pPr>
        <w:spacing w:after="100" w:line="300"/>
        <w:jc w:val="both"/>
      </w:pPr>
      <w:r>
        <w:t xml:space="preserve">Amazon Web Services. AWS PrivateLink and VPC endpoints. https://docs.aws.amazon.com/vpc/latest/privatelink/</w:t>
      </w:r>
    </w:p>
    <w:p>
      <w:pPr>
        <w:spacing w:after="100" w:line="300"/>
        <w:jc w:val="both"/>
      </w:pPr>
      <w:r>
        <w:t xml:space="preserve">Amazon Web Services. Elastic Load Balancing. Application Load Balancers. https://docs.aws.amazon.com/elasticloadbalancing/</w:t>
      </w:r>
    </w:p>
    <w:p>
      <w:pPr>
        <w:spacing w:after="100" w:line="300"/>
        <w:jc w:val="both"/>
      </w:pPr>
      <w:r>
        <w:t xml:space="preserve">Amazon Web Services. IAM roles for tasks. https://docs.aws.amazon.com/AmazonECS/latest/developerguide/task-iam-roles.html</w:t>
      </w:r>
    </w:p>
    <w:p>
      <w:pPr>
        <w:spacing w:after="100" w:line="300"/>
        <w:jc w:val="both"/>
      </w:pPr>
      <w:r>
        <w:t xml:space="preserve">HashiCorp. Terraform AWS Provider Documentation. https://registry.terraform.io/providers/hashicorp/aws/latest/docs</w:t>
      </w:r>
    </w:p>
    <w:p>
      <w:pPr>
        <w:spacing w:after="100" w:line="300"/>
        <w:jc w:val="both"/>
      </w:pPr>
      <w:r>
        <w:t xml:space="preserve">HashiCorp. Terraform Language Documentation. https://developer.hashicorp.com/terraform/language</w:t>
      </w:r>
    </w:p>
    <w:p>
      <w:pPr>
        <w:spacing w:after="100" w:line="300"/>
        <w:jc w:val="both"/>
      </w:pPr>
      <w:r>
        <w:t xml:space="preserve">Angular. Angular Documentation. https://angular.dev</w:t>
      </w:r>
    </w:p>
    <w:p>
      <w:pPr>
        <w:spacing w:after="100" w:line="300"/>
        <w:jc w:val="both"/>
      </w:pPr>
      <w:r>
        <w:t xml:space="preserve">Docker Inc. Dockerfile reference. https://docs.docker.com/reference/dockerfile/</w:t>
      </w:r>
    </w:p>
    <w:p>
      <w:pPr>
        <w:spacing w:after="100" w:line="300"/>
        <w:jc w:val="both"/>
      </w:pPr>
      <w:r>
        <w:t xml:space="preserve">Mozilla Developer Network. Mixed content. https://developer.mozilla.org/docs/Web/Security/Mixed_content</w:t>
      </w:r>
    </w:p>
    <w:p>
      <w:pPr>
        <w:pStyle w:val="Heading2"/>
        <w:spacing w:after="160" w:before="280"/>
      </w:pPr>
      <w:r>
        <w:t xml:space="preserve">15.2. Documentación interna del proyecto</w:t>
      </w:r>
    </w:p>
    <w:tbl>
      <w:tblPr>
        <w:tblW w:type="dxa" w:w="9020"/>
        <w:tblBorders>
          <w:top w:val="single" w:color="AAAAAA" w:sz="4"/>
          <w:left w:val="single" w:color="AAAAAA" w:sz="4"/>
          <w:bottom w:val="single" w:color="AAAAAA" w:sz="4"/>
          <w:right w:val="single" w:color="AAAAAA" w:sz="4"/>
          <w:insideH w:val="single" w:color="CCCCCC" w:sz="2"/>
          <w:insideV w:val="single" w:color="CCCCCC" w:sz="2"/>
        </w:tblBorders>
      </w:tblPr>
      <w:tblGrid>
        <w:gridCol w:w="3000"/>
        <w:gridCol w:w="6020"/>
      </w:tblGrid>
      <w:tr>
        <w:trPr>
          <w:tblHeader/>
        </w:trPr>
        <w:tc>
          <w:tcPr>
            <w:tcW w:type="dxa" w:w="300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Documento</w:t>
            </w:r>
          </w:p>
        </w:tc>
        <w:tc>
          <w:tcPr>
            <w:tcW w:type="dxa" w:w="6020"/>
            <w:shd w:fill="1F3864" w:val="clear"/>
            <w:tcMar>
              <w:top w:type="dxa" w:w="70"/>
              <w:left w:type="dxa" w:w="110"/>
              <w:bottom w:type="dxa" w:w="70"/>
              <w:right w:type="dxa" w:w="110"/>
            </w:tcMar>
            <w:vAlign w:val="center"/>
          </w:tcPr>
          <w:p>
            <w:pPr>
              <w:spacing w:after="0" w:line="260"/>
              <w:jc w:val="left"/>
            </w:pPr>
            <w:r>
              <w:rPr>
                <w:b/>
                <w:bCs/>
                <w:color w:val="FFFFFF"/>
                <w:sz w:val="18"/>
                <w:szCs w:val="18"/>
              </w:rPr>
              <w:t xml:space="preserve">Contenido</w:t>
            </w:r>
          </w:p>
        </w:tc>
      </w:tr>
      <w:tr>
        <w:tc>
          <w:tcPr>
            <w:tcW w:type="dxa" w:w="30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README.md</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Descripción general, requisitos y procedimiento de despliegue</w:t>
            </w:r>
          </w:p>
        </w:tc>
      </w:tr>
      <w:tr>
        <w:tc>
          <w:tcPr>
            <w:tcW w:type="dxa" w:w="30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docs/architecture.md</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Especificación técnica detallada de la arquitectura</w:t>
            </w:r>
          </w:p>
        </w:tc>
      </w:tr>
      <w:tr>
        <w:tc>
          <w:tcPr>
            <w:tcW w:type="dxa" w:w="30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docs/mejoras-propuestas.md</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Análisis de mejoras con solución y estimación de esfuerzo</w:t>
            </w:r>
          </w:p>
        </w:tc>
      </w:tr>
      <w:tr>
        <w:tc>
          <w:tcPr>
            <w:tcW w:type="dxa" w:w="30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backend/README.md</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Procedimiento manual de despliegue y ejecución en local</w:t>
            </w:r>
          </w:p>
        </w:tc>
      </w:tr>
      <w:tr>
        <w:tc>
          <w:tcPr>
            <w:tcW w:type="dxa" w:w="30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deploy.ps1</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Procedimiento automatizado de despliegue</w:t>
            </w:r>
          </w:p>
        </w:tc>
      </w:tr>
      <w:tr>
        <w:tc>
          <w:tcPr>
            <w:tcW w:type="dxa" w:w="3000"/>
            <w:tcMar>
              <w:top w:type="dxa" w:w="70"/>
              <w:left w:type="dxa" w:w="110"/>
              <w:bottom w:type="dxa" w:w="70"/>
              <w:right w:type="dxa" w:w="110"/>
            </w:tcMar>
            <w:vAlign w:val="center"/>
          </w:tcPr>
          <w:p>
            <w:pPr>
              <w:spacing w:after="0" w:line="260"/>
              <w:jc w:val="left"/>
            </w:pPr>
            <w:r>
              <w:rPr>
                <w:rFonts w:ascii="Consolas" w:cs="Consolas" w:eastAsia="Consolas" w:hAnsi="Consolas"/>
                <w:b w:val="false"/>
                <w:bCs w:val="false"/>
                <w:sz w:val="18"/>
                <w:szCs w:val="18"/>
              </w:rPr>
              <w:t xml:space="preserve">database/seed-races.ps1</w:t>
            </w:r>
          </w:p>
        </w:tc>
        <w:tc>
          <w:tcPr>
            <w:tcW w:type="dxa" w:w="6020"/>
            <w:tcMar>
              <w:top w:type="dxa" w:w="70"/>
              <w:left w:type="dxa" w:w="110"/>
              <w:bottom w:type="dxa" w:w="70"/>
              <w:right w:type="dxa" w:w="110"/>
            </w:tcMar>
            <w:vAlign w:val="center"/>
          </w:tcPr>
          <w:p>
            <w:pPr>
              <w:spacing w:after="0" w:line="260"/>
              <w:jc w:val="left"/>
            </w:pPr>
            <w:r>
              <w:rPr>
                <w:b w:val="false"/>
                <w:bCs w:val="false"/>
                <w:sz w:val="18"/>
                <w:szCs w:val="18"/>
              </w:rPr>
              <w:t xml:space="preserve">Procedimiento de carga de datos de ejemplo</w:t>
            </w:r>
          </w:p>
        </w:tc>
      </w:tr>
    </w:tbl>
    <w:p>
      <w:pPr>
        <w:spacing w:after="240" w:before="60"/>
        <w:jc w:val="left"/>
      </w:pPr>
      <w:r>
        <w:rPr>
          <w:i/>
          <w:iCs/>
          <w:color w:val="595959"/>
          <w:sz w:val="17"/>
          <w:szCs w:val="17"/>
        </w:rPr>
        <w:t xml:space="preserve">Tabla 15.1. Documentación interna del repositorio.</w:t>
      </w:r>
    </w:p>
    <w:p>
      <w:pPr>
        <w:spacing w:before="300"/>
        <w:jc w:val="both"/>
      </w:pPr>
      <w:r>
        <w:rPr>
          <w:b/>
          <w:bCs/>
        </w:rPr>
        <w:t xml:space="preserve">Repositorio del proyecto: </w:t>
      </w:r>
      <w:r>
        <w:t xml:space="preserve">https://github.com/group55-upc/half-marathon-cloud-platform</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start="1" w:fmt="decimal"/>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6"/>
      </w:pBdr>
      <w:spacing w:after="60"/>
      <w:jc w:val="right"/>
    </w:pPr>
    <w:r>
      <w:rPr>
        <w:rFonts w:ascii="Arial" w:cs="Arial" w:eastAsia="Arial" w:hAnsi="Arial"/>
        <w:color w:val="595959"/>
        <w:sz w:val="16"/>
        <w:szCs w:val="16"/>
      </w:rPr>
      <w:t xml:space="preserve">Half Marathon Cloud Platform — Memoria del proyecto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14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20" w:before="360"/>
      <w:outlineLvl w:val="0"/>
    </w:pPr>
    <w:rPr>
      <w:rFonts w:ascii="Arial" w:cs="Arial" w:eastAsia="Arial" w:hAnsi="Arial"/>
      <w:b/>
      <w:bCs/>
      <w:color w:val="1F3864"/>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1F3864"/>
      <w:sz w:val="25"/>
      <w:szCs w:val="25"/>
    </w:rPr>
  </w:style>
  <w:style w:type="paragraph" w:styleId="Heading3">
    <w:name w:val="Heading 3"/>
    <w:basedOn w:val="Normal"/>
    <w:next w:val="Normal"/>
    <w:qFormat/>
    <w:pPr>
      <w:spacing w:after="130" w:before="220"/>
      <w:outlineLvl w:val="2"/>
    </w:pPr>
    <w:rPr>
      <w:rFonts w:ascii="Arial" w:cs="Arial" w:eastAsia="Arial" w:hAnsi="Arial"/>
      <w:b/>
      <w:bCs/>
      <w:color w:val="2E549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Half Marathon Cloud Platform — Memoria del proyecto</dc:title>
  <dc:creator>Grupo 5 — Universitat Politècnica de Catalunya</dc:creator>
  <dc:description>Diseño, implementación y despliegue de una plataforma web cloud-native en AWS</dc:description>
  <cp:lastModifiedBy>Un-named</cp:lastModifiedBy>
  <cp:revision>1</cp:revision>
  <dcterms:created xsi:type="dcterms:W3CDTF">2026-07-29T11:19:00.517Z</dcterms:created>
  <dcterms:modified xsi:type="dcterms:W3CDTF">2026-07-29T11:19:00.517Z</dcterms:modified>
</cp:coreProperties>
</file>

<file path=docProps/custom.xml><?xml version="1.0" encoding="utf-8"?>
<Properties xmlns="http://schemas.openxmlformats.org/officeDocument/2006/custom-properties" xmlns:vt="http://schemas.openxmlformats.org/officeDocument/2006/docPropsVTypes"/>
</file>