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2BA2" w:rsidRDefault="00B63EA6" w:rsidP="00217028">
      <w:pPr>
        <w:pStyle w:val="Title"/>
        <w:outlineLvl w:val="0"/>
      </w:pPr>
      <w:bookmarkStart w:id="0" w:name="_Toc359077851"/>
      <w:bookmarkStart w:id="1" w:name="OLE_LINK1"/>
      <w:bookmarkStart w:id="2" w:name="OLE_LINK2"/>
      <w:r>
        <w:t>Demonstration of DOCX support in calibre</w:t>
      </w:r>
      <w:bookmarkEnd w:id="0"/>
    </w:p>
    <w:bookmarkEnd w:id="1"/>
    <w:bookmarkEnd w:id="2"/>
    <w:p w:rsidR="00B63EA6" w:rsidRDefault="00B63EA6" w:rsidP="00230C50">
      <w: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rsidR="00A406DC" w:rsidRDefault="00A406DC" w:rsidP="00230C50">
      <w:r>
        <w:t xml:space="preserve">There is support for images, tables, lists, footnotes, endnotes, </w:t>
      </w:r>
      <w:r w:rsidR="006E0607">
        <w:t xml:space="preserve">links, dropcaps and </w:t>
      </w:r>
      <w:r w:rsidR="00517777">
        <w:t>various</w:t>
      </w:r>
      <w:r>
        <w:t xml:space="preserve"> types of text and paragraph level formatting.</w:t>
      </w:r>
    </w:p>
    <w:p w:rsidR="00565820" w:rsidRPr="00565820" w:rsidRDefault="00565820" w:rsidP="00230C50">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EC322F" w:rsidRDefault="00EC322F" w:rsidP="00EC322F">
      <w: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rsidR="00EC322F" w:rsidRDefault="00EC322F" w:rsidP="00EC322F">
      <w:r>
        <w:t>There is support for images, tables, lists, footnotes, endnotes, links, dropcaps and various types of text and paragraph level formatting.</w:t>
      </w:r>
    </w:p>
    <w:p w:rsidR="00EC322F" w:rsidRPr="00565820" w:rsidRDefault="00EC322F" w:rsidP="00EC322F">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EC322F" w:rsidRDefault="00EC322F" w:rsidP="00EC322F"/>
    <w:p w:rsidR="00EC322F" w:rsidRDefault="00EC322F" w:rsidP="00EC322F">
      <w: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rsidR="00EC322F" w:rsidRDefault="00EC322F" w:rsidP="00EC322F">
      <w:r>
        <w:t>There is support for images, tables, lists, footnotes, endnotes, links, dropcaps and various types of text and paragraph level formatting.</w:t>
      </w:r>
    </w:p>
    <w:p w:rsidR="00EC322F" w:rsidRPr="00565820" w:rsidRDefault="00EC322F" w:rsidP="00EC322F">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EC322F" w:rsidRDefault="00EC322F" w:rsidP="00EC322F"/>
    <w:p w:rsidR="00386659" w:rsidRDefault="00EC322F" w:rsidP="00EC322F">
      <w:r>
        <w:t xml:space="preserve">This document demonstrates the ability of the calibre DOCX Input plugin to convert the various typographic features in a Microsoft Word (2007 and newer) document. </w:t>
      </w:r>
    </w:p>
    <w:p w:rsidR="00386659" w:rsidRDefault="00386659" w:rsidP="00386659">
      <w:pPr>
        <w:pStyle w:val="Heading1"/>
      </w:pPr>
      <w:bookmarkStart w:id="3" w:name="_Toc359077852"/>
      <w:r>
        <w:lastRenderedPageBreak/>
        <w:t>Text Formatting</w:t>
      </w:r>
      <w:bookmarkEnd w:id="3"/>
    </w:p>
    <w:p w:rsidR="00386659" w:rsidRDefault="00753CF0" w:rsidP="00753CF0">
      <w:pPr>
        <w:pStyle w:val="Heading2"/>
      </w:pPr>
      <w:bookmarkStart w:id="4" w:name="_Toc359077853"/>
      <w:r>
        <w:t>Inline formatting</w:t>
      </w:r>
      <w:bookmarkEnd w:id="4"/>
    </w:p>
    <w:p w:rsidR="00386659" w:rsidRDefault="00386659" w:rsidP="00386659">
      <w:r>
        <w:t>Here, we demonstrate various types of inline text formatting and the use of embedded fonts.</w:t>
      </w:r>
    </w:p>
    <w:p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rsidR="00A65B8B" w:rsidRDefault="00A65B8B" w:rsidP="00A65B8B">
      <w:r>
        <w:t xml:space="preserve">A paragraph with styled text: </w:t>
      </w:r>
      <w:r w:rsidRPr="00A65B8B">
        <w:rPr>
          <w:rStyle w:val="SubtleEmphasis"/>
        </w:rPr>
        <w:t>subtle emphasis</w:t>
      </w:r>
      <w:r>
        <w:rPr>
          <w:rStyle w:val="SubtleEmphasis"/>
        </w:rPr>
        <w:t xml:space="preserve">  </w:t>
      </w:r>
      <w:r w:rsidRPr="00A65B8B">
        <w:t>f</w:t>
      </w:r>
      <w:r>
        <w:t xml:space="preserve">ollowed by </w:t>
      </w:r>
      <w:r>
        <w:rPr>
          <w:rStyle w:val="Strong"/>
        </w:rPr>
        <w:t xml:space="preserve">strong text </w:t>
      </w:r>
      <w:r w:rsidRPr="00A65B8B">
        <w:t>a</w:t>
      </w:r>
      <w:r>
        <w:t xml:space="preserve">nd </w:t>
      </w:r>
      <w:r>
        <w:rPr>
          <w:rStyle w:val="IntenseEmphasis"/>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rsidR="00025E62" w:rsidRDefault="00025E62" w:rsidP="00025E62">
      <w:pPr>
        <w:pStyle w:val="Heading2"/>
      </w:pPr>
      <w:bookmarkStart w:id="5" w:name="_Toc359077854"/>
      <w:r>
        <w:t>Fun with fonts</w:t>
      </w:r>
      <w:bookmarkEnd w:id="5"/>
    </w:p>
    <w:p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rsidR="001D582F" w:rsidRDefault="001D582F" w:rsidP="001D582F">
      <w:pPr>
        <w:pStyle w:val="Heading2"/>
        <w:rPr>
          <w:rStyle w:val="IntenseEmphasis"/>
          <w:b/>
          <w:bCs/>
          <w:i w:val="0"/>
          <w:iCs w:val="0"/>
        </w:rPr>
      </w:pPr>
      <w:bookmarkStart w:id="6" w:name="_Paragraph_level_formatting"/>
      <w:bookmarkStart w:id="7" w:name="_Toc359077855"/>
      <w:bookmarkEnd w:id="6"/>
      <w:r>
        <w:rPr>
          <w:rStyle w:val="IntenseEmphasis"/>
          <w:b/>
          <w:bCs/>
          <w:i w:val="0"/>
          <w:iCs w:val="0"/>
        </w:rPr>
        <w:t>Paragraph level formatting</w:t>
      </w:r>
      <w:bookmarkEnd w:id="7"/>
    </w:p>
    <w:p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rsidR="00297ABF" w:rsidRDefault="00297ABF" w:rsidP="00297ABF">
      <w:pPr>
        <w:pStyle w:val="Heading1"/>
      </w:pPr>
      <w:bookmarkStart w:id="8" w:name="_Toc359077856"/>
      <w:r>
        <w:lastRenderedPageBreak/>
        <w:t>Tables</w:t>
      </w:r>
      <w:bookmarkEnd w:id="8"/>
    </w:p>
    <w:tbl>
      <w:tblPr>
        <w:tblStyle w:val="LightList-Accent3"/>
        <w:tblpPr w:rightFromText="187" w:bottomFromText="72" w:vertAnchor="text" w:tblpY="1"/>
        <w:tblOverlap w:val="never"/>
        <w:tblW w:w="0" w:type="auto"/>
        <w:tblLook w:val="0620" w:firstRow="1" w:lastRow="0" w:firstColumn="0" w:lastColumn="0" w:noHBand="1" w:noVBand="1"/>
      </w:tblPr>
      <w:tblGrid>
        <w:gridCol w:w="1818"/>
        <w:gridCol w:w="1620"/>
      </w:tblGrid>
      <w:tr w:rsidR="00297ABF" w:rsidTr="00B86920">
        <w:trPr>
          <w:cnfStyle w:val="100000000000" w:firstRow="1" w:lastRow="0" w:firstColumn="0" w:lastColumn="0" w:oddVBand="0" w:evenVBand="0" w:oddHBand="0" w:evenHBand="0" w:firstRowFirstColumn="0" w:firstRowLastColumn="0" w:lastRowFirstColumn="0" w:lastRowLastColumn="0"/>
        </w:trPr>
        <w:tc>
          <w:tcPr>
            <w:tcW w:w="1818" w:type="dxa"/>
          </w:tcPr>
          <w:p w:rsidR="00297ABF" w:rsidRDefault="00297ABF" w:rsidP="00B86920">
            <w:r>
              <w:t>ITEM</w:t>
            </w:r>
          </w:p>
        </w:tc>
        <w:tc>
          <w:tcPr>
            <w:tcW w:w="1620" w:type="dxa"/>
          </w:tcPr>
          <w:p w:rsidR="00297ABF" w:rsidRDefault="00297ABF" w:rsidP="00B86920">
            <w:r>
              <w:t>NEEDED</w:t>
            </w:r>
          </w:p>
        </w:tc>
      </w:tr>
      <w:tr w:rsidR="00297ABF" w:rsidTr="00B86920">
        <w:tc>
          <w:tcPr>
            <w:tcW w:w="1818" w:type="dxa"/>
          </w:tcPr>
          <w:p w:rsidR="00297ABF" w:rsidRDefault="00297ABF" w:rsidP="00B86920">
            <w:r>
              <w:t>Books</w:t>
            </w:r>
          </w:p>
        </w:tc>
        <w:tc>
          <w:tcPr>
            <w:tcW w:w="1620" w:type="dxa"/>
          </w:tcPr>
          <w:p w:rsidR="00297ABF" w:rsidRDefault="00297ABF" w:rsidP="00B86920">
            <w:r>
              <w:t>1</w:t>
            </w:r>
          </w:p>
        </w:tc>
      </w:tr>
      <w:tr w:rsidR="00297ABF" w:rsidTr="00B86920">
        <w:tc>
          <w:tcPr>
            <w:tcW w:w="1818" w:type="dxa"/>
          </w:tcPr>
          <w:p w:rsidR="00297ABF" w:rsidRDefault="00297ABF" w:rsidP="00B86920">
            <w:r>
              <w:t>Pens</w:t>
            </w:r>
          </w:p>
        </w:tc>
        <w:tc>
          <w:tcPr>
            <w:tcW w:w="1620" w:type="dxa"/>
          </w:tcPr>
          <w:p w:rsidR="00297ABF" w:rsidRDefault="00297ABF" w:rsidP="00B86920">
            <w:r>
              <w:t>3</w:t>
            </w:r>
          </w:p>
        </w:tc>
      </w:tr>
      <w:tr w:rsidR="00297ABF" w:rsidTr="00B86920">
        <w:tc>
          <w:tcPr>
            <w:tcW w:w="1818" w:type="dxa"/>
          </w:tcPr>
          <w:p w:rsidR="00297ABF" w:rsidRDefault="00297ABF" w:rsidP="00B86920">
            <w:r>
              <w:t>Pencils</w:t>
            </w:r>
          </w:p>
        </w:tc>
        <w:tc>
          <w:tcPr>
            <w:tcW w:w="1620" w:type="dxa"/>
          </w:tcPr>
          <w:p w:rsidR="00297ABF" w:rsidRDefault="00297ABF" w:rsidP="00B86920">
            <w:r>
              <w:t>2</w:t>
            </w:r>
          </w:p>
        </w:tc>
      </w:tr>
      <w:tr w:rsidR="00297ABF" w:rsidTr="00B86920">
        <w:tc>
          <w:tcPr>
            <w:tcW w:w="1818" w:type="dxa"/>
          </w:tcPr>
          <w:p w:rsidR="00297ABF" w:rsidRDefault="00297ABF" w:rsidP="00B86920">
            <w:r>
              <w:t>Highlighter</w:t>
            </w:r>
          </w:p>
        </w:tc>
        <w:tc>
          <w:tcPr>
            <w:tcW w:w="1620" w:type="dxa"/>
          </w:tcPr>
          <w:p w:rsidR="00297ABF" w:rsidRDefault="00297ABF" w:rsidP="00B86920">
            <w:r>
              <w:t>2 colors</w:t>
            </w:r>
          </w:p>
        </w:tc>
      </w:tr>
      <w:tr w:rsidR="00297ABF" w:rsidTr="00B86920">
        <w:tc>
          <w:tcPr>
            <w:tcW w:w="1818" w:type="dxa"/>
          </w:tcPr>
          <w:p w:rsidR="00297ABF" w:rsidRDefault="00297ABF" w:rsidP="00B86920">
            <w:r>
              <w:t>Scissors</w:t>
            </w:r>
          </w:p>
        </w:tc>
        <w:tc>
          <w:tcPr>
            <w:tcW w:w="1620" w:type="dxa"/>
          </w:tcPr>
          <w:p w:rsidR="00297ABF" w:rsidRDefault="00297ABF" w:rsidP="00B86920">
            <w:r>
              <w:t>1 pair</w:t>
            </w:r>
          </w:p>
        </w:tc>
      </w:tr>
    </w:tbl>
    <w:p w:rsidR="00297ABF" w:rsidRDefault="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rsidR="00297ABF" w:rsidRPr="00297ABF" w:rsidRDefault="00297ABF" w:rsidP="00297ABF">
      <w:r>
        <w:t>Now let’s look at a fancier table—one with alternating row colors and partial borders. This table is stretched out to take 100% of the available width.</w:t>
      </w:r>
    </w:p>
    <w:tbl>
      <w:tblPr>
        <w:tblStyle w:val="MediumList2-Accent1"/>
        <w:tblW w:w="5000" w:type="pct"/>
        <w:tblLook w:val="04A0" w:firstRow="1" w:lastRow="0" w:firstColumn="1" w:lastColumn="0" w:noHBand="0" w:noVBand="1"/>
      </w:tblPr>
      <w:tblGrid>
        <w:gridCol w:w="1566"/>
        <w:gridCol w:w="1626"/>
        <w:gridCol w:w="1626"/>
        <w:gridCol w:w="1628"/>
        <w:gridCol w:w="1630"/>
        <w:gridCol w:w="1500"/>
      </w:tblGrid>
      <w:tr w:rsidR="00297ABF"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hading2-Accent5"/>
        <w:tblW w:w="5000" w:type="pct"/>
        <w:tblLook w:val="0660" w:firstRow="1" w:lastRow="1" w:firstColumn="0" w:lastColumn="0" w:noHBand="1" w:noVBand="1"/>
      </w:tblPr>
      <w:tblGrid>
        <w:gridCol w:w="2394"/>
        <w:gridCol w:w="2394"/>
        <w:gridCol w:w="2394"/>
        <w:gridCol w:w="2394"/>
      </w:tblGrid>
      <w:tr w:rsidR="00297ABF"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rsidR="00297ABF" w:rsidRDefault="00297ABF">
            <w:r>
              <w:t>College</w:t>
            </w:r>
          </w:p>
        </w:tc>
        <w:tc>
          <w:tcPr>
            <w:tcW w:w="1250" w:type="pct"/>
          </w:tcPr>
          <w:p w:rsidR="00297ABF" w:rsidRDefault="00297ABF">
            <w:r>
              <w:t>New students</w:t>
            </w:r>
          </w:p>
        </w:tc>
        <w:tc>
          <w:tcPr>
            <w:tcW w:w="1250" w:type="pct"/>
          </w:tcPr>
          <w:p w:rsidR="00297ABF" w:rsidRDefault="00297ABF">
            <w:r>
              <w:t>Graduating students</w:t>
            </w:r>
          </w:p>
        </w:tc>
        <w:tc>
          <w:tcPr>
            <w:tcW w:w="1250" w:type="pct"/>
          </w:tcPr>
          <w:p w:rsidR="00297ABF" w:rsidRDefault="00297ABF">
            <w:r>
              <w:t>Change</w:t>
            </w:r>
          </w:p>
        </w:tc>
      </w:tr>
      <w:tr w:rsidR="00297ABF" w:rsidTr="00A011EB">
        <w:tc>
          <w:tcPr>
            <w:tcW w:w="1250" w:type="pct"/>
            <w:noWrap/>
          </w:tcPr>
          <w:p w:rsidR="00297ABF" w:rsidRDefault="00297ABF"/>
        </w:tc>
        <w:tc>
          <w:tcPr>
            <w:tcW w:w="1250" w:type="pct"/>
          </w:tcPr>
          <w:p w:rsidR="00297ABF" w:rsidRDefault="00297ABF">
            <w:pPr>
              <w:rPr>
                <w:rStyle w:val="SubtleEmphasis"/>
              </w:rPr>
            </w:pPr>
            <w:r>
              <w:rPr>
                <w:rStyle w:val="SubtleEmphasis"/>
              </w:rPr>
              <w:t>Undergraduate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110</w:t>
            </w:r>
          </w:p>
        </w:tc>
        <w:tc>
          <w:tcPr>
            <w:tcW w:w="1250" w:type="pct"/>
          </w:tcPr>
          <w:p w:rsidR="00297ABF" w:rsidRDefault="00297ABF">
            <w:pPr>
              <w:pStyle w:val="DecimalAligned"/>
            </w:pPr>
            <w:r>
              <w:t>103</w:t>
            </w:r>
          </w:p>
        </w:tc>
        <w:tc>
          <w:tcPr>
            <w:tcW w:w="1250" w:type="pct"/>
          </w:tcPr>
          <w:p w:rsidR="00297ABF" w:rsidRDefault="00297ABF">
            <w:pPr>
              <w:pStyle w:val="DecimalAligned"/>
            </w:pPr>
            <w:r>
              <w:t>+7</w:t>
            </w:r>
          </w:p>
        </w:tc>
      </w:tr>
      <w:tr w:rsidR="00297ABF" w:rsidTr="00A011EB">
        <w:tc>
          <w:tcPr>
            <w:tcW w:w="1250" w:type="pct"/>
            <w:noWrap/>
          </w:tcPr>
          <w:p w:rsidR="00297ABF" w:rsidRDefault="00297ABF">
            <w:r>
              <w:t>Oak Institute</w:t>
            </w:r>
          </w:p>
        </w:tc>
        <w:tc>
          <w:tcPr>
            <w:tcW w:w="1250" w:type="pct"/>
          </w:tcPr>
          <w:p w:rsidR="00297ABF" w:rsidRDefault="00297ABF">
            <w:pPr>
              <w:pStyle w:val="DecimalAligned"/>
            </w:pPr>
            <w:r>
              <w:t>202</w:t>
            </w:r>
          </w:p>
        </w:tc>
        <w:tc>
          <w:tcPr>
            <w:tcW w:w="1250" w:type="pct"/>
          </w:tcPr>
          <w:p w:rsidR="00297ABF" w:rsidRDefault="00297ABF">
            <w:pPr>
              <w:pStyle w:val="DecimalAligned"/>
            </w:pPr>
            <w:r>
              <w:t>210</w:t>
            </w:r>
          </w:p>
        </w:tc>
        <w:tc>
          <w:tcPr>
            <w:tcW w:w="1250" w:type="pct"/>
          </w:tcPr>
          <w:p w:rsidR="00297ABF" w:rsidRDefault="00297ABF">
            <w:pPr>
              <w:pStyle w:val="DecimalAligned"/>
            </w:pPr>
            <w:r>
              <w:t>-8</w:t>
            </w:r>
          </w:p>
        </w:tc>
      </w:tr>
      <w:tr w:rsidR="00297ABF" w:rsidTr="00A011EB">
        <w:tc>
          <w:tcPr>
            <w:tcW w:w="1250" w:type="pct"/>
            <w:noWrap/>
          </w:tcPr>
          <w:p w:rsidR="00297ABF" w:rsidRDefault="00297ABF"/>
        </w:tc>
        <w:tc>
          <w:tcPr>
            <w:tcW w:w="1250" w:type="pct"/>
          </w:tcPr>
          <w:p w:rsidR="00297ABF" w:rsidRDefault="00297ABF">
            <w:pPr>
              <w:rPr>
                <w:rStyle w:val="SubtleEmphasis"/>
              </w:rPr>
            </w:pPr>
            <w:r>
              <w:rPr>
                <w:rStyle w:val="SubtleEmphasis"/>
              </w:rPr>
              <w:t>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24</w:t>
            </w:r>
          </w:p>
        </w:tc>
        <w:tc>
          <w:tcPr>
            <w:tcW w:w="1250" w:type="pct"/>
          </w:tcPr>
          <w:p w:rsidR="00297ABF" w:rsidRDefault="00297ABF">
            <w:pPr>
              <w:pStyle w:val="DecimalAligned"/>
            </w:pPr>
            <w:r>
              <w:t>20</w:t>
            </w:r>
          </w:p>
        </w:tc>
        <w:tc>
          <w:tcPr>
            <w:tcW w:w="1250" w:type="pct"/>
          </w:tcPr>
          <w:p w:rsidR="00297ABF" w:rsidRDefault="00297ABF">
            <w:pPr>
              <w:pStyle w:val="DecimalAligned"/>
            </w:pPr>
            <w:r>
              <w:t>+4</w:t>
            </w:r>
          </w:p>
        </w:tc>
      </w:tr>
      <w:tr w:rsidR="00297ABF" w:rsidTr="00A011EB">
        <w:tc>
          <w:tcPr>
            <w:tcW w:w="1250" w:type="pct"/>
            <w:noWrap/>
          </w:tcPr>
          <w:p w:rsidR="00297ABF" w:rsidRDefault="00297ABF">
            <w:r>
              <w:t>Elm College</w:t>
            </w:r>
          </w:p>
        </w:tc>
        <w:tc>
          <w:tcPr>
            <w:tcW w:w="1250" w:type="pct"/>
          </w:tcPr>
          <w:p w:rsidR="00297ABF" w:rsidRDefault="00297ABF">
            <w:pPr>
              <w:pStyle w:val="DecimalAligned"/>
            </w:pPr>
            <w:r>
              <w:t>43</w:t>
            </w:r>
          </w:p>
        </w:tc>
        <w:tc>
          <w:tcPr>
            <w:tcW w:w="1250" w:type="pct"/>
          </w:tcPr>
          <w:p w:rsidR="00297ABF" w:rsidRDefault="00297ABF">
            <w:pPr>
              <w:pStyle w:val="DecimalAligned"/>
            </w:pPr>
            <w:r>
              <w:t>53</w:t>
            </w:r>
          </w:p>
        </w:tc>
        <w:tc>
          <w:tcPr>
            <w:tcW w:w="1250" w:type="pct"/>
          </w:tcPr>
          <w:p w:rsidR="00297ABF" w:rsidRDefault="00297ABF">
            <w:pPr>
              <w:pStyle w:val="DecimalAligned"/>
            </w:pPr>
            <w:r>
              <w:t>-10</w:t>
            </w:r>
          </w:p>
        </w:tc>
      </w:tr>
      <w:tr w:rsidR="00297ABF"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rsidR="00297ABF" w:rsidRDefault="00297ABF">
            <w:r>
              <w:t>Total</w:t>
            </w:r>
          </w:p>
        </w:tc>
        <w:tc>
          <w:tcPr>
            <w:tcW w:w="1250" w:type="pct"/>
          </w:tcPr>
          <w:p w:rsidR="00297ABF" w:rsidRDefault="00297ABF">
            <w:pPr>
              <w:pStyle w:val="DecimalAligned"/>
            </w:pPr>
            <w:r>
              <w:t>998</w:t>
            </w:r>
          </w:p>
        </w:tc>
        <w:tc>
          <w:tcPr>
            <w:tcW w:w="1250" w:type="pct"/>
          </w:tcPr>
          <w:p w:rsidR="00297ABF" w:rsidRDefault="00297ABF">
            <w:pPr>
              <w:pStyle w:val="DecimalAligned"/>
            </w:pPr>
            <w:r>
              <w:t>908</w:t>
            </w:r>
          </w:p>
        </w:tc>
        <w:tc>
          <w:tcPr>
            <w:tcW w:w="1250" w:type="pct"/>
          </w:tcPr>
          <w:p w:rsidR="00297ABF" w:rsidRDefault="00297ABF">
            <w:pPr>
              <w:pStyle w:val="DecimalAligned"/>
            </w:pPr>
            <w:r>
              <w:t>90</w:t>
            </w:r>
          </w:p>
        </w:tc>
      </w:tr>
    </w:tbl>
    <w:p w:rsidR="00297ABF" w:rsidRDefault="00297ABF">
      <w:pPr>
        <w:pStyle w:val="FootnoteText"/>
      </w:pPr>
      <w:r>
        <w:rPr>
          <w:rStyle w:val="SubtleEmphasis"/>
        </w:rPr>
        <w:t>Source:</w:t>
      </w:r>
      <w:r>
        <w:t xml:space="preserve"> Fictitious data, for illustration purposes only</w:t>
      </w:r>
    </w:p>
    <w:p w:rsidR="008920B2" w:rsidRPr="004916D2" w:rsidRDefault="00B727BF" w:rsidP="004916D2">
      <w:pPr>
        <w:spacing w:before="240"/>
        <w:rPr>
          <w:rStyle w:val="SubtleEmphasis"/>
          <w:i w:val="0"/>
          <w:iCs w:val="0"/>
          <w:color w:val="auto"/>
        </w:rPr>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r w:rsidR="0076678D">
        <w:t xml:space="preserve"> </w:t>
      </w:r>
      <w:bookmarkStart w:id="9" w:name="_GoBack"/>
      <w:bookmarkEnd w:id="9"/>
    </w:p>
    <w:sectPr w:rsidR="008920B2" w:rsidRPr="004916D2"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1D9C" w:rsidRDefault="003C1D9C" w:rsidP="00E7307D">
      <w:pPr>
        <w:spacing w:line="240" w:lineRule="auto"/>
      </w:pPr>
      <w:r>
        <w:separator/>
      </w:r>
    </w:p>
  </w:endnote>
  <w:endnote w:type="continuationSeparator" w:id="0">
    <w:p w:rsidR="003C1D9C" w:rsidRDefault="003C1D9C" w:rsidP="00E730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32F6C7DE-5190-4A83-8254-9C584C92D9A9}"/>
    <w:embedBold r:id="rId2" w:fontKey="{9AB513EF-C00F-4372-9723-877B71C7A055}"/>
    <w:embedItalic r:id="rId3" w:fontKey="{487AE66F-C779-421D-953F-84E3ADBC56E4}"/>
    <w:embedBoldItalic r:id="rId4" w:fontKey="{FD5C8DD8-F8F5-47E2-B2C0-6BA346F260B1}"/>
  </w:font>
  <w:font w:name="Tahoma">
    <w:panose1 w:val="020B0604030504040204"/>
    <w:charset w:val="00"/>
    <w:family w:val="swiss"/>
    <w:pitch w:val="variable"/>
    <w:sig w:usb0="E1002EFF" w:usb1="C000605B" w:usb2="00000029" w:usb3="00000000" w:csb0="000101FF" w:csb1="00000000"/>
    <w:embedRegular r:id="rId5" w:fontKey="{5DF1E4FA-EB80-4517-BAAB-285D37609BB3}"/>
  </w:font>
  <w:font w:name="Ubuntu Mono">
    <w:charset w:val="00"/>
    <w:family w:val="modern"/>
    <w:pitch w:val="fixed"/>
    <w:sig w:usb0="E00002FF" w:usb1="5000205B" w:usb2="00000000" w:usb3="00000000" w:csb0="0000009F" w:csb1="00000000"/>
    <w:embedRegular r:id="rId6" w:fontKey="{31342E59-588C-48A9-A998-113C9343E975}"/>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1D9C" w:rsidRDefault="003C1D9C" w:rsidP="00E7307D">
      <w:pPr>
        <w:spacing w:line="240" w:lineRule="auto"/>
      </w:pPr>
      <w:r>
        <w:separator/>
      </w:r>
    </w:p>
  </w:footnote>
  <w:footnote w:type="continuationSeparator" w:id="0">
    <w:p w:rsidR="003C1D9C" w:rsidRDefault="003C1D9C" w:rsidP="00E7307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pt;height:9pt" o:bullet="t">
        <v:imagedata r:id="rId1" o:title="BD10267_"/>
      </v:shape>
    </w:pict>
  </w:numPicBullet>
  <w:abstractNum w:abstractNumId="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C1D9C"/>
    <w:rsid w:val="003D6012"/>
    <w:rsid w:val="004716C4"/>
    <w:rsid w:val="00485D80"/>
    <w:rsid w:val="004916D2"/>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6678D"/>
    <w:rsid w:val="007752F6"/>
    <w:rsid w:val="008232BC"/>
    <w:rsid w:val="008920B2"/>
    <w:rsid w:val="0089543C"/>
    <w:rsid w:val="00895B71"/>
    <w:rsid w:val="008A3920"/>
    <w:rsid w:val="008F6D04"/>
    <w:rsid w:val="00900C98"/>
    <w:rsid w:val="00936DB5"/>
    <w:rsid w:val="009433A4"/>
    <w:rsid w:val="00973501"/>
    <w:rsid w:val="009A211E"/>
    <w:rsid w:val="009E5147"/>
    <w:rsid w:val="009F6841"/>
    <w:rsid w:val="00A127BD"/>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96E0A"/>
    <w:rsid w:val="00CF796F"/>
    <w:rsid w:val="00D036D8"/>
    <w:rsid w:val="00D17E3A"/>
    <w:rsid w:val="00D41AC9"/>
    <w:rsid w:val="00DD5C2C"/>
    <w:rsid w:val="00DE7024"/>
    <w:rsid w:val="00E24342"/>
    <w:rsid w:val="00E676D3"/>
    <w:rsid w:val="00E7307D"/>
    <w:rsid w:val="00EC322F"/>
    <w:rsid w:val="00EC53F3"/>
    <w:rsid w:val="00EC6052"/>
    <w:rsid w:val="00EE36B2"/>
    <w:rsid w:val="00EE394A"/>
    <w:rsid w:val="00F53871"/>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Ind w:w="0" w:type="dxa"/>
      <w:tblBorders>
        <w:insideV w:val="single" w:sz="4" w:space="0" w:color="95B3D7" w:themeColor="accent1" w:themeTint="99"/>
      </w:tblBorders>
      <w:tblCellMar>
        <w:top w:w="0" w:type="dxa"/>
        <w:left w:w="108" w:type="dxa"/>
        <w:bottom w:w="0" w:type="dxa"/>
        <w:right w:w="108" w:type="dxa"/>
      </w:tblCellMar>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Ind w:w="0" w:type="dxa"/>
      <w:tblCellMar>
        <w:top w:w="0" w:type="dxa"/>
        <w:left w:w="108" w:type="dxa"/>
        <w:bottom w:w="0" w:type="dxa"/>
        <w:right w:w="108" w:type="dxa"/>
      </w:tblCellMa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3" Type="http://schemas.openxmlformats.org/officeDocument/2006/relationships/numbering" Target="numbering.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theme" Target="theme/theme1.xml"/><Relationship Id="rId5" Type="http://schemas.microsoft.com/office/2007/relationships/stylesWithEffects" Target="stylesWithEffect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783F8A-0088-4C22-8A0E-FE84D1D68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8541</TotalTime>
  <Pages>3</Pages>
  <Words>784</Words>
  <Characters>4475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5249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MANIAZI</cp:lastModifiedBy>
  <cp:revision>83</cp:revision>
  <dcterms:created xsi:type="dcterms:W3CDTF">2013-06-05T07:56:00Z</dcterms:created>
  <dcterms:modified xsi:type="dcterms:W3CDTF">2017-11-16T13:22:00Z</dcterms:modified>
</cp:coreProperties>
</file>