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E9B57" w14:textId="77777777" w:rsidR="002057B7" w:rsidRPr="00773857" w:rsidRDefault="00AD0E56" w:rsidP="002057B7">
      <w:pPr>
        <w:jc w:val="center"/>
        <w:rPr>
          <w:rFonts w:ascii="Century Gothic" w:hAnsi="Century Gothic" w:cs="Arial"/>
          <w:b/>
          <w:sz w:val="28"/>
          <w:szCs w:val="28"/>
        </w:rPr>
      </w:pPr>
      <w:r w:rsidRPr="00773857">
        <w:rPr>
          <w:rFonts w:ascii="Century Gothic" w:hAnsi="Century Gothic" w:cs="Arial"/>
          <w:b/>
          <w:sz w:val="28"/>
          <w:szCs w:val="28"/>
        </w:rPr>
        <w:t>Intravenous Immune Globulin (IVIG) (</w:t>
      </w:r>
      <w:r w:rsidR="00D25716" w:rsidRPr="00773857">
        <w:rPr>
          <w:rFonts w:ascii="Century Gothic" w:hAnsi="Century Gothic" w:cs="Arial"/>
          <w:b/>
          <w:sz w:val="28"/>
          <w:szCs w:val="28"/>
        </w:rPr>
        <w:t>J</w:t>
      </w:r>
      <w:r w:rsidRPr="00773857">
        <w:rPr>
          <w:rFonts w:ascii="Century Gothic" w:hAnsi="Century Gothic" w:cs="Arial"/>
          <w:b/>
          <w:sz w:val="28"/>
          <w:szCs w:val="28"/>
        </w:rPr>
        <w:t>1566</w:t>
      </w:r>
      <w:r w:rsidR="00D25716" w:rsidRPr="00773857">
        <w:rPr>
          <w:rFonts w:ascii="Century Gothic" w:hAnsi="Century Gothic" w:cs="Arial"/>
          <w:b/>
          <w:sz w:val="28"/>
          <w:szCs w:val="28"/>
        </w:rPr>
        <w:t>, J1599</w:t>
      </w:r>
      <w:r w:rsidRPr="00773857">
        <w:rPr>
          <w:rFonts w:ascii="Century Gothic" w:hAnsi="Century Gothic" w:cs="Arial"/>
          <w:b/>
          <w:sz w:val="28"/>
          <w:szCs w:val="28"/>
        </w:rPr>
        <w:t>)</w:t>
      </w:r>
    </w:p>
    <w:p w14:paraId="2DDA5583" w14:textId="77777777" w:rsidR="00AD0E56" w:rsidRPr="009131F0" w:rsidRDefault="00AD0E56" w:rsidP="002057B7">
      <w:pPr>
        <w:jc w:val="center"/>
        <w:rPr>
          <w:rFonts w:ascii="Century Gothic" w:hAnsi="Century Gothic" w:cs="Arial"/>
          <w:sz w:val="20"/>
          <w:szCs w:val="20"/>
        </w:rPr>
      </w:pPr>
      <w:r w:rsidRPr="009131F0">
        <w:rPr>
          <w:rFonts w:ascii="Century Gothic" w:hAnsi="Century Gothic" w:cs="Arial"/>
          <w:b/>
          <w:sz w:val="20"/>
          <w:szCs w:val="20"/>
        </w:rPr>
        <w:t xml:space="preserve">Specific brand names: </w:t>
      </w:r>
      <w:r w:rsidR="008435A5" w:rsidRPr="009131F0">
        <w:rPr>
          <w:rFonts w:ascii="Century Gothic" w:hAnsi="Century Gothic" w:cs="Arial"/>
          <w:sz w:val="20"/>
          <w:szCs w:val="20"/>
        </w:rPr>
        <w:t xml:space="preserve">Flebogamma® (J1572), </w:t>
      </w:r>
      <w:r w:rsidRPr="009131F0">
        <w:rPr>
          <w:rFonts w:ascii="Century Gothic" w:hAnsi="Century Gothic" w:cs="Arial"/>
          <w:sz w:val="20"/>
          <w:szCs w:val="20"/>
        </w:rPr>
        <w:t xml:space="preserve">Gammagard® liquid (J1569), </w:t>
      </w:r>
      <w:r w:rsidR="008435A5" w:rsidRPr="009131F0">
        <w:rPr>
          <w:rFonts w:ascii="Century Gothic" w:hAnsi="Century Gothic" w:cs="Arial"/>
          <w:sz w:val="20"/>
          <w:szCs w:val="20"/>
        </w:rPr>
        <w:t xml:space="preserve">Gammaked® (J1569), </w:t>
      </w:r>
      <w:r w:rsidR="009131F0" w:rsidRPr="009131F0">
        <w:rPr>
          <w:rFonts w:ascii="Century Gothic" w:hAnsi="Century Gothic" w:cs="Arial"/>
          <w:sz w:val="20"/>
          <w:szCs w:val="20"/>
        </w:rPr>
        <w:t>Gammaplex</w:t>
      </w:r>
      <w:r w:rsidR="00256A12" w:rsidRPr="009131F0">
        <w:rPr>
          <w:rFonts w:ascii="Century Gothic" w:hAnsi="Century Gothic" w:cs="Arial"/>
          <w:sz w:val="20"/>
          <w:szCs w:val="20"/>
        </w:rPr>
        <w:t>®</w:t>
      </w:r>
      <w:r w:rsidR="009131F0" w:rsidRPr="009131F0">
        <w:rPr>
          <w:rFonts w:ascii="Century Gothic" w:hAnsi="Century Gothic" w:cs="Arial"/>
          <w:sz w:val="20"/>
          <w:szCs w:val="20"/>
        </w:rPr>
        <w:t xml:space="preserve"> (J1557), </w:t>
      </w:r>
      <w:r w:rsidRPr="009131F0">
        <w:rPr>
          <w:rFonts w:ascii="Century Gothic" w:hAnsi="Century Gothic" w:cs="Arial"/>
          <w:sz w:val="20"/>
          <w:szCs w:val="20"/>
        </w:rPr>
        <w:t>Gammunex® (J1561),</w:t>
      </w:r>
      <w:r w:rsidR="00DB22A5">
        <w:rPr>
          <w:rFonts w:ascii="Century Gothic" w:hAnsi="Century Gothic" w:cs="Arial"/>
          <w:sz w:val="20"/>
          <w:szCs w:val="20"/>
        </w:rPr>
        <w:t xml:space="preserve"> Gammaplex (J1557),</w:t>
      </w:r>
      <w:r w:rsidRPr="009131F0">
        <w:rPr>
          <w:rFonts w:ascii="Century Gothic" w:hAnsi="Century Gothic" w:cs="Arial"/>
          <w:sz w:val="20"/>
          <w:szCs w:val="20"/>
        </w:rPr>
        <w:t xml:space="preserve"> </w:t>
      </w:r>
      <w:r w:rsidR="009131F0" w:rsidRPr="009131F0">
        <w:rPr>
          <w:rFonts w:ascii="Century Gothic" w:hAnsi="Century Gothic" w:cs="Arial"/>
          <w:sz w:val="20"/>
          <w:szCs w:val="20"/>
        </w:rPr>
        <w:t xml:space="preserve">Octagam® (J1568), </w:t>
      </w:r>
      <w:r w:rsidRPr="009131F0">
        <w:rPr>
          <w:rFonts w:ascii="Century Gothic" w:hAnsi="Century Gothic" w:cs="Arial"/>
          <w:sz w:val="20"/>
          <w:szCs w:val="20"/>
        </w:rPr>
        <w:t>Privigen® (</w:t>
      </w:r>
      <w:r w:rsidR="001C1CA8" w:rsidRPr="009131F0">
        <w:rPr>
          <w:rFonts w:ascii="Century Gothic" w:hAnsi="Century Gothic" w:cs="Arial"/>
          <w:sz w:val="20"/>
          <w:szCs w:val="20"/>
        </w:rPr>
        <w:t>J1459</w:t>
      </w:r>
      <w:r w:rsidRPr="009131F0">
        <w:rPr>
          <w:rFonts w:ascii="Century Gothic" w:hAnsi="Century Gothic" w:cs="Arial"/>
          <w:sz w:val="20"/>
          <w:szCs w:val="20"/>
        </w:rPr>
        <w:t>), Cytogam® (</w:t>
      </w:r>
      <w:r w:rsidR="008435A5" w:rsidRPr="009131F0">
        <w:rPr>
          <w:rFonts w:ascii="Century Gothic" w:hAnsi="Century Gothic" w:cs="Arial"/>
          <w:sz w:val="20"/>
          <w:szCs w:val="20"/>
        </w:rPr>
        <w:t>J0850</w:t>
      </w:r>
      <w:r w:rsidRPr="009131F0">
        <w:rPr>
          <w:rFonts w:ascii="Century Gothic" w:hAnsi="Century Gothic" w:cs="Arial"/>
          <w:sz w:val="20"/>
          <w:szCs w:val="20"/>
        </w:rPr>
        <w:t>)</w:t>
      </w:r>
      <w:r w:rsidR="006F3BFD">
        <w:rPr>
          <w:rFonts w:ascii="Century Gothic" w:hAnsi="Century Gothic" w:cs="Arial"/>
          <w:sz w:val="20"/>
          <w:szCs w:val="20"/>
        </w:rPr>
        <w:t>, Bivi</w:t>
      </w:r>
      <w:r w:rsidR="006F3BFD" w:rsidRPr="009131F0">
        <w:rPr>
          <w:rFonts w:ascii="Century Gothic" w:hAnsi="Century Gothic" w:cs="Arial"/>
          <w:sz w:val="20"/>
          <w:szCs w:val="20"/>
        </w:rPr>
        <w:t>gam® (</w:t>
      </w:r>
      <w:r w:rsidR="006F3BFD">
        <w:rPr>
          <w:rFonts w:ascii="Century Gothic" w:hAnsi="Century Gothic" w:cs="Arial"/>
          <w:sz w:val="20"/>
          <w:szCs w:val="20"/>
        </w:rPr>
        <w:t>J1556)</w:t>
      </w:r>
    </w:p>
    <w:p w14:paraId="2C0F5490" w14:textId="77777777" w:rsidR="00AD0E56" w:rsidRPr="009131F0" w:rsidRDefault="00AD0E56" w:rsidP="002057B7">
      <w:pPr>
        <w:jc w:val="center"/>
        <w:rPr>
          <w:rFonts w:ascii="Century Gothic" w:hAnsi="Century Gothic" w:cs="Arial"/>
          <w:sz w:val="22"/>
          <w:szCs w:val="22"/>
        </w:rPr>
      </w:pPr>
    </w:p>
    <w:p w14:paraId="632BE736" w14:textId="77777777" w:rsidR="000428F8" w:rsidRPr="009131F0" w:rsidRDefault="002057B7" w:rsidP="004F636E">
      <w:pPr>
        <w:jc w:val="center"/>
        <w:rPr>
          <w:rFonts w:ascii="Century Gothic" w:hAnsi="Century Gothic" w:cs="Arial"/>
          <w:sz w:val="20"/>
          <w:szCs w:val="20"/>
        </w:rPr>
      </w:pPr>
      <w:r w:rsidRPr="009131F0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2651E6B9" w14:textId="77777777" w:rsidR="002F3048" w:rsidRPr="009131F0" w:rsidRDefault="004F636E" w:rsidP="004F636E">
      <w:pPr>
        <w:jc w:val="center"/>
        <w:rPr>
          <w:rFonts w:ascii="Century Gothic" w:hAnsi="Century Gothic" w:cs="Arial"/>
          <w:b/>
          <w:i/>
          <w:iCs/>
        </w:rPr>
      </w:pPr>
      <w:r w:rsidRPr="009131F0">
        <w:rPr>
          <w:rFonts w:ascii="Century Gothic" w:hAnsi="Century Gothic" w:cs="Arial"/>
          <w:b/>
          <w:i/>
          <w:iCs/>
        </w:rPr>
        <w:t>MD D</w:t>
      </w:r>
      <w:r w:rsidR="00E54422" w:rsidRPr="009131F0">
        <w:rPr>
          <w:rFonts w:ascii="Century Gothic" w:hAnsi="Century Gothic" w:cs="Arial"/>
          <w:b/>
          <w:i/>
          <w:iCs/>
        </w:rPr>
        <w:t>ETERMINATION FORM</w:t>
      </w:r>
    </w:p>
    <w:p w14:paraId="2F0D1476" w14:textId="77777777" w:rsidR="008E7F9E" w:rsidRPr="009131F0" w:rsidRDefault="008E7F9E" w:rsidP="004F636E">
      <w:pPr>
        <w:jc w:val="center"/>
        <w:rPr>
          <w:rFonts w:ascii="Century Gothic" w:hAnsi="Century Gothic" w:cs="Arial"/>
          <w:b/>
          <w:sz w:val="20"/>
          <w:szCs w:val="20"/>
        </w:rPr>
      </w:pPr>
    </w:p>
    <w:p w14:paraId="23D6B0C3" w14:textId="77777777" w:rsidR="00F209C3" w:rsidRPr="009131F0" w:rsidRDefault="00CE666E" w:rsidP="00511FC4">
      <w:pPr>
        <w:spacing w:before="120" w:after="120"/>
        <w:ind w:left="-360"/>
        <w:rPr>
          <w:rFonts w:ascii="Century Gothic" w:hAnsi="Century Gothic" w:cs="Arial"/>
          <w:sz w:val="20"/>
          <w:szCs w:val="20"/>
        </w:rPr>
      </w:pPr>
      <w:r w:rsidRPr="009131F0">
        <w:rPr>
          <w:rFonts w:ascii="Century Gothic" w:hAnsi="Century Gothic" w:cs="Arial"/>
          <w:b/>
          <w:sz w:val="20"/>
          <w:szCs w:val="20"/>
        </w:rPr>
        <w:t>Patient Name</w:t>
      </w:r>
      <w:r w:rsidR="00F209C3" w:rsidRPr="009131F0">
        <w:rPr>
          <w:rFonts w:ascii="Century Gothic" w:hAnsi="Century Gothic" w:cs="Arial"/>
          <w:b/>
          <w:sz w:val="20"/>
          <w:szCs w:val="20"/>
        </w:rPr>
        <w:t xml:space="preserve"> and ID Number:</w:t>
      </w:r>
      <w:r w:rsidR="002F3048" w:rsidRPr="009131F0">
        <w:rPr>
          <w:rFonts w:ascii="Century Gothic" w:hAnsi="Century Gothic" w:cs="Arial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2F3048" w:rsidRPr="009131F0">
        <w:rPr>
          <w:rFonts w:ascii="Century Gothic" w:hAnsi="Century Gothic" w:cs="Arial"/>
          <w:sz w:val="20"/>
          <w:szCs w:val="20"/>
        </w:rPr>
        <w:instrText xml:space="preserve"> FORMTEXT </w:instrText>
      </w:r>
      <w:r w:rsidR="002F3048" w:rsidRPr="009131F0">
        <w:rPr>
          <w:rFonts w:ascii="Century Gothic" w:hAnsi="Century Gothic" w:cs="Arial"/>
          <w:sz w:val="20"/>
          <w:szCs w:val="20"/>
        </w:rPr>
      </w:r>
      <w:r w:rsidR="002F3048" w:rsidRPr="009131F0">
        <w:rPr>
          <w:rFonts w:ascii="Century Gothic" w:hAnsi="Century Gothic" w:cs="Arial"/>
          <w:sz w:val="20"/>
          <w:szCs w:val="20"/>
        </w:rPr>
        <w:fldChar w:fldCharType="separate"/>
      </w:r>
      <w:bookmarkStart w:id="1" w:name="_GoBack"/>
      <w:bookmarkEnd w:id="1"/>
      <w:r w:rsidR="002F3048" w:rsidRPr="009131F0">
        <w:rPr>
          <w:rFonts w:ascii="Arial" w:hAnsi="Arial" w:cs="Arial"/>
          <w:noProof/>
          <w:sz w:val="20"/>
          <w:szCs w:val="20"/>
        </w:rPr>
        <w:t> </w:t>
      </w:r>
      <w:r w:rsidR="002F3048" w:rsidRPr="009131F0">
        <w:rPr>
          <w:rFonts w:ascii="Arial" w:hAnsi="Arial" w:cs="Arial"/>
          <w:noProof/>
          <w:sz w:val="20"/>
          <w:szCs w:val="20"/>
        </w:rPr>
        <w:t> </w:t>
      </w:r>
      <w:r w:rsidR="002F3048" w:rsidRPr="009131F0">
        <w:rPr>
          <w:rFonts w:ascii="Arial" w:hAnsi="Arial" w:cs="Arial"/>
          <w:noProof/>
          <w:sz w:val="20"/>
          <w:szCs w:val="20"/>
        </w:rPr>
        <w:t> </w:t>
      </w:r>
      <w:r w:rsidR="002F3048" w:rsidRPr="009131F0">
        <w:rPr>
          <w:rFonts w:ascii="Arial" w:hAnsi="Arial" w:cs="Arial"/>
          <w:noProof/>
          <w:sz w:val="20"/>
          <w:szCs w:val="20"/>
        </w:rPr>
        <w:t> </w:t>
      </w:r>
      <w:r w:rsidR="002F3048" w:rsidRPr="009131F0">
        <w:rPr>
          <w:rFonts w:ascii="Arial" w:hAnsi="Arial" w:cs="Arial"/>
          <w:noProof/>
          <w:sz w:val="20"/>
          <w:szCs w:val="20"/>
        </w:rPr>
        <w:t> </w:t>
      </w:r>
      <w:r w:rsidR="002F3048" w:rsidRPr="009131F0">
        <w:rPr>
          <w:rFonts w:ascii="Century Gothic" w:hAnsi="Century Gothic" w:cs="Arial"/>
          <w:sz w:val="20"/>
          <w:szCs w:val="20"/>
        </w:rPr>
        <w:fldChar w:fldCharType="end"/>
      </w:r>
      <w:bookmarkEnd w:id="0"/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  <w:gridCol w:w="1044"/>
      </w:tblGrid>
      <w:tr w:rsidR="00BE0B31" w:rsidRPr="008B671F" w14:paraId="260F9EC6" w14:textId="77777777" w:rsidTr="008B671F">
        <w:tc>
          <w:tcPr>
            <w:tcW w:w="9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7E47DDA9" w14:textId="77777777" w:rsidR="00BE0B31" w:rsidRPr="008B671F" w:rsidRDefault="00BE0B31" w:rsidP="008B671F">
            <w:pPr>
              <w:spacing w:before="60" w:after="6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t xml:space="preserve">I.    Determination :   </w:t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end"/>
            </w:r>
            <w:bookmarkEnd w:id="2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t xml:space="preserve">  Approve          </w:t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end"/>
            </w:r>
            <w:bookmarkEnd w:id="3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t xml:space="preserve">  Deny            </w:t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end"/>
            </w:r>
            <w:bookmarkEnd w:id="4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t xml:space="preserve">  Modify</w:t>
            </w:r>
          </w:p>
        </w:tc>
      </w:tr>
      <w:tr w:rsidR="00BE0B31" w:rsidRPr="008B671F" w14:paraId="0FD474D6" w14:textId="77777777" w:rsidTr="008B671F">
        <w:tc>
          <w:tcPr>
            <w:tcW w:w="9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404AC781" w14:textId="77777777" w:rsidR="00BE0B31" w:rsidRPr="008B671F" w:rsidRDefault="00BE0B31" w:rsidP="008B671F">
            <w:pPr>
              <w:spacing w:before="60" w:after="6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t>II.   Principle Reason (Main Reason for Determination)</w:t>
            </w:r>
          </w:p>
        </w:tc>
      </w:tr>
      <w:tr w:rsidR="00B24E64" w:rsidRPr="008B671F" w14:paraId="18D4B39A" w14:textId="77777777" w:rsidTr="008B671F">
        <w:trPr>
          <w:trHeight w:val="2202"/>
        </w:trPr>
        <w:tc>
          <w:tcPr>
            <w:tcW w:w="99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92E877" w14:textId="77777777" w:rsidR="00B24E64" w:rsidRPr="008B671F" w:rsidRDefault="00B24E64" w:rsidP="008B671F">
            <w:pPr>
              <w:spacing w:before="120"/>
              <w:ind w:left="432" w:hanging="360"/>
              <w:rPr>
                <w:rFonts w:ascii="Century Gothic" w:hAnsi="Century Gothic"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end"/>
            </w:r>
            <w:bookmarkEnd w:id="5"/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B60C76" w:rsidRPr="008B671F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The patient’s condition does not meet the criteria for the use of </w:t>
            </w:r>
            <w:r w:rsidR="00AD0E56" w:rsidRPr="008B671F">
              <w:rPr>
                <w:rFonts w:ascii="Century Gothic" w:hAnsi="Century Gothic" w:cs="Arial"/>
                <w:sz w:val="20"/>
                <w:szCs w:val="20"/>
              </w:rPr>
              <w:t>intravenous immune globulin</w:t>
            </w:r>
            <w:r w:rsidR="00427C5C" w:rsidRPr="008B671F">
              <w:rPr>
                <w:rFonts w:ascii="Century Gothic" w:hAnsi="Century Gothic" w:cs="Arial"/>
                <w:sz w:val="20"/>
                <w:szCs w:val="20"/>
              </w:rPr>
              <w:t xml:space="preserve"> (</w:t>
            </w:r>
            <w:r w:rsidR="00AD0E56" w:rsidRPr="008B671F">
              <w:rPr>
                <w:rFonts w:ascii="Century Gothic" w:hAnsi="Century Gothic" w:cs="Arial"/>
                <w:sz w:val="20"/>
                <w:szCs w:val="20"/>
              </w:rPr>
              <w:t>IVIG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>) as established by the Blue Shield of California Pharmacy and Therapeutics Committee, the manufacturer, and/or the FDA indications for usage. (EOB A460)</w:t>
            </w:r>
          </w:p>
          <w:p w14:paraId="72ED1C4E" w14:textId="77777777" w:rsidR="00B24E64" w:rsidRPr="008B671F" w:rsidRDefault="00B24E64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end"/>
            </w:r>
            <w:bookmarkEnd w:id="6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r w:rsidR="00B60C76" w:rsidRPr="008B671F"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The medical need for </w:t>
            </w:r>
            <w:r w:rsidR="00AD0E56" w:rsidRPr="008B671F">
              <w:rPr>
                <w:rFonts w:ascii="Century Gothic" w:hAnsi="Century Gothic" w:cs="Arial"/>
                <w:sz w:val="20"/>
                <w:szCs w:val="20"/>
              </w:rPr>
              <w:t>intravenous immune globulin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(</w:t>
            </w:r>
            <w:r w:rsidR="00AD0E56" w:rsidRPr="008B671F">
              <w:rPr>
                <w:rFonts w:ascii="Century Gothic" w:hAnsi="Century Gothic" w:cs="Arial"/>
                <w:sz w:val="20"/>
                <w:szCs w:val="20"/>
              </w:rPr>
              <w:t>IVIG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>) has not been established following review of the documentation submitted. (A009)</w:t>
            </w:r>
          </w:p>
          <w:p w14:paraId="0D63DEF0" w14:textId="77777777" w:rsidR="00B24E64" w:rsidRPr="008B671F" w:rsidRDefault="00B24E64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end"/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r w:rsidR="00B60C76" w:rsidRPr="008B671F"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The use of </w:t>
            </w:r>
            <w:r w:rsidR="00AD0E56" w:rsidRPr="008B671F">
              <w:rPr>
                <w:rFonts w:ascii="Century Gothic" w:hAnsi="Century Gothic" w:cs="Arial"/>
                <w:sz w:val="20"/>
                <w:szCs w:val="20"/>
              </w:rPr>
              <w:t>intravenous immune globulin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(</w:t>
            </w:r>
            <w:r w:rsidR="00AD0E56" w:rsidRPr="008B671F">
              <w:rPr>
                <w:rFonts w:ascii="Century Gothic" w:hAnsi="Century Gothic" w:cs="Arial"/>
                <w:sz w:val="20"/>
                <w:szCs w:val="20"/>
              </w:rPr>
              <w:t>IVIG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>) in this condition is considered to be investigational or experimental as it is not in accord with BSC Injectable Medication Policy. (A461)</w:t>
            </w:r>
          </w:p>
          <w:p w14:paraId="4B6C67BE" w14:textId="77777777" w:rsidR="00B24E64" w:rsidRPr="005A21C5" w:rsidRDefault="00B24E64" w:rsidP="005A21C5">
            <w:pPr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end"/>
            </w:r>
            <w:bookmarkEnd w:id="7"/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B60C76" w:rsidRPr="008B671F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>Other: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8"/>
          </w:p>
        </w:tc>
      </w:tr>
      <w:tr w:rsidR="00B24E64" w:rsidRPr="008B671F" w14:paraId="5A3E1D5F" w14:textId="77777777" w:rsidTr="008B671F">
        <w:tc>
          <w:tcPr>
            <w:tcW w:w="990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32FACAAD" w14:textId="77777777" w:rsidR="00B24E64" w:rsidRPr="008B671F" w:rsidRDefault="00B24E64" w:rsidP="008B671F">
            <w:pPr>
              <w:spacing w:before="60" w:after="6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t>III.   Clinical Rationale (Supporting Rationale for Principle Reason):</w:t>
            </w:r>
          </w:p>
        </w:tc>
      </w:tr>
      <w:tr w:rsidR="002057B7" w:rsidRPr="008B671F" w14:paraId="21F0F51F" w14:textId="77777777" w:rsidTr="008B671F">
        <w:trPr>
          <w:trHeight w:val="3660"/>
        </w:trPr>
        <w:tc>
          <w:tcPr>
            <w:tcW w:w="99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F9AD24" w14:textId="77777777" w:rsidR="002057B7" w:rsidRDefault="00AD0E56" w:rsidP="008B671F">
            <w:pPr>
              <w:spacing w:before="40" w:after="4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INITIATION OF THERAPY</w:t>
            </w:r>
          </w:p>
          <w:p w14:paraId="5473F992" w14:textId="77777777" w:rsidR="00751A71" w:rsidRPr="005A21C5" w:rsidRDefault="00751A71" w:rsidP="00751A71">
            <w:pPr>
              <w:spacing w:before="120"/>
              <w:rPr>
                <w:rFonts w:ascii="Century Gothic" w:hAnsi="Century Gothic" w:cs="Arial"/>
                <w:sz w:val="20"/>
                <w:u w:val="single"/>
                <w:lang w:val="en-GB"/>
              </w:rPr>
            </w:pPr>
            <w:r w:rsidRPr="005A21C5">
              <w:rPr>
                <w:rFonts w:ascii="Century Gothic" w:hAnsi="Century Gothic" w:cs="Arial"/>
                <w:b/>
                <w:sz w:val="20"/>
                <w:u w:val="single"/>
              </w:rPr>
              <w:t>Autoimmune mucotaneous blistering diseases (AMBDs)</w:t>
            </w:r>
          </w:p>
          <w:p w14:paraId="003A386D" w14:textId="77777777" w:rsidR="00A778DB" w:rsidRPr="005A21C5" w:rsidRDefault="00751A71" w:rsidP="00A778DB">
            <w:pPr>
              <w:spacing w:before="120"/>
              <w:rPr>
                <w:rFonts w:ascii="Century Gothic" w:hAnsi="Century Gothic" w:cs="Arial"/>
                <w:sz w:val="20"/>
                <w:u w:val="single"/>
                <w:lang w:val="en-GB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</w:t>
            </w:r>
            <w:r w:rsidR="00D24FE2" w:rsidRPr="005A21C5">
              <w:rPr>
                <w:rFonts w:ascii="Century Gothic" w:hAnsi="Century Gothic" w:cs="Arial"/>
                <w:sz w:val="20"/>
                <w:szCs w:val="20"/>
              </w:rPr>
              <w:t xml:space="preserve">does not indicate that </w:t>
            </w:r>
            <w:r w:rsidR="00F9403F" w:rsidRPr="005A21C5">
              <w:rPr>
                <w:rFonts w:ascii="Century Gothic" w:hAnsi="Century Gothic" w:cs="Arial"/>
                <w:sz w:val="20"/>
                <w:szCs w:val="20"/>
              </w:rPr>
              <w:t>laboratory testing</w:t>
            </w:r>
            <w:r w:rsidR="00D24FE2" w:rsidRPr="005A21C5">
              <w:rPr>
                <w:rFonts w:ascii="Century Gothic" w:hAnsi="Century Gothic" w:cs="Arial"/>
                <w:sz w:val="20"/>
                <w:szCs w:val="20"/>
              </w:rPr>
              <w:t xml:space="preserve"> was done to confirm your diagnosis.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F9403F" w:rsidRPr="005A21C5">
              <w:rPr>
                <w:rFonts w:ascii="Century Gothic" w:hAnsi="Century Gothic" w:cs="Arial"/>
                <w:sz w:val="20"/>
                <w:szCs w:val="20"/>
              </w:rPr>
              <w:t xml:space="preserve"> Coverage of IVIG requires that laboratory testing be done on the tissue or fluid from a lesion to establish the diagnosis. </w:t>
            </w:r>
          </w:p>
          <w:p w14:paraId="54934DAB" w14:textId="77777777" w:rsidR="00A778DB" w:rsidRPr="005A21C5" w:rsidRDefault="00751A71" w:rsidP="00A778DB">
            <w:pPr>
              <w:spacing w:before="120"/>
              <w:rPr>
                <w:rFonts w:ascii="Century Gothic" w:hAnsi="Century Gothic" w:cs="Arial"/>
                <w:sz w:val="20"/>
                <w:u w:val="single"/>
                <w:lang w:val="en-GB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provided by </w:t>
            </w:r>
            <w:r w:rsidR="00A778DB" w:rsidRPr="005A21C5">
              <w:rPr>
                <w:rFonts w:ascii="Century Gothic" w:hAnsi="Century Gothic" w:cs="Arial"/>
                <w:sz w:val="20"/>
                <w:szCs w:val="20"/>
              </w:rPr>
              <w:t>your physician does not indicate that</w:t>
            </w:r>
            <w:r w:rsidR="00F9403F" w:rsidRPr="005A21C5">
              <w:rPr>
                <w:rFonts w:ascii="Century Gothic" w:hAnsi="Century Gothic" w:cs="Arial"/>
                <w:sz w:val="20"/>
                <w:szCs w:val="20"/>
              </w:rPr>
              <w:t xml:space="preserve"> you have</w:t>
            </w:r>
            <w:r w:rsidR="00A778DB"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F9403F" w:rsidRPr="005A21C5">
              <w:rPr>
                <w:rFonts w:ascii="Century Gothic" w:hAnsi="Century Gothic" w:cs="Arial"/>
                <w:sz w:val="20"/>
                <w:szCs w:val="20"/>
              </w:rPr>
              <w:t>tried</w:t>
            </w:r>
            <w:r w:rsidR="00A778DB" w:rsidRPr="005A21C5">
              <w:rPr>
                <w:rFonts w:ascii="Century Gothic" w:hAnsi="Century Gothic" w:cs="Arial"/>
                <w:sz w:val="20"/>
                <w:szCs w:val="20"/>
              </w:rPr>
              <w:t xml:space="preserve"> an immunosuppressant</w:t>
            </w:r>
            <w:r w:rsidR="00F9403F" w:rsidRPr="005A21C5">
              <w:rPr>
                <w:rFonts w:ascii="Century Gothic" w:hAnsi="Century Gothic" w:cs="Arial"/>
                <w:sz w:val="20"/>
                <w:szCs w:val="20"/>
              </w:rPr>
              <w:t xml:space="preserve"> (a medication that reduces the </w:t>
            </w:r>
            <w:r w:rsidR="00005E0C" w:rsidRPr="005A21C5">
              <w:rPr>
                <w:rFonts w:ascii="Century Gothic" w:hAnsi="Century Gothic" w:cs="Arial"/>
                <w:sz w:val="20"/>
                <w:szCs w:val="20"/>
              </w:rPr>
              <w:t xml:space="preserve">activity </w:t>
            </w:r>
            <w:r w:rsidR="00F9403F" w:rsidRPr="005A21C5">
              <w:rPr>
                <w:rFonts w:ascii="Century Gothic" w:hAnsi="Century Gothic" w:cs="Arial"/>
                <w:sz w:val="20"/>
                <w:szCs w:val="20"/>
              </w:rPr>
              <w:t xml:space="preserve"> of your immune system</w:t>
            </w:r>
            <w:r w:rsidR="00957EFE" w:rsidRPr="005A21C5">
              <w:rPr>
                <w:rFonts w:ascii="Century Gothic" w:hAnsi="Century Gothic" w:cs="Arial"/>
                <w:sz w:val="20"/>
                <w:szCs w:val="20"/>
              </w:rPr>
              <w:t>).  If you are not able to take these agents, your physician should submit chart notes explaining why they are not a</w:t>
            </w:r>
            <w:r w:rsidR="00005E0C" w:rsidRPr="005A21C5">
              <w:rPr>
                <w:rFonts w:ascii="Century Gothic" w:hAnsi="Century Gothic" w:cs="Arial"/>
                <w:sz w:val="20"/>
                <w:szCs w:val="20"/>
              </w:rPr>
              <w:t>n</w:t>
            </w:r>
            <w:r w:rsidR="00957EFE" w:rsidRPr="005A21C5">
              <w:rPr>
                <w:rFonts w:ascii="Century Gothic" w:hAnsi="Century Gothic" w:cs="Arial"/>
                <w:sz w:val="20"/>
                <w:szCs w:val="20"/>
              </w:rPr>
              <w:t xml:space="preserve"> option for you.</w:t>
            </w:r>
          </w:p>
          <w:p w14:paraId="32176912" w14:textId="77777777" w:rsidR="00957EFE" w:rsidRPr="005A21C5" w:rsidRDefault="00751A71" w:rsidP="00957EFE">
            <w:pPr>
              <w:spacing w:before="120"/>
              <w:rPr>
                <w:rFonts w:ascii="Century Gothic" w:hAnsi="Century Gothic" w:cs="Arial"/>
                <w:sz w:val="20"/>
                <w:u w:val="single"/>
                <w:lang w:val="en-GB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57EFE"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57EFE"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="00957EFE"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="00957EFE"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provided by your physician does not indicate that you have taken a corticosteroid medication either by mouth or injection.  If you are not able to take these agents, your physician should submit chart notes explaining why they are not a option for you.</w:t>
            </w:r>
          </w:p>
          <w:p w14:paraId="4726B87F" w14:textId="77777777" w:rsidR="00751A71" w:rsidRPr="005A21C5" w:rsidRDefault="00751A71" w:rsidP="008B671F">
            <w:pPr>
              <w:spacing w:before="40" w:after="4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</w:p>
          <w:p w14:paraId="3380BBA0" w14:textId="77777777" w:rsidR="00686D00" w:rsidRPr="005A21C5" w:rsidRDefault="00686D00" w:rsidP="004315FB">
            <w:pPr>
              <w:spacing w:before="40" w:after="4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Chronic Lymphocytic Leukemia</w:t>
            </w:r>
          </w:p>
          <w:p w14:paraId="6CAABAA5" w14:textId="77777777" w:rsidR="00686D00" w:rsidRPr="005A21C5" w:rsidRDefault="00686D00" w:rsidP="004315F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provided by your physician does not </w:t>
            </w:r>
            <w:r w:rsidR="00D8497F" w:rsidRPr="005A21C5">
              <w:rPr>
                <w:rFonts w:ascii="Century Gothic" w:hAnsi="Century Gothic" w:cs="Arial"/>
                <w:sz w:val="20"/>
                <w:szCs w:val="20"/>
              </w:rPr>
              <w:t>indicate that you have a primary diagnosis of c</w:t>
            </w:r>
            <w:r w:rsidR="00912081" w:rsidRPr="005A21C5">
              <w:rPr>
                <w:rFonts w:ascii="Century Gothic" w:hAnsi="Century Gothic" w:cs="Arial"/>
                <w:sz w:val="20"/>
                <w:szCs w:val="20"/>
              </w:rPr>
              <w:t xml:space="preserve">hronic lymphocytic leukemia (CLL) with </w:t>
            </w:r>
            <w:r w:rsidR="00D8497F" w:rsidRPr="005A21C5">
              <w:rPr>
                <w:rFonts w:ascii="Century Gothic" w:hAnsi="Century Gothic" w:cs="Arial"/>
                <w:sz w:val="20"/>
                <w:szCs w:val="20"/>
              </w:rPr>
              <w:t xml:space="preserve">either </w:t>
            </w:r>
            <w:r w:rsidR="00912081" w:rsidRPr="005A21C5">
              <w:rPr>
                <w:rFonts w:ascii="Century Gothic" w:hAnsi="Century Gothic" w:cs="Arial"/>
                <w:sz w:val="20"/>
                <w:szCs w:val="20"/>
              </w:rPr>
              <w:t xml:space="preserve">a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history of </w:t>
            </w:r>
            <w:r w:rsidR="00707585" w:rsidRPr="005A21C5">
              <w:rPr>
                <w:rFonts w:ascii="Century Gothic" w:hAnsi="Century Gothic" w:cs="Arial"/>
                <w:sz w:val="20"/>
                <w:szCs w:val="20"/>
              </w:rPr>
              <w:t>low</w:t>
            </w:r>
            <w:r w:rsidR="00D8497F" w:rsidRPr="005A21C5">
              <w:rPr>
                <w:rFonts w:ascii="Century Gothic" w:hAnsi="Century Gothic" w:cs="Arial"/>
                <w:sz w:val="20"/>
                <w:szCs w:val="20"/>
              </w:rPr>
              <w:t xml:space="preserve"> gammaglobulin (</w:t>
            </w:r>
            <w:r w:rsidR="00707585" w:rsidRPr="005A21C5">
              <w:rPr>
                <w:rFonts w:ascii="Century Gothic" w:hAnsi="Century Gothic" w:cs="Arial"/>
                <w:sz w:val="20"/>
                <w:szCs w:val="20"/>
              </w:rPr>
              <w:t xml:space="preserve"> IgG</w:t>
            </w:r>
            <w:r w:rsidR="00D8497F" w:rsidRPr="005A21C5">
              <w:rPr>
                <w:rFonts w:ascii="Century Gothic" w:hAnsi="Century Gothic" w:cs="Arial"/>
                <w:sz w:val="20"/>
                <w:szCs w:val="20"/>
              </w:rPr>
              <w:t>)</w:t>
            </w:r>
            <w:r w:rsidR="00707585" w:rsidRPr="005A21C5">
              <w:rPr>
                <w:rFonts w:ascii="Century Gothic" w:hAnsi="Century Gothic" w:cs="Arial"/>
                <w:sz w:val="20"/>
                <w:szCs w:val="20"/>
              </w:rPr>
              <w:t xml:space="preserve"> levels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57EFE" w:rsidRPr="005A21C5">
              <w:rPr>
                <w:rFonts w:ascii="Century Gothic" w:hAnsi="Century Gothic" w:cs="Arial"/>
                <w:sz w:val="20"/>
                <w:szCs w:val="20"/>
              </w:rPr>
              <w:t xml:space="preserve">or </w:t>
            </w:r>
            <w:r w:rsidR="00D8497F" w:rsidRPr="005A21C5">
              <w:rPr>
                <w:rFonts w:ascii="Century Gothic" w:hAnsi="Century Gothic" w:cs="Arial"/>
                <w:sz w:val="20"/>
                <w:szCs w:val="20"/>
              </w:rPr>
              <w:t>a history of</w:t>
            </w:r>
            <w:r w:rsidR="00957EFE"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D8497F" w:rsidRPr="005A21C5">
              <w:rPr>
                <w:rFonts w:ascii="Century Gothic" w:hAnsi="Century Gothic" w:cs="Arial"/>
                <w:sz w:val="20"/>
                <w:szCs w:val="20"/>
              </w:rPr>
              <w:t>multiple</w:t>
            </w:r>
            <w:r w:rsidR="00957EFE" w:rsidRPr="005A21C5">
              <w:rPr>
                <w:rFonts w:ascii="Century Gothic" w:hAnsi="Century Gothic" w:cs="Arial"/>
                <w:sz w:val="20"/>
                <w:szCs w:val="20"/>
              </w:rPr>
              <w:t xml:space="preserve"> bacterial infections.</w:t>
            </w:r>
          </w:p>
          <w:p w14:paraId="6CC73DC1" w14:textId="77777777" w:rsidR="00686D00" w:rsidRPr="005A21C5" w:rsidRDefault="00686D00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</w:p>
          <w:p w14:paraId="32991205" w14:textId="77777777" w:rsidR="00686D00" w:rsidRPr="005A21C5" w:rsidRDefault="00686D00" w:rsidP="004315FB">
            <w:pPr>
              <w:spacing w:before="40" w:after="4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Chronic Inflammatory Demyelinating Polyneuropathy and its variants</w:t>
            </w:r>
          </w:p>
          <w:p w14:paraId="35551BDD" w14:textId="77777777" w:rsidR="00686D00" w:rsidRPr="005A21C5" w:rsidRDefault="00686D00" w:rsidP="004315F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provided by your physician does not indicate that the diagnosis was confirmed by a neurologist </w:t>
            </w:r>
            <w:r w:rsidR="00D8497F" w:rsidRPr="005A21C5">
              <w:rPr>
                <w:rFonts w:ascii="Century Gothic" w:hAnsi="Century Gothic" w:cs="Arial"/>
                <w:sz w:val="20"/>
                <w:szCs w:val="20"/>
              </w:rPr>
              <w:t>using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nerve conduction studies.</w:t>
            </w:r>
          </w:p>
          <w:p w14:paraId="1D1AC328" w14:textId="77777777" w:rsidR="00686D00" w:rsidRPr="005A21C5" w:rsidRDefault="00686D00" w:rsidP="004315F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provided by your physician does not indicate that you have </w:t>
            </w:r>
            <w:r w:rsidR="004315FB" w:rsidRPr="005A21C5">
              <w:rPr>
                <w:rFonts w:ascii="Century Gothic" w:hAnsi="Century Gothic" w:cs="Arial"/>
                <w:sz w:val="20"/>
                <w:szCs w:val="20"/>
              </w:rPr>
              <w:t>experienced at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least 2 of the following:  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>decrease in sensation or</w:t>
            </w:r>
            <w:r w:rsidR="004F33FF" w:rsidRPr="005A21C5">
              <w:rPr>
                <w:rFonts w:ascii="Century Gothic" w:hAnsi="Century Gothic" w:cs="Arial"/>
                <w:sz w:val="20"/>
                <w:szCs w:val="20"/>
              </w:rPr>
              <w:t xml:space="preserve"> movement o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 xml:space="preserve">f your affected arm(s) or leg(s) that developed over at least 2 months, lack of reflexes in the affected arm(s) or leg(s), a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biopsy showing clear evidence of nerve damage and repair (demyelination and remyelination), 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 xml:space="preserve">and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a 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>cerebrospinal fluid(CSF) lab showing a cell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count less than 10/mm-3, or a CSF 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 xml:space="preserve">lab showing a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>cell count less than 50/mm-3 if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 xml:space="preserve"> you are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HIV positive.</w:t>
            </w:r>
          </w:p>
          <w:p w14:paraId="26BD8F27" w14:textId="77777777" w:rsidR="008A4076" w:rsidRPr="005A21C5" w:rsidRDefault="008A4076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  <w:u w:val="single"/>
              </w:rPr>
            </w:pPr>
          </w:p>
          <w:p w14:paraId="512998CB" w14:textId="77777777" w:rsidR="00686D00" w:rsidRPr="005A21C5" w:rsidRDefault="00686D00" w:rsidP="008B671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lastRenderedPageBreak/>
              <w:t>Guillian-Barre Syndrome</w:t>
            </w:r>
          </w:p>
          <w:p w14:paraId="43D7847B" w14:textId="77777777" w:rsidR="00686D00" w:rsidRPr="005A21C5" w:rsidRDefault="00686D00" w:rsidP="004315F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</w:t>
            </w:r>
            <w:r w:rsidR="00AE5B97" w:rsidRPr="005A21C5">
              <w:rPr>
                <w:rFonts w:ascii="Century Gothic" w:hAnsi="Century Gothic" w:cs="Arial"/>
                <w:sz w:val="20"/>
                <w:szCs w:val="20"/>
              </w:rPr>
              <w:t xml:space="preserve">ion provided by your physician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indicates it has been greater than 4 weeks since you were diagnosed with Guillian-Barre syndrome.  </w:t>
            </w:r>
            <w:r w:rsidR="00A92A18" w:rsidRPr="005A21C5">
              <w:rPr>
                <w:rFonts w:ascii="Century Gothic" w:hAnsi="Century Gothic" w:cs="Arial"/>
                <w:sz w:val="20"/>
                <w:szCs w:val="20"/>
              </w:rPr>
              <w:t>A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 xml:space="preserve">merican </w:t>
            </w:r>
            <w:r w:rsidR="00A92A18" w:rsidRPr="005A21C5">
              <w:rPr>
                <w:rFonts w:ascii="Century Gothic" w:hAnsi="Century Gothic" w:cs="Arial"/>
                <w:sz w:val="20"/>
                <w:szCs w:val="20"/>
              </w:rPr>
              <w:t>A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 xml:space="preserve">cademy of </w:t>
            </w:r>
            <w:r w:rsidR="00A92A18" w:rsidRPr="005A21C5">
              <w:rPr>
                <w:rFonts w:ascii="Century Gothic" w:hAnsi="Century Gothic" w:cs="Arial"/>
                <w:sz w:val="20"/>
                <w:szCs w:val="20"/>
              </w:rPr>
              <w:t>N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>eurology</w:t>
            </w:r>
            <w:r w:rsidR="00A92A18" w:rsidRPr="005A21C5">
              <w:rPr>
                <w:rFonts w:ascii="Century Gothic" w:hAnsi="Century Gothic" w:cs="Arial"/>
                <w:sz w:val="20"/>
                <w:szCs w:val="20"/>
              </w:rPr>
              <w:t xml:space="preserve"> guidelines for </w:t>
            </w:r>
            <w:r w:rsidR="004315FB" w:rsidRPr="005A21C5">
              <w:rPr>
                <w:rFonts w:ascii="Century Gothic" w:hAnsi="Century Gothic" w:cs="Arial"/>
                <w:sz w:val="20"/>
                <w:szCs w:val="20"/>
              </w:rPr>
              <w:t>treatment</w:t>
            </w:r>
            <w:r w:rsidR="00A92A18" w:rsidRPr="005A21C5">
              <w:rPr>
                <w:rFonts w:ascii="Century Gothic" w:hAnsi="Century Gothic" w:cs="Arial"/>
                <w:sz w:val="20"/>
                <w:szCs w:val="20"/>
              </w:rPr>
              <w:t xml:space="preserve"> of Guillian-Barre syndrome state that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IVIG treatment </w:t>
            </w:r>
            <w:r w:rsidR="00005E0C" w:rsidRPr="005A21C5">
              <w:rPr>
                <w:rFonts w:ascii="Century Gothic" w:hAnsi="Century Gothic" w:cs="Arial"/>
                <w:sz w:val="20"/>
                <w:szCs w:val="20"/>
              </w:rPr>
              <w:t>is most effective if it has been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given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 xml:space="preserve"> within </w:t>
            </w:r>
            <w:r w:rsidR="00005E0C" w:rsidRPr="005A21C5">
              <w:rPr>
                <w:rFonts w:ascii="Century Gothic" w:hAnsi="Century Gothic" w:cs="Arial"/>
                <w:sz w:val="20"/>
                <w:szCs w:val="20"/>
              </w:rPr>
              <w:t xml:space="preserve">the first </w:t>
            </w:r>
            <w:r w:rsidR="005D22E8" w:rsidRPr="005A21C5">
              <w:rPr>
                <w:rFonts w:ascii="Century Gothic" w:hAnsi="Century Gothic" w:cs="Arial"/>
                <w:sz w:val="20"/>
                <w:szCs w:val="20"/>
              </w:rPr>
              <w:t xml:space="preserve">4 weeks </w:t>
            </w:r>
            <w:r w:rsidR="00005E0C" w:rsidRPr="005A21C5">
              <w:rPr>
                <w:rFonts w:ascii="Century Gothic" w:hAnsi="Century Gothic" w:cs="Arial"/>
                <w:sz w:val="20"/>
                <w:szCs w:val="20"/>
              </w:rPr>
              <w:t>that you experience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symptoms </w:t>
            </w:r>
            <w:r w:rsidR="00005E0C" w:rsidRPr="005A21C5">
              <w:rPr>
                <w:rFonts w:ascii="Century Gothic" w:hAnsi="Century Gothic" w:cs="Arial"/>
                <w:sz w:val="20"/>
                <w:szCs w:val="20"/>
              </w:rPr>
              <w:t>relat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ed </w:t>
            </w:r>
            <w:r w:rsidR="00005E0C" w:rsidRPr="005A21C5">
              <w:rPr>
                <w:rFonts w:ascii="Century Gothic" w:hAnsi="Century Gothic" w:cs="Arial"/>
                <w:sz w:val="20"/>
                <w:szCs w:val="20"/>
              </w:rPr>
              <w:t>to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Guillian-Barre syndrome.</w:t>
            </w:r>
          </w:p>
          <w:p w14:paraId="3E022944" w14:textId="77777777" w:rsidR="00A00478" w:rsidRPr="005A21C5" w:rsidRDefault="00A00478" w:rsidP="008B671F">
            <w:pPr>
              <w:spacing w:before="40" w:after="4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</w:p>
          <w:p w14:paraId="73F5F396" w14:textId="77777777" w:rsidR="0025591B" w:rsidRPr="005A21C5" w:rsidRDefault="00686D00" w:rsidP="008B671F">
            <w:pPr>
              <w:spacing w:before="40" w:after="4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 xml:space="preserve">Hematopoietic </w:t>
            </w:r>
            <w:r w:rsidR="00AD0E56"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 xml:space="preserve">Stem Cell </w:t>
            </w: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or Bone Marrow Transplant</w:t>
            </w:r>
          </w:p>
          <w:p w14:paraId="3D8EB22F" w14:textId="77777777" w:rsidR="00C7502D" w:rsidRPr="005A21C5" w:rsidRDefault="00691B1D" w:rsidP="004315FB">
            <w:pPr>
              <w:spacing w:before="40" w:after="40"/>
              <w:rPr>
                <w:rFonts w:ascii="Century Gothic" w:hAnsi="Century Gothic" w:cs="Arial"/>
                <w:sz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="00C7502D" w:rsidRPr="005A21C5">
              <w:rPr>
                <w:rFonts w:ascii="Century Gothic" w:hAnsi="Century Gothic" w:cs="Arial"/>
                <w:sz w:val="20"/>
                <w:szCs w:val="20"/>
              </w:rPr>
              <w:t xml:space="preserve"> The documentation submitted by your physician indicates that you received your transplant more than 100 days ago.  </w:t>
            </w:r>
            <w:r w:rsidR="00A57A2E" w:rsidRPr="005A21C5">
              <w:rPr>
                <w:rFonts w:ascii="Century Gothic" w:hAnsi="Century Gothic" w:cs="Arial"/>
                <w:sz w:val="20"/>
                <w:szCs w:val="20"/>
              </w:rPr>
              <w:t>Coverage of IVIG more than 100 days after your</w:t>
            </w:r>
            <w:r w:rsidR="00C7502D" w:rsidRPr="005A21C5">
              <w:rPr>
                <w:rFonts w:ascii="Century Gothic" w:hAnsi="Century Gothic" w:cs="Arial"/>
                <w:sz w:val="20"/>
                <w:szCs w:val="20"/>
              </w:rPr>
              <w:t xml:space="preserve"> transplant requires </w:t>
            </w:r>
            <w:r w:rsidR="00A57A2E" w:rsidRPr="005A21C5">
              <w:rPr>
                <w:rFonts w:ascii="Century Gothic" w:hAnsi="Century Gothic" w:cs="Arial"/>
                <w:sz w:val="20"/>
                <w:szCs w:val="20"/>
              </w:rPr>
              <w:t>that your provider submit one of the following</w:t>
            </w:r>
            <w:r w:rsidR="00C7502D" w:rsidRPr="005A21C5">
              <w:rPr>
                <w:rFonts w:ascii="Century Gothic" w:hAnsi="Century Gothic" w:cs="Arial"/>
                <w:sz w:val="20"/>
                <w:szCs w:val="20"/>
              </w:rPr>
              <w:t xml:space="preserve">:  </w:t>
            </w:r>
            <w:r w:rsidR="00EB677D" w:rsidRPr="005A21C5">
              <w:rPr>
                <w:rFonts w:ascii="Century Gothic" w:hAnsi="Century Gothic" w:cs="Arial"/>
                <w:sz w:val="20"/>
                <w:szCs w:val="20"/>
              </w:rPr>
              <w:t xml:space="preserve">a positive CMV test or </w:t>
            </w:r>
            <w:r w:rsidR="00A57A2E" w:rsidRPr="005A21C5">
              <w:rPr>
                <w:rFonts w:ascii="Century Gothic" w:hAnsi="Century Gothic" w:cs="Arial"/>
                <w:sz w:val="20"/>
                <w:szCs w:val="20"/>
              </w:rPr>
              <w:t xml:space="preserve">an IgG lab less </w:t>
            </w:r>
            <w:r w:rsidR="00EB677D" w:rsidRPr="005A21C5">
              <w:rPr>
                <w:rFonts w:ascii="Century Gothic" w:hAnsi="Century Gothic" w:cs="Arial"/>
                <w:sz w:val="20"/>
                <w:szCs w:val="20"/>
              </w:rPr>
              <w:t xml:space="preserve">than 400mg/dl.  </w:t>
            </w:r>
            <w:r w:rsidR="00770767" w:rsidRPr="005A21C5">
              <w:rPr>
                <w:rFonts w:ascii="Century Gothic" w:hAnsi="Century Gothic" w:cs="Arial"/>
                <w:sz w:val="20"/>
                <w:szCs w:val="20"/>
              </w:rPr>
              <w:t xml:space="preserve">You may also qualify for IVIG if you have a below normal IgG level plus either </w:t>
            </w:r>
            <w:r w:rsidR="00C7502D" w:rsidRPr="005A21C5">
              <w:rPr>
                <w:rFonts w:ascii="Century Gothic" w:hAnsi="Century Gothic" w:cs="Arial"/>
                <w:sz w:val="20"/>
                <w:szCs w:val="20"/>
              </w:rPr>
              <w:t>chronic graft-vs-host disease (GVHD)</w:t>
            </w:r>
            <w:r w:rsidR="00770767" w:rsidRPr="005A21C5">
              <w:rPr>
                <w:rFonts w:ascii="Century Gothic" w:hAnsi="Century Gothic" w:cs="Arial"/>
                <w:sz w:val="20"/>
                <w:szCs w:val="20"/>
              </w:rPr>
              <w:t xml:space="preserve"> on steroids or GVHD with a lung </w:t>
            </w:r>
            <w:r w:rsidR="00EB677D" w:rsidRPr="005A21C5">
              <w:rPr>
                <w:rFonts w:ascii="Century Gothic" w:hAnsi="Century Gothic" w:cs="Arial"/>
                <w:sz w:val="20"/>
                <w:szCs w:val="20"/>
              </w:rPr>
              <w:t xml:space="preserve">infection.  </w:t>
            </w:r>
          </w:p>
          <w:p w14:paraId="2656961C" w14:textId="77777777" w:rsidR="00E73152" w:rsidRPr="005A21C5" w:rsidRDefault="00E73152" w:rsidP="008B671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  <w:p w14:paraId="62C96C43" w14:textId="77777777" w:rsidR="00915169" w:rsidRPr="005A21C5" w:rsidRDefault="00915169" w:rsidP="004315F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Hemolytic Anemia</w:t>
            </w:r>
            <w:r w:rsidR="0082786F"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- Autoimmune</w:t>
            </w:r>
          </w:p>
          <w:p w14:paraId="644B3A1A" w14:textId="77777777" w:rsidR="00915169" w:rsidRPr="005A21C5" w:rsidRDefault="00915169" w:rsidP="004315F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0"/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9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  <w:r w:rsidR="0082786F" w:rsidRPr="005A21C5">
              <w:rPr>
                <w:rFonts w:ascii="Century Gothic" w:hAnsi="Century Gothic" w:cs="Arial"/>
                <w:sz w:val="20"/>
                <w:szCs w:val="20"/>
              </w:rPr>
              <w:t xml:space="preserve">The documentation provided by your physician does not indicate that you </w:t>
            </w:r>
            <w:r w:rsidR="00005E0C" w:rsidRPr="005A21C5">
              <w:rPr>
                <w:rFonts w:ascii="Century Gothic" w:hAnsi="Century Gothic" w:cs="Arial"/>
                <w:sz w:val="20"/>
                <w:szCs w:val="20"/>
              </w:rPr>
              <w:t>used steroid medications to treat your condition</w:t>
            </w:r>
            <w:r w:rsidR="0082786F" w:rsidRPr="005A21C5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="00285F88" w:rsidRPr="005A21C5">
              <w:rPr>
                <w:rFonts w:ascii="Century Gothic" w:hAnsi="Century Gothic" w:cs="Arial"/>
                <w:sz w:val="20"/>
                <w:szCs w:val="20"/>
              </w:rPr>
              <w:t xml:space="preserve">  IVIG may be approved for warm-type autoimmune hemolytic anemia when primary treatments like high dose steroids are not effective.</w:t>
            </w:r>
          </w:p>
          <w:p w14:paraId="3500E9A3" w14:textId="77777777" w:rsidR="00AF258E" w:rsidRPr="005A21C5" w:rsidRDefault="00AF258E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</w:p>
          <w:p w14:paraId="7F0FE528" w14:textId="77777777" w:rsidR="00B52240" w:rsidRPr="005A21C5" w:rsidRDefault="00B52240" w:rsidP="004315F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HIV (pediatric)</w:t>
            </w:r>
          </w:p>
          <w:p w14:paraId="1FD732A8" w14:textId="77777777" w:rsidR="00B52240" w:rsidRPr="005A21C5" w:rsidRDefault="00B52240" w:rsidP="004315F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  <w:r w:rsidR="00912081" w:rsidRPr="005A21C5">
              <w:rPr>
                <w:rFonts w:ascii="Century Gothic" w:hAnsi="Century Gothic" w:cs="Arial"/>
                <w:sz w:val="20"/>
                <w:szCs w:val="20"/>
              </w:rPr>
              <w:t>The documentation provided by your physician does not support a primary diagnosis of human immunodeficiency virus (HIV) with a history of symptomatic HIV or recurrent bacterial infections.</w:t>
            </w:r>
          </w:p>
          <w:p w14:paraId="1DBF2C14" w14:textId="77777777" w:rsidR="00B52240" w:rsidRPr="005A21C5" w:rsidRDefault="00B52240" w:rsidP="004315F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</w:t>
            </w:r>
            <w:r w:rsidR="002D0965" w:rsidRPr="005A21C5">
              <w:rPr>
                <w:rFonts w:ascii="Century Gothic" w:hAnsi="Century Gothic" w:cs="Arial"/>
                <w:sz w:val="20"/>
                <w:szCs w:val="20"/>
              </w:rPr>
              <w:t xml:space="preserve">provided </w:t>
            </w:r>
            <w:r w:rsidR="009C68AD" w:rsidRPr="005A21C5">
              <w:rPr>
                <w:rFonts w:ascii="Century Gothic" w:hAnsi="Century Gothic" w:cs="Arial"/>
                <w:sz w:val="20"/>
                <w:szCs w:val="20"/>
              </w:rPr>
              <w:t>by your</w:t>
            </w:r>
            <w:r w:rsidR="002D0965" w:rsidRPr="005A21C5">
              <w:rPr>
                <w:rFonts w:ascii="Century Gothic" w:hAnsi="Century Gothic" w:cs="Arial"/>
                <w:sz w:val="20"/>
                <w:szCs w:val="20"/>
              </w:rPr>
              <w:t xml:space="preserve"> physician does not indicate that you </w:t>
            </w:r>
            <w:r w:rsidR="004315FB" w:rsidRPr="005A21C5">
              <w:rPr>
                <w:rFonts w:ascii="Century Gothic" w:hAnsi="Century Gothic" w:cs="Arial"/>
                <w:sz w:val="20"/>
                <w:szCs w:val="20"/>
              </w:rPr>
              <w:t>have a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CD4+ count greater than 200/mm3.</w:t>
            </w:r>
          </w:p>
          <w:p w14:paraId="4A0AB4F6" w14:textId="77777777" w:rsidR="00524B48" w:rsidRPr="005A21C5" w:rsidRDefault="00524B48" w:rsidP="00524B48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provided indicates that you are over 13 years of age.  IVIG is supported for symptomatic HIV in patients 13 years old or younger.</w:t>
            </w:r>
          </w:p>
          <w:p w14:paraId="17CD15F7" w14:textId="77777777" w:rsidR="00285F88" w:rsidRPr="005A21C5" w:rsidRDefault="00285F88" w:rsidP="00524B48">
            <w:pPr>
              <w:spacing w:before="40" w:after="40"/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31D05AFB" w14:textId="77777777" w:rsidR="00915169" w:rsidRPr="005A21C5" w:rsidRDefault="00915169" w:rsidP="00072C7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Idiopathic Thrombocytopenic Purpura</w:t>
            </w:r>
          </w:p>
          <w:p w14:paraId="213F1625" w14:textId="77777777" w:rsidR="001D3754" w:rsidRPr="005A21C5" w:rsidRDefault="001D3754" w:rsidP="00072C7B">
            <w:pPr>
              <w:spacing w:before="40" w:after="40"/>
              <w:rPr>
                <w:rFonts w:ascii="Century Gothic" w:hAnsi="Century Gothic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b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b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 The documentation provided by your physician d</w:t>
            </w:r>
            <w:r w:rsidR="002D0965" w:rsidRPr="005A21C5">
              <w:rPr>
                <w:rFonts w:ascii="Century Gothic" w:hAnsi="Century Gothic" w:cs="Arial"/>
                <w:sz w:val="20"/>
                <w:szCs w:val="20"/>
              </w:rPr>
              <w:t xml:space="preserve">oes not indicate that you have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a current platelet count less than 30,000/mcl. </w:t>
            </w:r>
            <w:r w:rsidRPr="005A21C5">
              <w:rPr>
                <w:rFonts w:ascii="Century Gothic" w:hAnsi="Century Gothic"/>
                <w:sz w:val="20"/>
                <w:szCs w:val="20"/>
              </w:rPr>
              <w:t xml:space="preserve">The American Society of Hematology recommends treatment of </w:t>
            </w:r>
            <w:r w:rsidR="00072C7B" w:rsidRPr="005A21C5">
              <w:rPr>
                <w:rFonts w:ascii="Century Gothic" w:hAnsi="Century Gothic"/>
                <w:sz w:val="20"/>
                <w:szCs w:val="20"/>
              </w:rPr>
              <w:t>idiopathic thrombocytopenic purpura (ITP) once</w:t>
            </w:r>
            <w:r w:rsidRPr="005A21C5">
              <w:rPr>
                <w:rFonts w:ascii="Century Gothic" w:hAnsi="Century Gothic"/>
                <w:sz w:val="20"/>
                <w:szCs w:val="20"/>
              </w:rPr>
              <w:t xml:space="preserve"> a platelet count falls below 30,000/mcl.  </w:t>
            </w:r>
          </w:p>
          <w:p w14:paraId="0C413D72" w14:textId="77777777" w:rsidR="00E73152" w:rsidRPr="005A21C5" w:rsidRDefault="00E73152" w:rsidP="00072C7B">
            <w:pPr>
              <w:spacing w:before="40" w:after="40"/>
              <w:rPr>
                <w:rFonts w:ascii="Century Gothic" w:hAnsi="Century Gothic"/>
                <w:sz w:val="20"/>
                <w:szCs w:val="20"/>
                <w:u w:val="single"/>
              </w:rPr>
            </w:pPr>
            <w:r w:rsidRPr="005A21C5">
              <w:rPr>
                <w:rFonts w:ascii="Century Gothic" w:hAnsi="Century Gothic"/>
                <w:sz w:val="20"/>
                <w:szCs w:val="20"/>
                <w:u w:val="single"/>
              </w:rPr>
              <w:t>Recertification</w:t>
            </w:r>
          </w:p>
          <w:p w14:paraId="3DDEF423" w14:textId="77777777" w:rsidR="00580C11" w:rsidRPr="005A21C5" w:rsidRDefault="00580C11" w:rsidP="00072C7B">
            <w:pPr>
              <w:spacing w:before="40" w:after="40"/>
              <w:rPr>
                <w:rFonts w:ascii="Century Gothic" w:hAnsi="Century Gothic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The documentation provided by your physician does not indicate a medical rationale for continued use of IVIG for treatment of </w:t>
            </w:r>
            <w:r w:rsidRPr="005A21C5">
              <w:rPr>
                <w:rFonts w:ascii="Century Gothic" w:hAnsi="Century Gothic"/>
                <w:sz w:val="20"/>
                <w:szCs w:val="20"/>
              </w:rPr>
              <w:t xml:space="preserve">idiopathic thrombocytopenic purpura (ITP) past the initial 12 months of treatment. </w:t>
            </w:r>
            <w:r w:rsidR="00B043BB" w:rsidRPr="005A21C5">
              <w:rPr>
                <w:rFonts w:ascii="Century Gothic" w:hAnsi="Century Gothic"/>
                <w:sz w:val="20"/>
                <w:szCs w:val="20"/>
              </w:rPr>
              <w:t>Please have the provider submit medical rationale for continued use of IVIG in this setting.</w:t>
            </w:r>
          </w:p>
          <w:p w14:paraId="2D48C59F" w14:textId="77777777" w:rsidR="00580C11" w:rsidRPr="005A21C5" w:rsidRDefault="00580C11" w:rsidP="00072C7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  <w:p w14:paraId="5BD2359C" w14:textId="77777777" w:rsidR="00C004E9" w:rsidRPr="005A21C5" w:rsidRDefault="00C004E9" w:rsidP="00C004E9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Kawasaki Disease</w:t>
            </w:r>
          </w:p>
          <w:p w14:paraId="2A5F7B23" w14:textId="77777777" w:rsidR="00C004E9" w:rsidRPr="005A21C5" w:rsidRDefault="00C004E9" w:rsidP="00C004E9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provided by your physician does not indicate that you are currently or will be on combination treatment with high dose aspirin and IVIG.   IVIG may be approved for a patient for treatment of Kawasaki disease when given in combination with high dose aspirin. </w:t>
            </w:r>
          </w:p>
          <w:p w14:paraId="2C03C2E9" w14:textId="77777777" w:rsidR="002909F9" w:rsidRPr="005A21C5" w:rsidRDefault="002909F9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</w:p>
          <w:p w14:paraId="27592C47" w14:textId="77777777" w:rsidR="002909F9" w:rsidRPr="005A21C5" w:rsidRDefault="002909F9" w:rsidP="00072C7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Multiple Myeloma</w:t>
            </w:r>
          </w:p>
          <w:p w14:paraId="23046C26" w14:textId="77777777" w:rsidR="002909F9" w:rsidRPr="005A21C5" w:rsidRDefault="002909F9" w:rsidP="00072C7B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45"/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10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</w:t>
            </w:r>
            <w:r w:rsidR="008F34DB" w:rsidRPr="005A21C5">
              <w:rPr>
                <w:rFonts w:ascii="Century Gothic" w:hAnsi="Century Gothic" w:cs="Arial"/>
                <w:sz w:val="20"/>
                <w:szCs w:val="20"/>
              </w:rPr>
              <w:t xml:space="preserve">provided by your physician does </w:t>
            </w:r>
            <w:r w:rsidR="00072C7B" w:rsidRPr="005A21C5">
              <w:rPr>
                <w:rFonts w:ascii="Century Gothic" w:hAnsi="Century Gothic" w:cs="Arial"/>
                <w:sz w:val="20"/>
                <w:szCs w:val="20"/>
              </w:rPr>
              <w:t>not indicate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that </w:t>
            </w:r>
            <w:r w:rsidR="009C68AD" w:rsidRPr="005A21C5">
              <w:rPr>
                <w:rFonts w:ascii="Century Gothic" w:hAnsi="Century Gothic" w:cs="Arial"/>
                <w:sz w:val="20"/>
                <w:szCs w:val="20"/>
              </w:rPr>
              <w:t>you have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experienced 2 or more significant infections or 1 life-threatening infection in the last year.</w:t>
            </w:r>
            <w:r w:rsidR="00A30975" w:rsidRPr="005A21C5">
              <w:rPr>
                <w:rFonts w:ascii="Century Gothic" w:hAnsi="Century Gothic" w:cs="Arial"/>
                <w:sz w:val="20"/>
                <w:szCs w:val="20"/>
              </w:rPr>
              <w:t xml:space="preserve"> IVIG may be approved </w:t>
            </w:r>
            <w:r w:rsidR="00E83F4A" w:rsidRPr="005A21C5">
              <w:rPr>
                <w:rFonts w:ascii="Century Gothic" w:hAnsi="Century Gothic" w:cs="Arial"/>
                <w:sz w:val="20"/>
                <w:szCs w:val="20"/>
              </w:rPr>
              <w:t>for a</w:t>
            </w:r>
            <w:r w:rsidR="00A30975" w:rsidRPr="005A21C5">
              <w:rPr>
                <w:rFonts w:ascii="Century Gothic" w:hAnsi="Century Gothic" w:cs="Arial"/>
                <w:sz w:val="20"/>
                <w:szCs w:val="20"/>
              </w:rPr>
              <w:t xml:space="preserve"> patient with a diagnosis of multiple myeloma, when documentation is provided that the patient has experienced </w:t>
            </w:r>
            <w:r w:rsidR="00524B48"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A30975" w:rsidRPr="005A21C5">
              <w:rPr>
                <w:rFonts w:ascii="Century Gothic" w:hAnsi="Century Gothic" w:cs="Arial"/>
                <w:sz w:val="20"/>
                <w:szCs w:val="20"/>
              </w:rPr>
              <w:t>2 or more significant infections or 1 life-threatening infection in the last year.</w:t>
            </w:r>
          </w:p>
          <w:p w14:paraId="7BB5A4CC" w14:textId="77777777" w:rsidR="002909F9" w:rsidRPr="005A21C5" w:rsidRDefault="002909F9" w:rsidP="00B141D8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  <w:p w14:paraId="028032C1" w14:textId="77777777" w:rsidR="002909F9" w:rsidRPr="005A21C5" w:rsidRDefault="002909F9" w:rsidP="001F65D2">
            <w:pPr>
              <w:spacing w:before="40" w:after="4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Myasthenia Gravis</w:t>
            </w:r>
          </w:p>
          <w:p w14:paraId="0B27C758" w14:textId="77777777" w:rsidR="002909F9" w:rsidRPr="005A21C5" w:rsidRDefault="002909F9" w:rsidP="001F65D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48"/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11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</w:t>
            </w:r>
            <w:r w:rsidR="00DA5F3B" w:rsidRPr="005A21C5">
              <w:rPr>
                <w:rFonts w:ascii="Century Gothic" w:hAnsi="Century Gothic" w:cs="Arial"/>
                <w:sz w:val="20"/>
                <w:szCs w:val="20"/>
              </w:rPr>
              <w:t xml:space="preserve">provided by your physician does not </w:t>
            </w:r>
            <w:r w:rsidR="001F65D2" w:rsidRPr="005A21C5">
              <w:rPr>
                <w:rFonts w:ascii="Century Gothic" w:hAnsi="Century Gothic" w:cs="Arial"/>
                <w:sz w:val="20"/>
                <w:szCs w:val="20"/>
              </w:rPr>
              <w:t>indicate that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IVIG is being prescribed by a neurologist</w:t>
            </w:r>
            <w:r w:rsidR="007E510A" w:rsidRPr="005A21C5">
              <w:rPr>
                <w:rFonts w:ascii="Century Gothic" w:hAnsi="Century Gothic" w:cs="Arial"/>
                <w:sz w:val="20"/>
                <w:szCs w:val="20"/>
              </w:rPr>
              <w:t xml:space="preserve"> specialist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10173B6A" w14:textId="77777777" w:rsidR="0074175C" w:rsidRPr="005A21C5" w:rsidRDefault="002909F9" w:rsidP="001F65D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49"/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12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  <w:r w:rsidR="00DA5F3B" w:rsidRPr="005A21C5">
              <w:rPr>
                <w:rFonts w:ascii="Century Gothic" w:hAnsi="Century Gothic" w:cs="Arial"/>
                <w:sz w:val="20"/>
                <w:szCs w:val="20"/>
              </w:rPr>
              <w:t xml:space="preserve">The documentation provided by your physician does not indicate that you have </w:t>
            </w:r>
            <w:r w:rsidR="007E510A" w:rsidRPr="005A21C5">
              <w:rPr>
                <w:rFonts w:ascii="Century Gothic" w:hAnsi="Century Gothic" w:cs="Arial"/>
                <w:sz w:val="20"/>
                <w:szCs w:val="20"/>
              </w:rPr>
              <w:t xml:space="preserve">tried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at least one of the following medications:  corticosteroid, mycophenolate, azathioprine, cyclosporine, or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lastRenderedPageBreak/>
              <w:t>cyclophosphamide</w:t>
            </w:r>
            <w:r w:rsidR="007E510A" w:rsidRPr="005A21C5">
              <w:rPr>
                <w:rFonts w:ascii="Century Gothic" w:hAnsi="Century Gothic" w:cs="Arial"/>
                <w:sz w:val="20"/>
                <w:szCs w:val="20"/>
              </w:rPr>
              <w:t xml:space="preserve">.  </w:t>
            </w:r>
            <w:r w:rsidR="0074175C" w:rsidRPr="005A21C5">
              <w:rPr>
                <w:rFonts w:ascii="Century Gothic" w:hAnsi="Century Gothic" w:cs="Arial"/>
                <w:sz w:val="20"/>
                <w:szCs w:val="20"/>
              </w:rPr>
              <w:t xml:space="preserve">IVIG, when prescribed by a neurologist, may be approved after 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>you have had</w:t>
            </w:r>
            <w:r w:rsidR="0074175C" w:rsidRPr="005A21C5">
              <w:rPr>
                <w:rFonts w:ascii="Century Gothic" w:hAnsi="Century Gothic" w:cs="Arial"/>
                <w:sz w:val="20"/>
                <w:szCs w:val="20"/>
              </w:rPr>
              <w:t xml:space="preserve"> a trial of at least one of the 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 xml:space="preserve">supported alternate therapies listed </w:t>
            </w:r>
            <w:r w:rsidR="007E510A" w:rsidRPr="005A21C5">
              <w:rPr>
                <w:rFonts w:ascii="Century Gothic" w:hAnsi="Century Gothic" w:cs="Arial"/>
                <w:sz w:val="20"/>
                <w:szCs w:val="20"/>
              </w:rPr>
              <w:t>for treatment of myasthenia gravis.</w:t>
            </w:r>
          </w:p>
          <w:p w14:paraId="664EFDB4" w14:textId="77777777" w:rsidR="00BF7D9B" w:rsidRPr="005A21C5" w:rsidRDefault="00BF7D9B" w:rsidP="001F65D2">
            <w:pPr>
              <w:spacing w:before="40" w:after="4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Polymyositis and Dermatomyositis</w:t>
            </w:r>
          </w:p>
          <w:p w14:paraId="7F67D9C9" w14:textId="77777777" w:rsidR="00BF7D9B" w:rsidRPr="005A21C5" w:rsidRDefault="00BF7D9B" w:rsidP="001F65D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 xml:space="preserve">n provided by your physician does </w:t>
            </w:r>
            <w:r w:rsidR="007E510A" w:rsidRPr="005A21C5">
              <w:rPr>
                <w:rFonts w:ascii="Century Gothic" w:hAnsi="Century Gothic" w:cs="Arial"/>
                <w:sz w:val="20"/>
                <w:szCs w:val="20"/>
              </w:rPr>
              <w:t xml:space="preserve">not 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>indicate you have tried hi</w:t>
            </w:r>
            <w:r w:rsidR="007E510A" w:rsidRPr="005A21C5">
              <w:rPr>
                <w:rFonts w:ascii="Century Gothic" w:hAnsi="Century Gothic" w:cs="Arial"/>
                <w:sz w:val="20"/>
                <w:szCs w:val="20"/>
              </w:rPr>
              <w:t>gh dose corticosteroid medications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.  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>High dose corticosteroid therapy is supported as the primary treatment for this condition.</w:t>
            </w:r>
          </w:p>
          <w:p w14:paraId="4E1AF20C" w14:textId="77777777" w:rsidR="002909F9" w:rsidRPr="005A21C5" w:rsidRDefault="002909F9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</w:p>
          <w:p w14:paraId="7AC4A447" w14:textId="77777777" w:rsidR="002909F9" w:rsidRPr="005A21C5" w:rsidRDefault="00CF3FA8" w:rsidP="001F65D2">
            <w:pPr>
              <w:spacing w:before="40" w:after="4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Primary Immunodeficiency Disorders</w:t>
            </w:r>
          </w:p>
          <w:p w14:paraId="64DF238A" w14:textId="77777777" w:rsidR="00B7299D" w:rsidRPr="005A21C5" w:rsidRDefault="00B7299D" w:rsidP="00B7299D">
            <w:pPr>
              <w:spacing w:before="40" w:after="40"/>
              <w:ind w:left="72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provided by your physician indicates that you have selective IgA deficiency or isolated IgG4 deficiency. Safety and efficacy of IVIG in these disorders has not established in peer-reviewed, published, scientific literature.</w:t>
            </w:r>
          </w:p>
          <w:p w14:paraId="5F6346C3" w14:textId="77777777" w:rsidR="002909F9" w:rsidRPr="005A21C5" w:rsidRDefault="002909F9" w:rsidP="001F65D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50"/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13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</w:t>
            </w:r>
            <w:r w:rsidR="00D515D2"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2626F" w:rsidRPr="005A21C5">
              <w:rPr>
                <w:rFonts w:ascii="Century Gothic" w:hAnsi="Century Gothic" w:cs="Arial"/>
                <w:sz w:val="20"/>
                <w:szCs w:val="20"/>
              </w:rPr>
              <w:t>documentation provided</w:t>
            </w:r>
            <w:r w:rsidR="00FB0627" w:rsidRPr="005A21C5">
              <w:rPr>
                <w:rFonts w:ascii="Century Gothic" w:hAnsi="Century Gothic" w:cs="Arial"/>
                <w:sz w:val="20"/>
                <w:szCs w:val="20"/>
              </w:rPr>
              <w:t xml:space="preserve"> by your physician</w:t>
            </w:r>
            <w:r w:rsidR="0092626F" w:rsidRPr="005A21C5">
              <w:rPr>
                <w:rFonts w:ascii="Century Gothic" w:hAnsi="Century Gothic" w:cs="Arial"/>
                <w:sz w:val="20"/>
                <w:szCs w:val="20"/>
              </w:rPr>
              <w:t xml:space="preserve"> does not indicate that you have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 xml:space="preserve"> had</w:t>
            </w:r>
            <w:r w:rsidR="001F65D2"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 xml:space="preserve">at least two </w:t>
            </w:r>
            <w:r w:rsidR="0092626F"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>IgG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 xml:space="preserve"> lab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levels that are either less 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>than 500mg/dl each</w:t>
            </w:r>
            <w:r w:rsidR="00127760" w:rsidRPr="005A21C5">
              <w:rPr>
                <w:rFonts w:ascii="Century Gothic" w:hAnsi="Century Gothic" w:cs="Arial"/>
                <w:sz w:val="20"/>
                <w:szCs w:val="20"/>
              </w:rPr>
              <w:t xml:space="preserve"> or 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>lower than the average value would be for other people your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age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 xml:space="preserve"> taking the same test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7E9E9AAD" w14:textId="77777777" w:rsidR="009C4858" w:rsidRPr="005A21C5" w:rsidRDefault="002909F9" w:rsidP="001F65D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1"/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14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</w:t>
            </w:r>
            <w:r w:rsidR="0092626F" w:rsidRPr="005A21C5">
              <w:rPr>
                <w:rFonts w:ascii="Century Gothic" w:hAnsi="Century Gothic" w:cs="Arial"/>
                <w:sz w:val="20"/>
                <w:szCs w:val="20"/>
              </w:rPr>
              <w:t xml:space="preserve"> documentation provided by 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>your physician appears to indicate that you are able to produce antibodies when you are exposed to antigens like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D94CF3" w:rsidRPr="005A21C5">
              <w:rPr>
                <w:rFonts w:ascii="Century Gothic" w:hAnsi="Century Gothic" w:cs="Arial"/>
                <w:sz w:val="20"/>
                <w:szCs w:val="20"/>
              </w:rPr>
              <w:t>d</w:t>
            </w:r>
            <w:r w:rsidR="00127760" w:rsidRPr="005A21C5">
              <w:rPr>
                <w:rFonts w:ascii="Century Gothic" w:hAnsi="Century Gothic" w:cs="Arial"/>
                <w:sz w:val="20"/>
                <w:szCs w:val="20"/>
              </w:rPr>
              <w:t>iphtheria and tetanus toxoids or</w:t>
            </w:r>
            <w:r w:rsidR="00D94CF3" w:rsidRPr="005A21C5">
              <w:rPr>
                <w:rFonts w:ascii="Century Gothic" w:hAnsi="Century Gothic" w:cs="Arial"/>
                <w:sz w:val="20"/>
                <w:szCs w:val="20"/>
              </w:rPr>
              <w:t xml:space="preserve"> pneumococcal polysaccharide vaccine.</w:t>
            </w:r>
            <w:r w:rsidR="00180490"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D520D9" w:rsidRPr="005A21C5">
              <w:rPr>
                <w:rFonts w:ascii="Century Gothic" w:hAnsi="Century Gothic" w:cs="Arial"/>
                <w:sz w:val="20"/>
                <w:szCs w:val="20"/>
              </w:rPr>
              <w:t xml:space="preserve"> IVIG is only indicated to replace antibodies when patients cannot </w:t>
            </w:r>
            <w:r w:rsidR="00127760" w:rsidRPr="005A21C5">
              <w:rPr>
                <w:rFonts w:ascii="Century Gothic" w:hAnsi="Century Gothic" w:cs="Arial"/>
                <w:sz w:val="20"/>
                <w:szCs w:val="20"/>
              </w:rPr>
              <w:t>or have a decreased ability to produce these antibodies.</w:t>
            </w:r>
          </w:p>
          <w:p w14:paraId="25A0D802" w14:textId="77777777" w:rsidR="002909F9" w:rsidRPr="005A21C5" w:rsidRDefault="002909F9" w:rsidP="001F65D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52"/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15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documentation </w:t>
            </w:r>
            <w:r w:rsidR="00903021" w:rsidRPr="005A21C5">
              <w:rPr>
                <w:rFonts w:ascii="Century Gothic" w:hAnsi="Century Gothic" w:cs="Arial"/>
                <w:sz w:val="20"/>
                <w:szCs w:val="20"/>
              </w:rPr>
              <w:t xml:space="preserve">provided by your physician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does not indicate </w:t>
            </w:r>
            <w:r w:rsidR="00903021" w:rsidRPr="005A21C5">
              <w:rPr>
                <w:rFonts w:ascii="Century Gothic" w:hAnsi="Century Gothic" w:cs="Arial"/>
                <w:sz w:val="20"/>
                <w:szCs w:val="20"/>
              </w:rPr>
              <w:t xml:space="preserve">that you have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>a history of recurrent bacterial infections.</w:t>
            </w:r>
            <w:r w:rsidR="00A64FA9" w:rsidRPr="005A21C5">
              <w:rPr>
                <w:rFonts w:ascii="Century Gothic" w:hAnsi="Century Gothic" w:cs="Arial"/>
                <w:sz w:val="20"/>
                <w:szCs w:val="20"/>
              </w:rPr>
              <w:t xml:space="preserve">  IVIG is indicated to replace antibodies in patients who are experiencing repeat infections because of the low antibody</w:t>
            </w:r>
            <w:r w:rsidR="00127760"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A64FA9" w:rsidRPr="005A21C5">
              <w:rPr>
                <w:rFonts w:ascii="Century Gothic" w:hAnsi="Century Gothic" w:cs="Arial"/>
                <w:sz w:val="20"/>
                <w:szCs w:val="20"/>
              </w:rPr>
              <w:t>levels in their bodies.</w:t>
            </w:r>
          </w:p>
          <w:p w14:paraId="268B93A1" w14:textId="77777777" w:rsidR="00A052B4" w:rsidRPr="005A21C5" w:rsidRDefault="00A052B4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</w:p>
          <w:p w14:paraId="53AB453A" w14:textId="77777777" w:rsidR="00A052B4" w:rsidRPr="005A21C5" w:rsidRDefault="00A052B4" w:rsidP="00D515D2">
            <w:pPr>
              <w:spacing w:before="40" w:after="4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General</w:t>
            </w:r>
          </w:p>
          <w:bookmarkStart w:id="16" w:name="Check53"/>
          <w:p w14:paraId="6C8BB5AF" w14:textId="77777777" w:rsidR="00A052B4" w:rsidRPr="005A21C5" w:rsidRDefault="00A052B4" w:rsidP="00D515D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16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The clinical information reviewed does not contain a complete evaluation or work-up including  </w:t>
            </w:r>
            <w:r w:rsidR="00A61C77"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7" w:name="Text17"/>
            <w:r w:rsidR="00A61C77"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="00A61C77" w:rsidRPr="005A21C5">
              <w:rPr>
                <w:rFonts w:ascii="Century Gothic" w:hAnsi="Century Gothic" w:cs="Arial"/>
                <w:sz w:val="20"/>
                <w:szCs w:val="20"/>
              </w:rPr>
            </w:r>
            <w:r w:rsidR="00A61C77" w:rsidRPr="005A21C5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="00A61C77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61C77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61C77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61C77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61C77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A61C77"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17"/>
            <w:r w:rsidR="00D515D2" w:rsidRPr="005A21C5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>____________________________________________________________________________________.</w:t>
            </w:r>
          </w:p>
          <w:bookmarkStart w:id="18" w:name="Check54"/>
          <w:p w14:paraId="46C5DED4" w14:textId="77777777" w:rsidR="00A052B4" w:rsidRPr="005A21C5" w:rsidRDefault="00A052B4" w:rsidP="0074175C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18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  <w:r w:rsidR="0074175C" w:rsidRPr="005A21C5">
              <w:rPr>
                <w:rFonts w:ascii="Century Gothic" w:hAnsi="Century Gothic" w:cs="Arial"/>
                <w:sz w:val="20"/>
                <w:szCs w:val="20"/>
              </w:rPr>
              <w:t>The dose and/or frequency requested is more than the maximum amount that can be approved.</w:t>
            </w:r>
          </w:p>
          <w:bookmarkStart w:id="19" w:name="Check55"/>
          <w:p w14:paraId="3002465B" w14:textId="77777777" w:rsidR="00A052B4" w:rsidRPr="005A21C5" w:rsidRDefault="00A052B4" w:rsidP="00D515D2">
            <w:pPr>
              <w:spacing w:before="40" w:after="40"/>
              <w:ind w:left="72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19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Safety and efficacy of IVIG use for this diagnosis</w:t>
            </w:r>
            <w:r w:rsidR="00D515D2" w:rsidRPr="005A21C5">
              <w:rPr>
                <w:rFonts w:ascii="Century Gothic" w:hAnsi="Century Gothic" w:cs="Arial"/>
                <w:sz w:val="20"/>
                <w:szCs w:val="20"/>
              </w:rPr>
              <w:t>,</w:t>
            </w:r>
            <w:r w:rsidR="00474A39" w:rsidRPr="005A21C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474A39"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0" w:name="Text12"/>
            <w:r w:rsidR="00474A39"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="00474A39" w:rsidRPr="005A21C5">
              <w:rPr>
                <w:rFonts w:ascii="Century Gothic" w:hAnsi="Century Gothic" w:cs="Arial"/>
                <w:sz w:val="20"/>
                <w:szCs w:val="20"/>
              </w:rPr>
            </w:r>
            <w:r w:rsidR="00474A39" w:rsidRPr="005A21C5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="00474A39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74A39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74A39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74A39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74A39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74A39"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20"/>
            <w:r w:rsidR="00D515D2" w:rsidRPr="005A21C5">
              <w:rPr>
                <w:rFonts w:ascii="Century Gothic" w:hAnsi="Century Gothic" w:cs="Arial"/>
                <w:sz w:val="20"/>
                <w:szCs w:val="20"/>
              </w:rPr>
              <w:t>,</w:t>
            </w:r>
            <w:r w:rsidR="00474A39" w:rsidRPr="005A21C5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is not </w:t>
            </w:r>
            <w:r w:rsidR="00AF258E" w:rsidRPr="005A21C5">
              <w:rPr>
                <w:rFonts w:ascii="Century Gothic" w:hAnsi="Century Gothic" w:cs="Arial"/>
                <w:sz w:val="20"/>
                <w:szCs w:val="20"/>
              </w:rPr>
              <w:t xml:space="preserve">established in 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>peer-reviewed, published, scientific literature.</w:t>
            </w:r>
          </w:p>
          <w:p w14:paraId="6251D4A4" w14:textId="77777777" w:rsidR="00A052B4" w:rsidRPr="005A21C5" w:rsidRDefault="00071642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60"/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21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Other:</w:t>
            </w:r>
            <w:r w:rsidR="00333287" w:rsidRPr="005A21C5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  <w:r w:rsidR="00333287"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2" w:name="Text13"/>
            <w:r w:rsidR="00333287"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="00333287" w:rsidRPr="005A21C5">
              <w:rPr>
                <w:rFonts w:ascii="Century Gothic" w:hAnsi="Century Gothic" w:cs="Arial"/>
                <w:sz w:val="20"/>
                <w:szCs w:val="20"/>
              </w:rPr>
            </w:r>
            <w:r w:rsidR="00333287" w:rsidRPr="005A21C5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="00333287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33287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33287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33287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33287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333287"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22"/>
          </w:p>
          <w:p w14:paraId="785791A2" w14:textId="77777777" w:rsidR="00A00478" w:rsidRPr="005A21C5" w:rsidRDefault="00A00478" w:rsidP="008B671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  <w:p w14:paraId="527AEFEF" w14:textId="77777777" w:rsidR="00A052B4" w:rsidRPr="005A21C5" w:rsidRDefault="00D515D2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</w:pPr>
            <w:r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Recertification</w:t>
            </w:r>
            <w:r w:rsidR="00D51E69"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 xml:space="preserve"> </w:t>
            </w:r>
            <w:r w:rsidR="00D51E69" w:rsidRPr="005A21C5">
              <w:rPr>
                <w:rFonts w:ascii="Century Gothic" w:hAnsi="Century Gothic" w:cs="Arial"/>
                <w:b/>
                <w:color w:val="FF0000"/>
                <w:sz w:val="20"/>
                <w:szCs w:val="20"/>
                <w:u w:val="single"/>
              </w:rPr>
              <w:t xml:space="preserve">(ITP </w:t>
            </w:r>
            <w:r w:rsidR="00E73152" w:rsidRPr="005A21C5">
              <w:rPr>
                <w:rFonts w:ascii="Century Gothic" w:hAnsi="Century Gothic" w:cs="Arial"/>
                <w:b/>
                <w:color w:val="FF0000"/>
                <w:sz w:val="20"/>
                <w:szCs w:val="20"/>
                <w:u w:val="single"/>
              </w:rPr>
              <w:t xml:space="preserve">and </w:t>
            </w:r>
            <w:r w:rsidR="00C36E61" w:rsidRPr="005A21C5">
              <w:rPr>
                <w:rFonts w:ascii="Century Gothic" w:hAnsi="Century Gothic" w:cs="Arial"/>
                <w:b/>
                <w:color w:val="FF0000"/>
                <w:sz w:val="20"/>
                <w:szCs w:val="20"/>
                <w:u w:val="single"/>
              </w:rPr>
              <w:t>HSCT</w:t>
            </w:r>
            <w:r w:rsidR="00E73152" w:rsidRPr="005A21C5">
              <w:rPr>
                <w:rFonts w:ascii="Century Gothic" w:hAnsi="Century Gothic" w:cs="Arial"/>
                <w:b/>
                <w:color w:val="FF0000"/>
                <w:sz w:val="20"/>
                <w:szCs w:val="20"/>
                <w:u w:val="single"/>
              </w:rPr>
              <w:t xml:space="preserve"> </w:t>
            </w:r>
            <w:r w:rsidR="00D51E69" w:rsidRPr="005A21C5">
              <w:rPr>
                <w:rFonts w:ascii="Century Gothic" w:hAnsi="Century Gothic" w:cs="Arial"/>
                <w:b/>
                <w:color w:val="FF0000"/>
                <w:sz w:val="20"/>
                <w:szCs w:val="20"/>
                <w:u w:val="single"/>
              </w:rPr>
              <w:t xml:space="preserve">recertification </w:t>
            </w:r>
            <w:r w:rsidR="00B05991" w:rsidRPr="005A21C5">
              <w:rPr>
                <w:rFonts w:ascii="Century Gothic" w:hAnsi="Century Gothic" w:cs="Arial"/>
                <w:b/>
                <w:color w:val="FF0000"/>
                <w:sz w:val="20"/>
                <w:szCs w:val="20"/>
                <w:u w:val="single"/>
              </w:rPr>
              <w:t>parameters listed above</w:t>
            </w:r>
            <w:r w:rsidR="00B05991" w:rsidRPr="005A21C5">
              <w:rPr>
                <w:rFonts w:ascii="Century Gothic" w:hAnsi="Century Gothic" w:cs="Arial"/>
                <w:b/>
                <w:sz w:val="20"/>
                <w:szCs w:val="20"/>
                <w:u w:val="single"/>
              </w:rPr>
              <w:t>)</w:t>
            </w:r>
          </w:p>
          <w:p w14:paraId="515375DF" w14:textId="77777777" w:rsidR="00A052B4" w:rsidRPr="005A21C5" w:rsidRDefault="00A052B4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56"/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23"/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The efficacy of IVIG in this case has not been demonstrated</w:t>
            </w:r>
            <w:r w:rsidR="0074175C" w:rsidRPr="005A21C5">
              <w:rPr>
                <w:rFonts w:ascii="Century Gothic" w:hAnsi="Century Gothic" w:cs="Arial"/>
                <w:sz w:val="20"/>
                <w:szCs w:val="20"/>
              </w:rPr>
              <w:t xml:space="preserve"> because </w:t>
            </w:r>
            <w:r w:rsidR="0074175C"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74175C"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="0074175C" w:rsidRPr="005A21C5">
              <w:rPr>
                <w:rFonts w:ascii="Century Gothic" w:hAnsi="Century Gothic" w:cs="Arial"/>
                <w:sz w:val="20"/>
                <w:szCs w:val="20"/>
              </w:rPr>
            </w:r>
            <w:r w:rsidR="0074175C" w:rsidRPr="005A21C5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="0074175C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4175C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4175C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4175C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4175C" w:rsidRPr="005A21C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4175C"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="0074175C" w:rsidRPr="005A21C5">
              <w:rPr>
                <w:rFonts w:ascii="Century Gothic" w:hAnsi="Century Gothic" w:cs="Arial"/>
                <w:sz w:val="20"/>
                <w:szCs w:val="20"/>
              </w:rPr>
              <w:t>____</w:t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09DDC1E2" w14:textId="77777777" w:rsidR="00A64FA9" w:rsidRPr="002F071B" w:rsidRDefault="00A64FA9" w:rsidP="00A64FA9">
            <w:pPr>
              <w:spacing w:before="12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5A21C5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  <w:r w:rsidRPr="005A21C5">
              <w:rPr>
                <w:rFonts w:ascii="Century Gothic" w:hAnsi="Century Gothic" w:cs="Arial"/>
                <w:color w:val="000000"/>
                <w:sz w:val="20"/>
                <w:szCs w:val="20"/>
              </w:rPr>
              <w:t>The dose and/or frequency requested is more than the maximum amount that can be approved.</w:t>
            </w:r>
          </w:p>
          <w:p w14:paraId="1B63B4B9" w14:textId="77777777" w:rsidR="00A052B4" w:rsidRPr="008B671F" w:rsidRDefault="00A052B4" w:rsidP="008B671F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58"/>
            <w:r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24"/>
            <w:r w:rsidR="00EC53B5" w:rsidRPr="008B671F">
              <w:rPr>
                <w:rFonts w:ascii="Century Gothic" w:hAnsi="Century Gothic" w:cs="Arial"/>
                <w:sz w:val="20"/>
                <w:szCs w:val="20"/>
              </w:rPr>
              <w:t xml:space="preserve">  The safety and efficacy or IVIG </w:t>
            </w:r>
            <w:r w:rsidR="00EC53B5" w:rsidRPr="008B671F">
              <w:rPr>
                <w:rFonts w:ascii="Century Gothic" w:hAnsi="Century Gothic" w:cs="Arial"/>
                <w:b/>
                <w:sz w:val="20"/>
                <w:szCs w:val="20"/>
              </w:rPr>
              <w:t>retreatment</w:t>
            </w:r>
            <w:r w:rsidR="00EC53B5" w:rsidRPr="008B671F">
              <w:rPr>
                <w:rFonts w:ascii="Century Gothic" w:hAnsi="Century Gothic" w:cs="Arial"/>
                <w:sz w:val="20"/>
                <w:szCs w:val="20"/>
              </w:rPr>
              <w:t xml:space="preserve"> in this diagnosis</w:t>
            </w:r>
            <w:r w:rsidR="00D515D2">
              <w:rPr>
                <w:rFonts w:ascii="Century Gothic" w:hAnsi="Century Gothic" w:cs="Arial"/>
                <w:sz w:val="20"/>
                <w:szCs w:val="20"/>
              </w:rPr>
              <w:t>,</w:t>
            </w:r>
            <w:r w:rsidR="00EC53B5" w:rsidRPr="008B671F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2041D5"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5" w:name="Text11"/>
            <w:r w:rsidR="002041D5"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="002041D5" w:rsidRPr="008B671F">
              <w:rPr>
                <w:rFonts w:ascii="Century Gothic" w:hAnsi="Century Gothic" w:cs="Arial"/>
                <w:sz w:val="20"/>
                <w:szCs w:val="20"/>
              </w:rPr>
            </w:r>
            <w:r w:rsidR="002041D5"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="002041D5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2041D5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2041D5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2041D5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2041D5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2041D5"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25"/>
            <w:r w:rsidR="00D515D2">
              <w:rPr>
                <w:rFonts w:ascii="Century Gothic" w:hAnsi="Century Gothic" w:cs="Arial"/>
                <w:sz w:val="20"/>
                <w:szCs w:val="20"/>
              </w:rPr>
              <w:t>,</w:t>
            </w:r>
            <w:r w:rsidR="002041D5" w:rsidRPr="008B671F">
              <w:rPr>
                <w:rFonts w:ascii="Century Gothic" w:hAnsi="Century Gothic" w:cs="Arial"/>
                <w:sz w:val="20"/>
                <w:szCs w:val="20"/>
              </w:rPr>
              <w:t xml:space="preserve">   </w:t>
            </w:r>
            <w:r w:rsidR="00EC53B5" w:rsidRPr="008B671F">
              <w:rPr>
                <w:rFonts w:ascii="Century Gothic" w:hAnsi="Century Gothic" w:cs="Arial"/>
                <w:sz w:val="20"/>
                <w:szCs w:val="20"/>
              </w:rPr>
              <w:t>is not supported by peer-reviewed, published, scientific literature.</w:t>
            </w:r>
          </w:p>
          <w:p w14:paraId="5B18EAD5" w14:textId="77777777" w:rsidR="00C004E9" w:rsidRPr="008B671F" w:rsidRDefault="00EC53B5" w:rsidP="005A21C5">
            <w:pPr>
              <w:spacing w:before="40" w:after="4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59"/>
            <w:r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26"/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 The safety and efficacy of IVIG treatment longer than 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7" w:name="Text8"/>
            <w:r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27"/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weeks/year(s) in this diagnosis 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8" w:name="Text9"/>
            <w:r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28"/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 is not established in peer-reviewed, published, scientific literature.</w:t>
            </w:r>
          </w:p>
          <w:p w14:paraId="65F5CE1C" w14:textId="77777777" w:rsidR="00573C88" w:rsidRPr="008B671F" w:rsidRDefault="00573C88" w:rsidP="008B671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</w:p>
        </w:tc>
      </w:tr>
      <w:tr w:rsidR="002057B7" w:rsidRPr="008B671F" w14:paraId="5A32B259" w14:textId="77777777" w:rsidTr="008B671F">
        <w:tc>
          <w:tcPr>
            <w:tcW w:w="9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33F85DC9" w14:textId="77777777" w:rsidR="002057B7" w:rsidRPr="008B671F" w:rsidRDefault="002057B7" w:rsidP="008B671F">
            <w:pPr>
              <w:spacing w:before="60" w:after="6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lastRenderedPageBreak/>
              <w:t>IV.   Modification</w:t>
            </w:r>
          </w:p>
        </w:tc>
      </w:tr>
      <w:tr w:rsidR="002057B7" w:rsidRPr="008B671F" w14:paraId="65028F3D" w14:textId="77777777" w:rsidTr="008B671F">
        <w:tc>
          <w:tcPr>
            <w:tcW w:w="9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0E15D" w14:textId="77777777" w:rsidR="002057B7" w:rsidRPr="008B671F" w:rsidRDefault="002057B7" w:rsidP="008B671F">
            <w:pPr>
              <w:spacing w:before="60" w:after="60"/>
              <w:ind w:left="432" w:hanging="360"/>
              <w:rPr>
                <w:rFonts w:ascii="Century Gothic" w:hAnsi="Century Gothic" w:cs="Arial"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4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end"/>
            </w:r>
            <w:bookmarkEnd w:id="29"/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  Approve </w:t>
            </w:r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  <w:t>IVIG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0" w:name="Text3"/>
            <w:r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30"/>
            <w:r w:rsidRPr="008B671F">
              <w:rPr>
                <w:rFonts w:ascii="Century Gothic" w:hAnsi="Century Gothic" w:cs="Arial"/>
                <w:sz w:val="20"/>
                <w:szCs w:val="20"/>
              </w:rPr>
              <w:t>mg</w:t>
            </w:r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  <w:t>/kg (</w:t>
            </w:r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1" w:name="Text10"/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</w:r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="00581E6B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81E6B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81E6B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81E6B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81E6B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31"/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  <w:t>GM)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every 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2" w:name="Text5"/>
            <w:r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32"/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  <w:t>week(s)/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>month</w:t>
            </w:r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  <w:t>(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="00581E6B" w:rsidRPr="008B671F">
              <w:rPr>
                <w:rFonts w:ascii="Century Gothic" w:hAnsi="Century Gothic" w:cs="Arial"/>
                <w:sz w:val="20"/>
                <w:szCs w:val="20"/>
              </w:rPr>
              <w:t>)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for </w:t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t>doses/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3" w:name="Text6"/>
            <w:r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bookmarkEnd w:id="33"/>
            <w:r w:rsidRPr="008B671F">
              <w:rPr>
                <w:rFonts w:ascii="Century Gothic" w:hAnsi="Century Gothic" w:cs="Arial"/>
                <w:sz w:val="20"/>
                <w:szCs w:val="20"/>
              </w:rPr>
              <w:t>year</w:t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t xml:space="preserve"> effective </w:t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t xml:space="preserve"> through </w:t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instrText xml:space="preserve"> FORMTEXT </w:instrText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fldChar w:fldCharType="separate"/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9131F0" w:rsidRPr="008B671F">
              <w:rPr>
                <w:rFonts w:ascii="Century Gothic" w:hAnsi="Century Gothic" w:cs="Arial"/>
                <w:sz w:val="20"/>
                <w:szCs w:val="20"/>
              </w:rPr>
              <w:fldChar w:fldCharType="end"/>
            </w:r>
            <w:r w:rsidRPr="008B671F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2057B7" w:rsidRPr="008B671F" w14:paraId="1D35F1ED" w14:textId="77777777" w:rsidTr="008B671F">
        <w:trPr>
          <w:gridAfter w:val="1"/>
          <w:wAfter w:w="612" w:type="dxa"/>
        </w:trPr>
        <w:tc>
          <w:tcPr>
            <w:tcW w:w="885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E3E0AED" w14:textId="77777777" w:rsidR="002057B7" w:rsidRPr="008B671F" w:rsidRDefault="002057B7" w:rsidP="008B671F">
            <w:pPr>
              <w:spacing w:before="120"/>
              <w:rPr>
                <w:rFonts w:ascii="Century Gothic" w:hAnsi="Century Gothic" w:cs="Arial"/>
                <w:sz w:val="20"/>
                <w:szCs w:val="20"/>
              </w:rPr>
            </w:pP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4" w:name="Check15"/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instrText xml:space="preserve"> FORMCHECKBOX </w:instrText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</w:r>
            <w:r w:rsidR="001322F4">
              <w:rPr>
                <w:rFonts w:ascii="Century Gothic" w:hAnsi="Century Gothic" w:cs="Arial"/>
                <w:b/>
                <w:sz w:val="20"/>
                <w:szCs w:val="20"/>
              </w:rPr>
              <w:fldChar w:fldCharType="separate"/>
            </w:r>
            <w:r w:rsidRPr="008B671F">
              <w:rPr>
                <w:rFonts w:ascii="Century Gothic" w:hAnsi="Century Gothic" w:cs="Arial"/>
                <w:b/>
                <w:sz w:val="20"/>
                <w:szCs w:val="20"/>
              </w:rPr>
              <w:fldChar w:fldCharType="end"/>
            </w:r>
            <w:bookmarkEnd w:id="34"/>
            <w:r w:rsidRPr="008B671F">
              <w:rPr>
                <w:rFonts w:ascii="Century Gothic" w:hAnsi="Century Gothic" w:cs="Arial"/>
                <w:sz w:val="20"/>
                <w:szCs w:val="20"/>
              </w:rPr>
              <w:t xml:space="preserve"> The subscriber’s plan does provide for standard services and medication. </w:t>
            </w:r>
          </w:p>
        </w:tc>
      </w:tr>
    </w:tbl>
    <w:p w14:paraId="398EE40B" w14:textId="77777777" w:rsidR="00B60C76" w:rsidRPr="009131F0" w:rsidRDefault="001322F4" w:rsidP="00071642">
      <w:pPr>
        <w:pStyle w:val="2"/>
        <w:jc w:val="left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noProof/>
        </w:rPr>
        <w:pict w14:anchorId="3593A9CD">
          <v:rect id="_x0000_s1026" style="position:absolute;margin-left:333pt;margin-top:2.05pt;width:126pt;height:117pt;z-index:1;mso-position-horizontal-relative:text;mso-position-vertical-relative:text" filled="f">
            <v:textbox style="mso-next-textbox:#_x0000_s1026">
              <w:txbxContent>
                <w:p w14:paraId="03EDF4B1" w14:textId="77777777" w:rsidR="00D520D9" w:rsidRPr="005809D3" w:rsidRDefault="00D520D9" w:rsidP="000428F8">
                  <w:pPr>
                    <w:jc w:val="center"/>
                    <w:rPr>
                      <w:sz w:val="22"/>
                      <w:szCs w:val="22"/>
                    </w:rPr>
                  </w:pPr>
                  <w:r w:rsidRPr="005809D3">
                    <w:rPr>
                      <w:sz w:val="22"/>
                      <w:szCs w:val="22"/>
                    </w:rPr>
                    <w:t>PA Stamp</w:t>
                  </w:r>
                </w:p>
              </w:txbxContent>
            </v:textbox>
          </v:rect>
        </w:pict>
      </w:r>
    </w:p>
    <w:p w14:paraId="39CF56C2" w14:textId="77777777" w:rsidR="000428F8" w:rsidRPr="009131F0" w:rsidRDefault="000428F8" w:rsidP="000428F8">
      <w:pPr>
        <w:pStyle w:val="2"/>
        <w:ind w:left="-540"/>
        <w:jc w:val="left"/>
        <w:rPr>
          <w:rFonts w:ascii="Century Gothic" w:hAnsi="Century Gothic" w:cs="Arial"/>
          <w:sz w:val="20"/>
          <w:u w:val="single"/>
        </w:rPr>
      </w:pPr>
      <w:r w:rsidRPr="009131F0">
        <w:rPr>
          <w:rFonts w:ascii="Century Gothic" w:hAnsi="Century Gothic" w:cs="Arial"/>
          <w:sz w:val="20"/>
        </w:rPr>
        <w:t xml:space="preserve">Physician Advisor’s Signature </w:t>
      </w:r>
      <w:r w:rsidRPr="009131F0">
        <w:rPr>
          <w:rFonts w:ascii="Century Gothic" w:hAnsi="Century Gothic" w:cs="Arial"/>
          <w:sz w:val="20"/>
          <w:u w:val="single"/>
        </w:rPr>
        <w:tab/>
      </w:r>
      <w:r w:rsidRPr="009131F0">
        <w:rPr>
          <w:rFonts w:ascii="Century Gothic" w:hAnsi="Century Gothic" w:cs="Arial"/>
          <w:sz w:val="20"/>
          <w:u w:val="single"/>
        </w:rPr>
        <w:tab/>
      </w:r>
      <w:r w:rsidRPr="009131F0">
        <w:rPr>
          <w:rFonts w:ascii="Century Gothic" w:hAnsi="Century Gothic" w:cs="Arial"/>
          <w:sz w:val="20"/>
          <w:u w:val="single"/>
        </w:rPr>
        <w:tab/>
      </w:r>
      <w:r w:rsidRPr="009131F0">
        <w:rPr>
          <w:rFonts w:ascii="Century Gothic" w:hAnsi="Century Gothic" w:cs="Arial"/>
          <w:sz w:val="20"/>
          <w:u w:val="single"/>
        </w:rPr>
        <w:tab/>
      </w:r>
      <w:r w:rsidRPr="009131F0">
        <w:rPr>
          <w:rFonts w:ascii="Century Gothic" w:hAnsi="Century Gothic" w:cs="Arial"/>
          <w:sz w:val="20"/>
          <w:u w:val="single"/>
        </w:rPr>
        <w:tab/>
      </w:r>
    </w:p>
    <w:p w14:paraId="6240255E" w14:textId="77777777" w:rsidR="00EE6144" w:rsidRDefault="00EE6144" w:rsidP="009131F0">
      <w:pPr>
        <w:ind w:left="-450"/>
        <w:rPr>
          <w:rFonts w:ascii="Century Gothic" w:hAnsi="Century Gothic" w:cs="Arial"/>
          <w:sz w:val="20"/>
          <w:szCs w:val="20"/>
        </w:rPr>
      </w:pPr>
    </w:p>
    <w:p w14:paraId="51E67FA2" w14:textId="77777777" w:rsidR="00EE6144" w:rsidRDefault="00EE6144" w:rsidP="009131F0">
      <w:pPr>
        <w:ind w:left="-450"/>
        <w:rPr>
          <w:rFonts w:ascii="Century Gothic" w:hAnsi="Century Gothic" w:cs="Arial"/>
          <w:sz w:val="20"/>
          <w:szCs w:val="20"/>
        </w:rPr>
      </w:pPr>
    </w:p>
    <w:p w14:paraId="12BB46B1" w14:textId="77777777" w:rsidR="000428F8" w:rsidRPr="009131F0" w:rsidRDefault="00D94CF3" w:rsidP="009131F0">
      <w:pPr>
        <w:ind w:left="-450"/>
        <w:rPr>
          <w:rFonts w:ascii="Century Gothic" w:hAnsi="Century Gothic" w:cs="Arial"/>
          <w:sz w:val="20"/>
          <w:szCs w:val="20"/>
        </w:rPr>
      </w:pPr>
      <w:r w:rsidRPr="00D94CF3">
        <w:rPr>
          <w:rFonts w:ascii="Century Gothic" w:hAnsi="Century Gothic" w:cs="Arial"/>
          <w:sz w:val="20"/>
          <w:szCs w:val="20"/>
        </w:rPr>
        <w:fldChar w:fldCharType="begin"/>
      </w:r>
      <w:r w:rsidRPr="00D94CF3">
        <w:rPr>
          <w:rFonts w:ascii="Century Gothic" w:hAnsi="Century Gothic" w:cs="Arial"/>
          <w:sz w:val="20"/>
          <w:szCs w:val="20"/>
        </w:rPr>
        <w:instrText xml:space="preserve"> FILENAME </w:instrText>
      </w:r>
      <w:r w:rsidRPr="00D94CF3">
        <w:rPr>
          <w:rFonts w:ascii="Century Gothic" w:hAnsi="Century Gothic" w:cs="Arial"/>
          <w:sz w:val="20"/>
          <w:szCs w:val="20"/>
        </w:rPr>
        <w:fldChar w:fldCharType="separate"/>
      </w:r>
      <w:r>
        <w:rPr>
          <w:rFonts w:ascii="Century Gothic" w:hAnsi="Century Gothic" w:cs="Arial"/>
          <w:noProof/>
          <w:sz w:val="20"/>
          <w:szCs w:val="20"/>
        </w:rPr>
        <w:t xml:space="preserve">Intravenous immune globulin_IVIG_MD Determination Form </w:t>
      </w:r>
      <w:r w:rsidR="004C4331">
        <w:rPr>
          <w:rFonts w:ascii="Century Gothic" w:hAnsi="Century Gothic" w:cs="Arial"/>
          <w:noProof/>
          <w:sz w:val="20"/>
          <w:szCs w:val="20"/>
        </w:rPr>
        <w:t>0</w:t>
      </w:r>
      <w:r w:rsidR="0074175C">
        <w:rPr>
          <w:rFonts w:ascii="Century Gothic" w:hAnsi="Century Gothic" w:cs="Arial"/>
          <w:noProof/>
          <w:sz w:val="20"/>
          <w:szCs w:val="20"/>
        </w:rPr>
        <w:t>6.18.15</w:t>
      </w:r>
      <w:r>
        <w:rPr>
          <w:rFonts w:ascii="Century Gothic" w:hAnsi="Century Gothic" w:cs="Arial"/>
          <w:noProof/>
          <w:sz w:val="20"/>
          <w:szCs w:val="20"/>
        </w:rPr>
        <w:t>.doc</w:t>
      </w:r>
      <w:r w:rsidRPr="00D94CF3">
        <w:rPr>
          <w:rFonts w:ascii="Century Gothic" w:hAnsi="Century Gothic" w:cs="Arial"/>
          <w:sz w:val="20"/>
          <w:szCs w:val="20"/>
        </w:rPr>
        <w:fldChar w:fldCharType="end"/>
      </w:r>
    </w:p>
    <w:sectPr w:rsidR="000428F8" w:rsidRPr="009131F0" w:rsidSect="000428F8">
      <w:footerReference w:type="even" r:id="rId8"/>
      <w:foot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F5D32" w14:textId="77777777" w:rsidR="001322F4" w:rsidRDefault="001322F4">
      <w:r>
        <w:separator/>
      </w:r>
    </w:p>
  </w:endnote>
  <w:endnote w:type="continuationSeparator" w:id="0">
    <w:p w14:paraId="5FD1196F" w14:textId="77777777" w:rsidR="001322F4" w:rsidRDefault="0013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D49F6" w14:textId="77777777" w:rsidR="00D520D9" w:rsidRDefault="00D520D9" w:rsidP="00D9553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6AB1ADE" w14:textId="77777777" w:rsidR="00D520D9" w:rsidRDefault="00D520D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EE224" w14:textId="77777777" w:rsidR="00D520D9" w:rsidRDefault="00D520D9" w:rsidP="00D9553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6440E">
      <w:rPr>
        <w:rStyle w:val="a9"/>
        <w:noProof/>
      </w:rPr>
      <w:t>1</w:t>
    </w:r>
    <w:r>
      <w:rPr>
        <w:rStyle w:val="a9"/>
      </w:rPr>
      <w:fldChar w:fldCharType="end"/>
    </w:r>
  </w:p>
  <w:p w14:paraId="1E966668" w14:textId="77777777" w:rsidR="00D520D9" w:rsidRDefault="00D520D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B0B15" w14:textId="77777777" w:rsidR="001322F4" w:rsidRDefault="001322F4">
      <w:r>
        <w:separator/>
      </w:r>
    </w:p>
  </w:footnote>
  <w:footnote w:type="continuationSeparator" w:id="0">
    <w:p w14:paraId="14DAF630" w14:textId="77777777" w:rsidR="001322F4" w:rsidRDefault="00132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6C15"/>
    <w:multiLevelType w:val="hybridMultilevel"/>
    <w:tmpl w:val="63C28CD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39B62B80"/>
    <w:multiLevelType w:val="hybridMultilevel"/>
    <w:tmpl w:val="0EA89B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50866671"/>
    <w:multiLevelType w:val="hybridMultilevel"/>
    <w:tmpl w:val="1C9E1CC6"/>
    <w:lvl w:ilvl="0" w:tplc="83607E8E">
      <w:start w:val="1"/>
      <w:numFmt w:val="bullet"/>
      <w:lvlText w:val=""/>
      <w:lvlJc w:val="left"/>
      <w:pPr>
        <w:tabs>
          <w:tab w:val="num" w:pos="-1140"/>
        </w:tabs>
        <w:ind w:left="228" w:hanging="2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C92506"/>
    <w:multiLevelType w:val="hybridMultilevel"/>
    <w:tmpl w:val="796823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59978CC"/>
    <w:multiLevelType w:val="hybridMultilevel"/>
    <w:tmpl w:val="F74C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A6EDC"/>
    <w:multiLevelType w:val="hybridMultilevel"/>
    <w:tmpl w:val="55ECB66C"/>
    <w:lvl w:ilvl="0" w:tplc="04090003">
      <w:start w:val="1"/>
      <w:numFmt w:val="bullet"/>
      <w:lvlText w:val="o"/>
      <w:lvlJc w:val="left"/>
      <w:pPr>
        <w:tabs>
          <w:tab w:val="num" w:pos="-1140"/>
        </w:tabs>
        <w:ind w:left="228" w:hanging="228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5471E9"/>
    <w:multiLevelType w:val="hybridMultilevel"/>
    <w:tmpl w:val="086A4358"/>
    <w:lvl w:ilvl="0" w:tplc="EE0A75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trike w:val="0"/>
        <w:dstrike w:val="0"/>
        <w:color w:val="auto"/>
      </w:rPr>
    </w:lvl>
    <w:lvl w:ilvl="1" w:tplc="1F382F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trike w:val="0"/>
        <w:dstrike w:val="0"/>
        <w:color w:val="auto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66E"/>
    <w:rsid w:val="00005E0C"/>
    <w:rsid w:val="00007B3C"/>
    <w:rsid w:val="00022EA2"/>
    <w:rsid w:val="000428F8"/>
    <w:rsid w:val="00051FEC"/>
    <w:rsid w:val="0006204D"/>
    <w:rsid w:val="0007138D"/>
    <w:rsid w:val="00071642"/>
    <w:rsid w:val="00072C7B"/>
    <w:rsid w:val="0009071C"/>
    <w:rsid w:val="000A4E0F"/>
    <w:rsid w:val="000A5988"/>
    <w:rsid w:val="000B3BE3"/>
    <w:rsid w:val="000D40EE"/>
    <w:rsid w:val="000D5991"/>
    <w:rsid w:val="000D612A"/>
    <w:rsid w:val="000E3F5B"/>
    <w:rsid w:val="000E4A15"/>
    <w:rsid w:val="000E6A05"/>
    <w:rsid w:val="00107DB1"/>
    <w:rsid w:val="0011027C"/>
    <w:rsid w:val="00127760"/>
    <w:rsid w:val="001322F4"/>
    <w:rsid w:val="00142CD1"/>
    <w:rsid w:val="00146CD6"/>
    <w:rsid w:val="00153AB0"/>
    <w:rsid w:val="00180490"/>
    <w:rsid w:val="0018122E"/>
    <w:rsid w:val="00184343"/>
    <w:rsid w:val="00195AB9"/>
    <w:rsid w:val="001B1037"/>
    <w:rsid w:val="001B6F4E"/>
    <w:rsid w:val="001C1CA8"/>
    <w:rsid w:val="001C380F"/>
    <w:rsid w:val="001C780B"/>
    <w:rsid w:val="001D3754"/>
    <w:rsid w:val="001D538C"/>
    <w:rsid w:val="001E7E83"/>
    <w:rsid w:val="001F5B4E"/>
    <w:rsid w:val="001F65D2"/>
    <w:rsid w:val="002019A0"/>
    <w:rsid w:val="00201A2F"/>
    <w:rsid w:val="00202219"/>
    <w:rsid w:val="00203633"/>
    <w:rsid w:val="002041D5"/>
    <w:rsid w:val="002057B7"/>
    <w:rsid w:val="0024444D"/>
    <w:rsid w:val="0025591B"/>
    <w:rsid w:val="00256A12"/>
    <w:rsid w:val="00257FA2"/>
    <w:rsid w:val="002659E4"/>
    <w:rsid w:val="00266B49"/>
    <w:rsid w:val="00274535"/>
    <w:rsid w:val="002805A4"/>
    <w:rsid w:val="00285F88"/>
    <w:rsid w:val="002909F9"/>
    <w:rsid w:val="00294DFD"/>
    <w:rsid w:val="002C0001"/>
    <w:rsid w:val="002C67A2"/>
    <w:rsid w:val="002D0965"/>
    <w:rsid w:val="002D6F69"/>
    <w:rsid w:val="002D7F23"/>
    <w:rsid w:val="002F2335"/>
    <w:rsid w:val="002F3048"/>
    <w:rsid w:val="002F495A"/>
    <w:rsid w:val="002F7FE0"/>
    <w:rsid w:val="00320BDD"/>
    <w:rsid w:val="0032277B"/>
    <w:rsid w:val="00333287"/>
    <w:rsid w:val="003359C3"/>
    <w:rsid w:val="00350F6A"/>
    <w:rsid w:val="00363C80"/>
    <w:rsid w:val="003A3625"/>
    <w:rsid w:val="003A63EB"/>
    <w:rsid w:val="003C2FDD"/>
    <w:rsid w:val="003E06BC"/>
    <w:rsid w:val="003E4E22"/>
    <w:rsid w:val="003F0ADC"/>
    <w:rsid w:val="003F231B"/>
    <w:rsid w:val="003F3796"/>
    <w:rsid w:val="00405373"/>
    <w:rsid w:val="00427C5C"/>
    <w:rsid w:val="004315FB"/>
    <w:rsid w:val="00433C42"/>
    <w:rsid w:val="004447EE"/>
    <w:rsid w:val="00454ABD"/>
    <w:rsid w:val="0045650E"/>
    <w:rsid w:val="00465027"/>
    <w:rsid w:val="00474A39"/>
    <w:rsid w:val="004903CB"/>
    <w:rsid w:val="004917A9"/>
    <w:rsid w:val="00493B3C"/>
    <w:rsid w:val="004A7B8E"/>
    <w:rsid w:val="004B2A0D"/>
    <w:rsid w:val="004C4331"/>
    <w:rsid w:val="004C4C31"/>
    <w:rsid w:val="004E416B"/>
    <w:rsid w:val="004E6912"/>
    <w:rsid w:val="004E7141"/>
    <w:rsid w:val="004F281E"/>
    <w:rsid w:val="004F33FF"/>
    <w:rsid w:val="004F636E"/>
    <w:rsid w:val="0051181E"/>
    <w:rsid w:val="00511FC4"/>
    <w:rsid w:val="00524B48"/>
    <w:rsid w:val="00532E34"/>
    <w:rsid w:val="00533C3B"/>
    <w:rsid w:val="005341C7"/>
    <w:rsid w:val="005349FB"/>
    <w:rsid w:val="0054033F"/>
    <w:rsid w:val="00540375"/>
    <w:rsid w:val="00543B61"/>
    <w:rsid w:val="00573C88"/>
    <w:rsid w:val="0057577D"/>
    <w:rsid w:val="00580C11"/>
    <w:rsid w:val="00581E6B"/>
    <w:rsid w:val="00586E35"/>
    <w:rsid w:val="005952B4"/>
    <w:rsid w:val="005971E0"/>
    <w:rsid w:val="005A21C5"/>
    <w:rsid w:val="005A4BDC"/>
    <w:rsid w:val="005B5559"/>
    <w:rsid w:val="005D22E8"/>
    <w:rsid w:val="005F136D"/>
    <w:rsid w:val="005F60D3"/>
    <w:rsid w:val="00602222"/>
    <w:rsid w:val="00605288"/>
    <w:rsid w:val="00605678"/>
    <w:rsid w:val="00630404"/>
    <w:rsid w:val="00630F5F"/>
    <w:rsid w:val="006321AF"/>
    <w:rsid w:val="006331D2"/>
    <w:rsid w:val="00657689"/>
    <w:rsid w:val="0066008E"/>
    <w:rsid w:val="00660B9A"/>
    <w:rsid w:val="00686D00"/>
    <w:rsid w:val="00691B1D"/>
    <w:rsid w:val="006A0E49"/>
    <w:rsid w:val="006A59D7"/>
    <w:rsid w:val="006B4FA5"/>
    <w:rsid w:val="006C243F"/>
    <w:rsid w:val="006C7B5E"/>
    <w:rsid w:val="006D41C8"/>
    <w:rsid w:val="006E39B9"/>
    <w:rsid w:val="006E6561"/>
    <w:rsid w:val="006F1FE4"/>
    <w:rsid w:val="006F3BFD"/>
    <w:rsid w:val="007037C7"/>
    <w:rsid w:val="00707585"/>
    <w:rsid w:val="00707876"/>
    <w:rsid w:val="00715215"/>
    <w:rsid w:val="00715244"/>
    <w:rsid w:val="007316A5"/>
    <w:rsid w:val="007377D3"/>
    <w:rsid w:val="00737A20"/>
    <w:rsid w:val="0074175C"/>
    <w:rsid w:val="00750639"/>
    <w:rsid w:val="00751A71"/>
    <w:rsid w:val="007543D8"/>
    <w:rsid w:val="00755F42"/>
    <w:rsid w:val="00757997"/>
    <w:rsid w:val="00762465"/>
    <w:rsid w:val="0076440E"/>
    <w:rsid w:val="00770767"/>
    <w:rsid w:val="00773857"/>
    <w:rsid w:val="007A7883"/>
    <w:rsid w:val="007B5BC2"/>
    <w:rsid w:val="007E1092"/>
    <w:rsid w:val="007E510A"/>
    <w:rsid w:val="007E6F33"/>
    <w:rsid w:val="007F3D22"/>
    <w:rsid w:val="007F621F"/>
    <w:rsid w:val="00803D9D"/>
    <w:rsid w:val="00821D9B"/>
    <w:rsid w:val="0082786F"/>
    <w:rsid w:val="008435A5"/>
    <w:rsid w:val="008531FA"/>
    <w:rsid w:val="00860EF4"/>
    <w:rsid w:val="008615A5"/>
    <w:rsid w:val="00861C84"/>
    <w:rsid w:val="00864B6D"/>
    <w:rsid w:val="00867526"/>
    <w:rsid w:val="00881531"/>
    <w:rsid w:val="00887FA9"/>
    <w:rsid w:val="008A4076"/>
    <w:rsid w:val="008B671F"/>
    <w:rsid w:val="008C5726"/>
    <w:rsid w:val="008D00A3"/>
    <w:rsid w:val="008E7F9E"/>
    <w:rsid w:val="008F34DB"/>
    <w:rsid w:val="009027BA"/>
    <w:rsid w:val="00903021"/>
    <w:rsid w:val="0090421C"/>
    <w:rsid w:val="00911E4C"/>
    <w:rsid w:val="00912081"/>
    <w:rsid w:val="009131F0"/>
    <w:rsid w:val="00915169"/>
    <w:rsid w:val="009170FF"/>
    <w:rsid w:val="0092626F"/>
    <w:rsid w:val="00926C01"/>
    <w:rsid w:val="00953AFD"/>
    <w:rsid w:val="00957EFE"/>
    <w:rsid w:val="00967CD2"/>
    <w:rsid w:val="00996455"/>
    <w:rsid w:val="00996EC8"/>
    <w:rsid w:val="009B2EA5"/>
    <w:rsid w:val="009C0919"/>
    <w:rsid w:val="009C1E3C"/>
    <w:rsid w:val="009C3A92"/>
    <w:rsid w:val="009C4858"/>
    <w:rsid w:val="009C68AD"/>
    <w:rsid w:val="009D7AC9"/>
    <w:rsid w:val="00A00478"/>
    <w:rsid w:val="00A0092C"/>
    <w:rsid w:val="00A052B4"/>
    <w:rsid w:val="00A0554A"/>
    <w:rsid w:val="00A10B3C"/>
    <w:rsid w:val="00A15DD0"/>
    <w:rsid w:val="00A30975"/>
    <w:rsid w:val="00A47E0C"/>
    <w:rsid w:val="00A562A7"/>
    <w:rsid w:val="00A57A2E"/>
    <w:rsid w:val="00A61C77"/>
    <w:rsid w:val="00A64FA9"/>
    <w:rsid w:val="00A67A29"/>
    <w:rsid w:val="00A778DB"/>
    <w:rsid w:val="00A878AC"/>
    <w:rsid w:val="00A92A18"/>
    <w:rsid w:val="00A933FA"/>
    <w:rsid w:val="00AB0DBB"/>
    <w:rsid w:val="00AB2B05"/>
    <w:rsid w:val="00AD0E56"/>
    <w:rsid w:val="00AE210F"/>
    <w:rsid w:val="00AE5B97"/>
    <w:rsid w:val="00AF258E"/>
    <w:rsid w:val="00B043BB"/>
    <w:rsid w:val="00B05991"/>
    <w:rsid w:val="00B141D8"/>
    <w:rsid w:val="00B24E64"/>
    <w:rsid w:val="00B52240"/>
    <w:rsid w:val="00B56561"/>
    <w:rsid w:val="00B60C76"/>
    <w:rsid w:val="00B63AF9"/>
    <w:rsid w:val="00B7299D"/>
    <w:rsid w:val="00B81509"/>
    <w:rsid w:val="00B94C7D"/>
    <w:rsid w:val="00BA0226"/>
    <w:rsid w:val="00BB3633"/>
    <w:rsid w:val="00BD45FB"/>
    <w:rsid w:val="00BE0B31"/>
    <w:rsid w:val="00BE5F4D"/>
    <w:rsid w:val="00BF7D9B"/>
    <w:rsid w:val="00C004E9"/>
    <w:rsid w:val="00C004F5"/>
    <w:rsid w:val="00C07A4E"/>
    <w:rsid w:val="00C2163E"/>
    <w:rsid w:val="00C271A3"/>
    <w:rsid w:val="00C30D4C"/>
    <w:rsid w:val="00C331D2"/>
    <w:rsid w:val="00C36E61"/>
    <w:rsid w:val="00C56798"/>
    <w:rsid w:val="00C6011C"/>
    <w:rsid w:val="00C712B5"/>
    <w:rsid w:val="00C7502D"/>
    <w:rsid w:val="00CB6E8D"/>
    <w:rsid w:val="00CC3AC9"/>
    <w:rsid w:val="00CE666E"/>
    <w:rsid w:val="00CF3FA8"/>
    <w:rsid w:val="00D123D2"/>
    <w:rsid w:val="00D175D4"/>
    <w:rsid w:val="00D24FE2"/>
    <w:rsid w:val="00D25716"/>
    <w:rsid w:val="00D515D2"/>
    <w:rsid w:val="00D51E69"/>
    <w:rsid w:val="00D520D9"/>
    <w:rsid w:val="00D8497F"/>
    <w:rsid w:val="00D86E28"/>
    <w:rsid w:val="00D94CF3"/>
    <w:rsid w:val="00D9553C"/>
    <w:rsid w:val="00D96692"/>
    <w:rsid w:val="00DA3C36"/>
    <w:rsid w:val="00DA5F3B"/>
    <w:rsid w:val="00DB22A5"/>
    <w:rsid w:val="00DD043D"/>
    <w:rsid w:val="00DD6FC6"/>
    <w:rsid w:val="00DE02A9"/>
    <w:rsid w:val="00DE214E"/>
    <w:rsid w:val="00DF2478"/>
    <w:rsid w:val="00E033BF"/>
    <w:rsid w:val="00E03E1F"/>
    <w:rsid w:val="00E05C6D"/>
    <w:rsid w:val="00E1526C"/>
    <w:rsid w:val="00E1563F"/>
    <w:rsid w:val="00E54422"/>
    <w:rsid w:val="00E5483E"/>
    <w:rsid w:val="00E6501F"/>
    <w:rsid w:val="00E725B5"/>
    <w:rsid w:val="00E73152"/>
    <w:rsid w:val="00E83F4A"/>
    <w:rsid w:val="00E85304"/>
    <w:rsid w:val="00E93787"/>
    <w:rsid w:val="00E94A0F"/>
    <w:rsid w:val="00E964C8"/>
    <w:rsid w:val="00EB4DAD"/>
    <w:rsid w:val="00EB677D"/>
    <w:rsid w:val="00EB7999"/>
    <w:rsid w:val="00EB7F4C"/>
    <w:rsid w:val="00EC53B5"/>
    <w:rsid w:val="00ED7A41"/>
    <w:rsid w:val="00EE6144"/>
    <w:rsid w:val="00F022A4"/>
    <w:rsid w:val="00F144DD"/>
    <w:rsid w:val="00F209C3"/>
    <w:rsid w:val="00F56E7C"/>
    <w:rsid w:val="00F912D4"/>
    <w:rsid w:val="00F92E04"/>
    <w:rsid w:val="00F9403F"/>
    <w:rsid w:val="00FA3172"/>
    <w:rsid w:val="00FA3C7A"/>
    <w:rsid w:val="00FB0627"/>
    <w:rsid w:val="00FB4E5B"/>
    <w:rsid w:val="00FD576D"/>
    <w:rsid w:val="00FE0E81"/>
    <w:rsid w:val="00F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13B9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281E"/>
    <w:rPr>
      <w:sz w:val="24"/>
      <w:szCs w:val="24"/>
      <w:lang w:val="en-US" w:eastAsia="en-US"/>
    </w:rPr>
  </w:style>
  <w:style w:type="paragraph" w:styleId="2">
    <w:name w:val="heading 2"/>
    <w:basedOn w:val="a"/>
    <w:next w:val="a"/>
    <w:qFormat/>
    <w:rsid w:val="000428F8"/>
    <w:pPr>
      <w:keepNext/>
      <w:jc w:val="both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6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D043D"/>
    <w:rPr>
      <w:rFonts w:ascii="Tahoma" w:hAnsi="Tahoma" w:cs="Tahoma"/>
      <w:sz w:val="16"/>
      <w:szCs w:val="16"/>
    </w:rPr>
  </w:style>
  <w:style w:type="character" w:styleId="a5">
    <w:name w:val="annotation reference"/>
    <w:semiHidden/>
    <w:rsid w:val="008E7F9E"/>
    <w:rPr>
      <w:sz w:val="16"/>
      <w:szCs w:val="16"/>
    </w:rPr>
  </w:style>
  <w:style w:type="paragraph" w:styleId="a6">
    <w:name w:val="annotation text"/>
    <w:basedOn w:val="a"/>
    <w:semiHidden/>
    <w:rsid w:val="008E7F9E"/>
    <w:rPr>
      <w:sz w:val="20"/>
      <w:szCs w:val="20"/>
    </w:rPr>
  </w:style>
  <w:style w:type="paragraph" w:styleId="a7">
    <w:name w:val="annotation subject"/>
    <w:basedOn w:val="a6"/>
    <w:next w:val="a6"/>
    <w:semiHidden/>
    <w:rsid w:val="008E7F9E"/>
    <w:rPr>
      <w:b/>
      <w:bCs/>
    </w:rPr>
  </w:style>
  <w:style w:type="paragraph" w:styleId="a8">
    <w:name w:val="footer"/>
    <w:basedOn w:val="a"/>
    <w:rsid w:val="00153AB0"/>
    <w:pPr>
      <w:tabs>
        <w:tab w:val="center" w:pos="4320"/>
        <w:tab w:val="right" w:pos="8640"/>
      </w:tabs>
    </w:pPr>
  </w:style>
  <w:style w:type="character" w:styleId="a9">
    <w:name w:val="page number"/>
    <w:basedOn w:val="a0"/>
    <w:rsid w:val="00153AB0"/>
  </w:style>
  <w:style w:type="paragraph" w:styleId="aa">
    <w:name w:val="header"/>
    <w:basedOn w:val="a"/>
    <w:link w:val="ab"/>
    <w:rsid w:val="00202219"/>
    <w:pPr>
      <w:tabs>
        <w:tab w:val="center" w:pos="4320"/>
        <w:tab w:val="right" w:pos="8640"/>
      </w:tabs>
      <w:spacing w:line="260" w:lineRule="exact"/>
    </w:pPr>
    <w:rPr>
      <w:rFonts w:eastAsia="Times"/>
      <w:sz w:val="22"/>
      <w:szCs w:val="20"/>
    </w:rPr>
  </w:style>
  <w:style w:type="character" w:customStyle="1" w:styleId="ab">
    <w:name w:val="Верхний колонтитул Знак"/>
    <w:link w:val="aa"/>
    <w:rsid w:val="00202219"/>
    <w:rPr>
      <w:rFonts w:eastAsia="Time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1523</Words>
  <Characters>8682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AranespQ0137/Q4054/Epogen/Procrit Q0136/Q4055</vt:lpstr>
      <vt:lpstr>AranespQ0137/Q4054/Epogen/Procrit Q0136/Q4055</vt:lpstr>
    </vt:vector>
  </TitlesOfParts>
  <Company>Blue Shield of California</Company>
  <LinksUpToDate>false</LinksUpToDate>
  <CharactersWithSpaces>10185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AranespQ0137/Q4054/Epogen/Procrit Q0136/Q4055</dc:title>
  <dc:subject/>
  <dc:creator>Nancy Cornwell, RN</dc:creator>
  <cp:keywords/>
  <cp:lastModifiedBy>neD</cp:lastModifiedBy>
  <cp:revision>3</cp:revision>
  <cp:lastPrinted>2009-03-04T18:21:00Z</cp:lastPrinted>
  <dcterms:created xsi:type="dcterms:W3CDTF">2020-04-07T18:40:00Z</dcterms:created>
  <dcterms:modified xsi:type="dcterms:W3CDTF">2020-06-21T16:53:00Z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721303041</vt:i4>
  </property>
  <property fmtid="{D5CDD505-2E9C-101B-9397-08002B2CF9AE}" pid="3" name="_EmailSubject">
    <vt:lpwstr>MD Determination Forms</vt:lpwstr>
  </property>
  <property fmtid="{D5CDD505-2E9C-101B-9397-08002B2CF9AE}" pid="4" name="_AuthorEmail">
    <vt:lpwstr>David.Ormerod@blueshieldca.com</vt:lpwstr>
  </property>
  <property fmtid="{D5CDD505-2E9C-101B-9397-08002B2CF9AE}" pid="5" name="_AuthorEmailDisplayName">
    <vt:lpwstr>Ormerod, David (MD)</vt:lpwstr>
  </property>
  <property fmtid="{D5CDD505-2E9C-101B-9397-08002B2CF9AE}" pid="6" name="_PreviousAdHocReviewCycleID">
    <vt:i4>-915839322</vt:i4>
  </property>
  <property fmtid="{D5CDD505-2E9C-101B-9397-08002B2CF9AE}" pid="7" name="_ReviewingToolsShownOnce">
    <vt:lpwstr/>
  </property>
</Properties>
</file>