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2A8" w:rsidRDefault="00FD42A8" w:rsidP="00FD42A8">
      <w:pPr>
        <w:pStyle w:val="Heading2"/>
        <w:rPr>
          <w:rFonts w:cs="Segoe UI"/>
        </w:rPr>
      </w:pPr>
      <w:r>
        <w:rPr>
          <w:rFonts w:cs="Segoe UI"/>
        </w:rPr>
        <w:t xml:space="preserve">Company and Market Strengths </w:t>
      </w:r>
    </w:p>
    <w:p w:rsidR="00FD42A8" w:rsidRDefault="00FD42A8" w:rsidP="00FD42A8">
      <w:pPr>
        <w:pStyle w:val="Bullets"/>
        <w:keepNext/>
        <w:numPr>
          <w:ilvl w:val="0"/>
          <w:numId w:val="2"/>
        </w:numPr>
        <w:ind w:left="187" w:hanging="187"/>
        <w:rPr>
          <w:szCs w:val="20"/>
        </w:rPr>
      </w:pPr>
      <w:r>
        <w:rPr>
          <w:szCs w:val="20"/>
        </w:rPr>
        <w:t xml:space="preserve">Consensus CRM Market Leader for several years </w:t>
      </w:r>
      <w:hyperlink r:id="rId5" w:history="1">
        <w:r>
          <w:rPr>
            <w:rStyle w:val="Hyperlink"/>
            <w:szCs w:val="20"/>
          </w:rPr>
          <w:t>Gartner</w:t>
        </w:r>
      </w:hyperlink>
      <w:r>
        <w:rPr>
          <w:szCs w:val="20"/>
        </w:rPr>
        <w:t xml:space="preserve"> and </w:t>
      </w:r>
      <w:hyperlink r:id="rId6" w:history="1">
        <w:r>
          <w:rPr>
            <w:rStyle w:val="Hyperlink"/>
            <w:szCs w:val="20"/>
          </w:rPr>
          <w:t>Forrester</w:t>
        </w:r>
      </w:hyperlink>
    </w:p>
    <w:p w:rsidR="00FD42A8" w:rsidRDefault="00FD42A8" w:rsidP="00FD42A8">
      <w:pPr>
        <w:pStyle w:val="Bullets"/>
        <w:keepNext/>
        <w:numPr>
          <w:ilvl w:val="0"/>
          <w:numId w:val="2"/>
        </w:numPr>
        <w:ind w:left="187" w:hanging="187"/>
        <w:rPr>
          <w:szCs w:val="20"/>
        </w:rPr>
      </w:pPr>
      <w:r>
        <w:rPr>
          <w:szCs w:val="20"/>
        </w:rPr>
        <w:t xml:space="preserve">IDC – Salesforce.com had 14.0% </w:t>
      </w:r>
      <w:hyperlink r:id="rId7" w:history="1">
        <w:r>
          <w:rPr>
            <w:rStyle w:val="Hyperlink"/>
            <w:szCs w:val="20"/>
          </w:rPr>
          <w:t>WW market share</w:t>
        </w:r>
      </w:hyperlink>
      <w:r>
        <w:rPr>
          <w:szCs w:val="20"/>
        </w:rPr>
        <w:t xml:space="preserve"> in 2012 versus Microsoft 2.8%.</w:t>
      </w:r>
    </w:p>
    <w:p w:rsidR="00FD42A8" w:rsidRDefault="00FD42A8" w:rsidP="00FD42A8">
      <w:pPr>
        <w:pStyle w:val="Bullets"/>
        <w:keepNext/>
        <w:numPr>
          <w:ilvl w:val="0"/>
          <w:numId w:val="2"/>
        </w:numPr>
        <w:ind w:left="187" w:hanging="187"/>
        <w:rPr>
          <w:szCs w:val="20"/>
        </w:rPr>
      </w:pPr>
      <w:r>
        <w:rPr>
          <w:szCs w:val="20"/>
        </w:rPr>
        <w:t>IDC – SFDC claimed 41% of 2010 SaaS CRM revenue, trending up.</w:t>
      </w:r>
    </w:p>
    <w:p w:rsidR="00FD42A8" w:rsidRDefault="00FD42A8" w:rsidP="00FD42A8">
      <w:pPr>
        <w:pStyle w:val="Bullets"/>
        <w:numPr>
          <w:ilvl w:val="0"/>
          <w:numId w:val="2"/>
        </w:numPr>
        <w:ind w:left="180" w:hanging="180"/>
        <w:rPr>
          <w:szCs w:val="20"/>
        </w:rPr>
      </w:pPr>
      <w:r>
        <w:rPr>
          <w:szCs w:val="20"/>
        </w:rPr>
        <w:t>Primarily sold direct with global field organization in major and developing markets and through VARs in emerging markets.</w:t>
      </w:r>
    </w:p>
    <w:p w:rsidR="00FD42A8" w:rsidRDefault="00FD42A8" w:rsidP="00FD42A8">
      <w:pPr>
        <w:pStyle w:val="Bullets"/>
        <w:numPr>
          <w:ilvl w:val="0"/>
          <w:numId w:val="2"/>
        </w:numPr>
        <w:ind w:left="180" w:hanging="180"/>
        <w:rPr>
          <w:szCs w:val="20"/>
        </w:rPr>
      </w:pPr>
      <w:hyperlink r:id="rId8" w:history="1">
        <w:r>
          <w:rPr>
            <w:rStyle w:val="Hyperlink"/>
            <w:szCs w:val="20"/>
          </w:rPr>
          <w:t>Cult-like following</w:t>
        </w:r>
      </w:hyperlink>
      <w:r>
        <w:rPr>
          <w:szCs w:val="20"/>
        </w:rPr>
        <w:t xml:space="preserve"> with users and developers.</w:t>
      </w:r>
    </w:p>
    <w:p w:rsidR="00FD42A8" w:rsidRDefault="00FD42A8" w:rsidP="00FD42A8">
      <w:pPr>
        <w:pStyle w:val="Bullets"/>
        <w:numPr>
          <w:ilvl w:val="0"/>
          <w:numId w:val="2"/>
        </w:numPr>
        <w:ind w:left="180" w:hanging="180"/>
        <w:rPr>
          <w:szCs w:val="20"/>
        </w:rPr>
      </w:pPr>
      <w:r>
        <w:rPr>
          <w:szCs w:val="20"/>
        </w:rPr>
        <w:t>BDM’s buy Salesforce.com again when they start at a new company.</w:t>
      </w:r>
    </w:p>
    <w:p w:rsidR="0038473E" w:rsidRDefault="0038473E">
      <w:bookmarkStart w:id="0" w:name="_GoBack"/>
      <w:bookmarkEnd w:id="0"/>
    </w:p>
    <w:sectPr w:rsidR="00384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93C95"/>
    <w:multiLevelType w:val="hybridMultilevel"/>
    <w:tmpl w:val="997EFB94"/>
    <w:lvl w:ilvl="0" w:tplc="205E0942">
      <w:start w:val="1"/>
      <w:numFmt w:val="bullet"/>
      <w:pStyle w:val="1Bulletlis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9B7"/>
    <w:rsid w:val="0038473E"/>
    <w:rsid w:val="00EB19AA"/>
    <w:rsid w:val="00FD42A8"/>
    <w:rsid w:val="00FF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ED463-9BC4-4EAC-A6B9-F4B5A0E81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9"/>
    <w:qFormat/>
    <w:rsid w:val="00EB19AA"/>
    <w:pPr>
      <w:keepNext/>
      <w:pBdr>
        <w:left w:val="single" w:sz="2" w:space="4" w:color="0070C0"/>
        <w:bottom w:val="single" w:sz="2" w:space="1" w:color="0070C0"/>
      </w:pBdr>
      <w:spacing w:before="240" w:after="120" w:line="240" w:lineRule="auto"/>
      <w:outlineLvl w:val="1"/>
    </w:pPr>
    <w:rPr>
      <w:rFonts w:ascii="Segoe UI" w:eastAsia="Times New Roman" w:hAnsi="Segoe UI" w:cs="Arial"/>
      <w:b/>
      <w:bCs/>
      <w:color w:val="00187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EB19AA"/>
    <w:rPr>
      <w:rFonts w:ascii="Segoe UI" w:eastAsia="Times New Roman" w:hAnsi="Segoe UI" w:cs="Arial"/>
      <w:b/>
      <w:bCs/>
      <w:color w:val="00187A"/>
      <w:sz w:val="20"/>
    </w:rPr>
  </w:style>
  <w:style w:type="character" w:styleId="Hyperlink">
    <w:name w:val="Hyperlink"/>
    <w:basedOn w:val="DefaultParagraphFont"/>
    <w:uiPriority w:val="99"/>
    <w:rsid w:val="00EB19AA"/>
    <w:rPr>
      <w:rFonts w:cs="Times New Roman"/>
      <w:color w:val="0000FF"/>
      <w:u w:val="single"/>
    </w:rPr>
  </w:style>
  <w:style w:type="paragraph" w:customStyle="1" w:styleId="1Bulletlist">
    <w:name w:val="1 Bullet list"/>
    <w:basedOn w:val="Normal"/>
    <w:rsid w:val="00EB19AA"/>
    <w:pPr>
      <w:numPr>
        <w:numId w:val="1"/>
      </w:numPr>
      <w:spacing w:before="40" w:after="40" w:line="240" w:lineRule="auto"/>
    </w:pPr>
    <w:rPr>
      <w:rFonts w:ascii="Segoe" w:hAnsi="Segoe" w:cs="Segoe UI"/>
      <w:sz w:val="18"/>
      <w:szCs w:val="18"/>
    </w:rPr>
  </w:style>
  <w:style w:type="paragraph" w:customStyle="1" w:styleId="Bullets">
    <w:name w:val="Bullets"/>
    <w:basedOn w:val="1Bulletlist"/>
    <w:link w:val="BulletsChar"/>
    <w:qFormat/>
    <w:rsid w:val="00EB19AA"/>
    <w:rPr>
      <w:rFonts w:ascii="Segoe UI" w:hAnsi="Segoe UI"/>
      <w:sz w:val="20"/>
    </w:rPr>
  </w:style>
  <w:style w:type="character" w:customStyle="1" w:styleId="BulletsChar">
    <w:name w:val="Bullets Char"/>
    <w:basedOn w:val="DefaultParagraphFont"/>
    <w:link w:val="Bullets"/>
    <w:rsid w:val="00EB19AA"/>
    <w:rPr>
      <w:rFonts w:ascii="Segoe UI" w:hAnsi="Segoe UI" w:cs="Segoe UI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4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cmag.com/article2/0,2817,2397169,00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orbes.com/sites/louiscolumbus/2012/12/04/roundup-of-crm-forecasts-and-market-estimates-201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crosoft.com/en-us/news/itanalyst/docs/07-09-12CRMLarge.PDF" TargetMode="External"/><Relationship Id="rId5" Type="http://schemas.openxmlformats.org/officeDocument/2006/relationships/hyperlink" Target="http://www.gartner.com/id=208591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Akhmetov</dc:creator>
  <cp:keywords/>
  <dc:description/>
  <cp:lastModifiedBy>Albert Akhmetov</cp:lastModifiedBy>
  <cp:revision>3</cp:revision>
  <dcterms:created xsi:type="dcterms:W3CDTF">2016-07-15T13:11:00Z</dcterms:created>
  <dcterms:modified xsi:type="dcterms:W3CDTF">2016-07-15T13:22:00Z</dcterms:modified>
</cp:coreProperties>
</file>