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 Generated by Aspose.Words for .NET 24.11.1 -->
  <w:body>
    <w:p>
      <w:r>
        <w:rPr>
          <w:strike w:val="0"/>
          <w:u w:val="none"/>
        </w:rPr>
        <w:drawing>
          <wp:inline>
            <wp:extent cx="6943725" cy="90487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4"/>
                    <a:stretch>
                      <a:fillRect/>
                    </a:stretch>
                  </pic:blipFill>
                  <pic:spPr>
                    <a:xfrm>
                      <a:off x="0" y="0"/>
                      <a:ext cx="6943725" cy="904875"/>
                    </a:xfrm>
                    <a:prstGeom prst="rect">
                      <a:avLst/>
                    </a:prstGeom>
                  </pic:spPr>
                </pic:pic>
              </a:graphicData>
            </a:graphic>
          </wp:inline>
        </w:drawing>
      </w:r>
    </w:p>
    <w:p>
      <w:pPr>
        <w:spacing w:before="240" w:after="0"/>
        <w:jc w:val="center"/>
      </w:pPr>
      <w:r>
        <w:rPr>
          <w:rStyle w:val="DefaultParagraphFont0"/>
          <w:rFonts w:ascii="Times New Roman" w:eastAsia="Times New Roman" w:hAnsi="Times New Roman" w:cs="Times New Roman"/>
          <w:b/>
          <w:bCs/>
        </w:rPr>
        <w:t>Proposal for Supply of Renewable Power to</w:t>
      </w:r>
      <w:r>
        <w:rPr>
          <w:rStyle w:val="DefaultParagraphFont0"/>
          <w:rFonts w:ascii="Times New Roman" w:eastAsia="Times New Roman" w:hAnsi="Times New Roman" w:cs="Times New Roman"/>
          <w:b/>
          <w:bCs/>
        </w:rPr>
        <w:t xml:space="preserve"> </w:t>
      </w:r>
      <w:r>
        <w:rPr>
          <w:rStyle w:val="DefaultParagraphFont0"/>
          <w:rFonts w:ascii="Times New Roman" w:eastAsia="Times New Roman" w:hAnsi="Times New Roman" w:cs="Times New Roman"/>
          <w:b/>
          <w:bCs/>
        </w:rPr>
        <w:t>Chrome Infosoft Solutions</w:t>
      </w:r>
      <w:r>
        <w:rPr>
          <w:rStyle w:val="DefaultParagraphFont0"/>
          <w:rFonts w:ascii="Times New Roman" w:eastAsia="Times New Roman" w:hAnsi="Times New Roman" w:cs="Times New Roman"/>
          <w:b/>
          <w:bCs/>
        </w:rPr>
        <w:t xml:space="preserve"> </w:t>
      </w:r>
    </w:p>
    <w:p>
      <w:pPr>
        <w:spacing w:before="240" w:after="0"/>
        <w:jc w:val="center"/>
      </w:pPr>
      <w:r>
        <w:rPr>
          <w:rStyle w:val="DefaultParagraphFonttext001"/>
        </w:rPr>
        <w:t>16 July 2024</w:t>
      </w:r>
    </w:p>
    <w:p>
      <w:pPr>
        <w:spacing w:before="240" w:after="0"/>
        <w:jc w:val="center"/>
        <w:rPr>
          <w:sz w:val="24"/>
          <w:szCs w:val="24"/>
        </w:rPr>
      </w:pPr>
    </w:p>
    <w:p>
      <w:pPr>
        <w:spacing w:before="240" w:after="0"/>
        <w:jc w:val="center"/>
      </w:pPr>
      <w:r>
        <w:rPr>
          <w:rStyle w:val="DefaultParagraphFont0"/>
          <w:rFonts w:ascii="Times New Roman" w:eastAsia="Times New Roman" w:hAnsi="Times New Roman" w:cs="Times New Roman"/>
          <w:b/>
          <w:bCs/>
        </w:rPr>
        <w:t>The Document is edited offline</w:t>
      </w:r>
      <w:r>
        <w:rPr>
          <w:rStyle w:val="DefaultParagraphFont0"/>
          <w:rFonts w:ascii="Times New Roman" w:eastAsia="Times New Roman" w:hAnsi="Times New Roman" w:cs="Times New Roman"/>
          <w:b/>
          <w:bCs/>
        </w:rPr>
        <w:t xml:space="preserve"> 16/07/24 17:34</w:t>
      </w:r>
    </w:p>
    <w:p>
      <w:pPr>
        <w:spacing w:before="240" w:after="0"/>
        <w:jc w:val="both"/>
        <w:rPr>
          <w:sz w:val="24"/>
          <w:szCs w:val="24"/>
        </w:rPr>
      </w:pPr>
    </w:p>
    <w:p>
      <w:pPr>
        <w:spacing w:before="240" w:after="0"/>
        <w:jc w:val="both"/>
      </w:pPr>
      <w:r>
        <w:rPr>
          <w:rStyle w:val="DefaultParagraphFont0"/>
          <w:rFonts w:ascii="Times New Roman" w:eastAsia="Times New Roman" w:hAnsi="Times New Roman" w:cs="Times New Roman"/>
        </w:rPr>
        <w:t xml:space="preserve">The following </w:t>
      </w:r>
      <w:r>
        <w:rPr>
          <w:rStyle w:val="DefaultParagraphFont0"/>
          <w:rFonts w:ascii="Times New Roman" w:eastAsia="Times New Roman" w:hAnsi="Times New Roman" w:cs="Times New Roman"/>
        </w:rPr>
        <w:t>term sheet (the “</w:t>
      </w:r>
      <w:r>
        <w:rPr>
          <w:rStyle w:val="DefaultParagraphFont0"/>
          <w:rFonts w:ascii="Times New Roman" w:eastAsia="Times New Roman" w:hAnsi="Times New Roman" w:cs="Times New Roman"/>
          <w:b/>
          <w:bCs/>
        </w:rPr>
        <w:t>Term Sheet</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 xml:space="preserve">is a summary of terms and conditions proposed by Clean Max </w:t>
      </w:r>
      <w:r>
        <w:rPr>
          <w:rStyle w:val="DefaultParagraphFont0"/>
          <w:rFonts w:ascii="Times New Roman" w:eastAsia="Times New Roman" w:hAnsi="Times New Roman" w:cs="Times New Roman"/>
        </w:rPr>
        <w:t>Enviro Energy Solutions</w:t>
      </w:r>
      <w:r>
        <w:rPr>
          <w:rStyle w:val="DefaultParagraphFont0"/>
          <w:rFonts w:ascii="Times New Roman" w:eastAsia="Times New Roman" w:hAnsi="Times New Roman" w:cs="Times New Roman"/>
        </w:rPr>
        <w:t xml:space="preserve"> Pvt. Ltd. (“</w:t>
      </w:r>
      <w:r>
        <w:rPr>
          <w:rStyle w:val="DefaultParagraphFont0"/>
          <w:rFonts w:ascii="Times New Roman" w:eastAsia="Times New Roman" w:hAnsi="Times New Roman" w:cs="Times New Roman"/>
          <w:b/>
          <w:bCs/>
        </w:rPr>
        <w:t>Clean Max</w:t>
      </w:r>
      <w:r>
        <w:rPr>
          <w:rStyle w:val="DefaultParagraphFont0"/>
          <w:rFonts w:ascii="Times New Roman" w:eastAsia="Times New Roman" w:hAnsi="Times New Roman" w:cs="Times New Roman"/>
        </w:rPr>
        <w:t>”) for long-term consumption of renewable power by</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b/>
          <w:bCs/>
        </w:rPr>
        <w:t>Chrome Infosoft Solutions</w:t>
      </w:r>
      <w:r>
        <w:rPr>
          <w:rStyle w:val="DefaultParagraphFont0"/>
          <w:rFonts w:ascii="Times New Roman" w:eastAsia="Times New Roman" w:hAnsi="Times New Roman" w:cs="Times New Roman"/>
          <w:b/>
          <w:bCs/>
        </w:rPr>
        <w:t xml:space="preserve"> </w:t>
      </w:r>
      <w:r>
        <w:rPr>
          <w:rStyle w:val="DefaultParagraphFont0"/>
          <w:rFonts w:ascii="Times New Roman" w:eastAsia="Times New Roman" w:hAnsi="Times New Roman" w:cs="Times New Roman"/>
          <w:b/>
          <w:bCs/>
        </w:rPr>
        <w:t>(“Consumer”)</w:t>
      </w:r>
      <w:r>
        <w:rPr>
          <w:rStyle w:val="DefaultParagraphFont0"/>
          <w:rFonts w:ascii="Times New Roman" w:eastAsia="Times New Roman" w:hAnsi="Times New Roman" w:cs="Times New Roman"/>
        </w:rPr>
        <w:t xml:space="preserve"> from a </w:t>
      </w:r>
      <w:r>
        <w:rPr>
          <w:rStyle w:val="DefaultParagraphFont0"/>
          <w:rFonts w:ascii="Times New Roman" w:eastAsia="Times New Roman" w:hAnsi="Times New Roman" w:cs="Times New Roman"/>
        </w:rPr>
        <w:t>Renewable</w:t>
      </w:r>
      <w:r>
        <w:rPr>
          <w:rStyle w:val="DefaultParagraphFont0"/>
          <w:rFonts w:ascii="Times New Roman" w:eastAsia="Times New Roman" w:hAnsi="Times New Roman" w:cs="Times New Roman"/>
        </w:rPr>
        <w:t xml:space="preserve"> Captive Generating Plant (“</w:t>
      </w:r>
      <w:r>
        <w:rPr>
          <w:rStyle w:val="DefaultParagraphFont0"/>
          <w:rFonts w:ascii="Times New Roman" w:eastAsia="Times New Roman" w:hAnsi="Times New Roman" w:cs="Times New Roman"/>
          <w:b/>
          <w:bCs/>
        </w:rPr>
        <w:t>RCGP</w:t>
      </w:r>
      <w:r>
        <w:rPr>
          <w:rStyle w:val="DefaultParagraphFont0"/>
          <w:rFonts w:ascii="Times New Roman" w:eastAsia="Times New Roman" w:hAnsi="Times New Roman" w:cs="Times New Roman"/>
        </w:rPr>
        <w:t xml:space="preserve">”). Both the Consumer and </w:t>
      </w:r>
      <w:r>
        <w:rPr>
          <w:rStyle w:val="DefaultParagraphFont0"/>
          <w:rFonts w:ascii="Times New Roman" w:eastAsia="Times New Roman" w:hAnsi="Times New Roman" w:cs="Times New Roman"/>
        </w:rPr>
        <w:t>Clean Max</w:t>
      </w:r>
      <w:r>
        <w:rPr>
          <w:rStyle w:val="DefaultParagraphFont0"/>
          <w:rFonts w:ascii="Times New Roman" w:eastAsia="Times New Roman" w:hAnsi="Times New Roman" w:cs="Times New Roman"/>
        </w:rPr>
        <w:t xml:space="preserve"> shall be collectively known as the Parties (“</w:t>
      </w:r>
      <w:r>
        <w:rPr>
          <w:rStyle w:val="DefaultParagraphFont0"/>
          <w:rFonts w:ascii="Times New Roman" w:eastAsia="Times New Roman" w:hAnsi="Times New Roman" w:cs="Times New Roman"/>
          <w:b/>
          <w:bCs/>
        </w:rPr>
        <w:t>Parties</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The Parties will execute an Energy Supply Agreement (“</w:t>
      </w:r>
      <w:r>
        <w:rPr>
          <w:rStyle w:val="DefaultParagraphFont0"/>
          <w:rFonts w:ascii="Times New Roman" w:eastAsia="Times New Roman" w:hAnsi="Times New Roman" w:cs="Times New Roman"/>
          <w:b/>
          <w:bCs/>
        </w:rPr>
        <w:t>ESA</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Share Purchase Agreement (“</w:t>
      </w:r>
      <w:r>
        <w:rPr>
          <w:rStyle w:val="DefaultParagraphFont0"/>
          <w:rFonts w:ascii="Times New Roman" w:eastAsia="Times New Roman" w:hAnsi="Times New Roman" w:cs="Times New Roman"/>
          <w:b/>
          <w:bCs/>
        </w:rPr>
        <w:t>SPA</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 xml:space="preserve">, a </w:t>
      </w:r>
      <w:r>
        <w:rPr>
          <w:rStyle w:val="DefaultParagraphFont0"/>
          <w:rFonts w:ascii="Times New Roman" w:eastAsia="Times New Roman" w:hAnsi="Times New Roman" w:cs="Times New Roman"/>
        </w:rPr>
        <w:t>Shareholders</w:t>
      </w:r>
      <w:r>
        <w:rPr>
          <w:rStyle w:val="DefaultParagraphFont0"/>
          <w:rFonts w:ascii="Times New Roman" w:eastAsia="Times New Roman" w:hAnsi="Times New Roman" w:cs="Times New Roman"/>
        </w:rPr>
        <w:t xml:space="preserve"> Agreement</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b/>
          <w:bCs/>
        </w:rPr>
        <w:t>SHA</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 and Performance Incentive Agreement (“</w:t>
      </w:r>
      <w:r>
        <w:rPr>
          <w:rStyle w:val="DefaultParagraphFont0"/>
          <w:rFonts w:ascii="Times New Roman" w:eastAsia="Times New Roman" w:hAnsi="Times New Roman" w:cs="Times New Roman"/>
          <w:b/>
          <w:bCs/>
        </w:rPr>
        <w:t>PIA</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reflecting the commercial terms outlined herein.</w:t>
      </w:r>
    </w:p>
    <w:p>
      <w:pPr>
        <w:spacing w:before="240" w:after="0"/>
        <w:jc w:val="both"/>
        <w:rPr>
          <w:sz w:val="24"/>
          <w:szCs w:val="24"/>
        </w:rPr>
      </w:pPr>
    </w:p>
    <w:tbl>
      <w:tblPr>
        <w:tblCellSpacing w:w="15" w:type="dxa"/>
        <w:tblCellMar>
          <w:top w:w="15" w:type="dxa"/>
          <w:left w:w="15" w:type="dxa"/>
          <w:bottom w:w="15" w:type="dxa"/>
          <w:right w:w="15" w:type="dxa"/>
        </w:tblCellMar>
      </w:tblPr>
      <w:tblGrid>
        <w:gridCol w:w="1585"/>
        <w:gridCol w:w="7730"/>
      </w:tblGrid>
      <w:tr>
        <w:tc>
          <w:tcPr>
            <w:tcW w:w="1838"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pPr>
            <w:r>
              <w:rPr>
                <w:rStyle w:val="DefaultParagraphFont0"/>
                <w:rFonts w:ascii="Times New Roman" w:eastAsia="Times New Roman" w:hAnsi="Times New Roman" w:cs="Times New Roman"/>
                <w:b/>
                <w:bCs/>
              </w:rPr>
              <w:t>Preface</w:t>
            </w:r>
          </w:p>
        </w:tc>
        <w:tc>
          <w:tcPr>
            <w:tcW w:w="8619"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rPr>
                <w:sz w:val="24"/>
                <w:szCs w:val="24"/>
              </w:rPr>
            </w:pPr>
          </w:p>
          <w:p>
            <w:pPr>
              <w:spacing w:before="240" w:after="0"/>
              <w:jc w:val="both"/>
            </w:pPr>
            <w:r>
              <w:rPr>
                <w:rStyle w:val="DefaultParagraphFont0"/>
                <w:rFonts w:ascii="Times New Roman" w:eastAsia="Times New Roman" w:hAnsi="Times New Roman" w:cs="Times New Roman"/>
              </w:rPr>
              <w:t>Clean Max</w:t>
            </w:r>
            <w:r>
              <w:rPr>
                <w:rStyle w:val="DefaultParagraphFont0"/>
                <w:rFonts w:ascii="Times New Roman" w:eastAsia="Times New Roman" w:hAnsi="Times New Roman" w:cs="Times New Roman"/>
              </w:rPr>
              <w:t xml:space="preserve"> intends to </w:t>
            </w:r>
            <w:r>
              <w:rPr>
                <w:rStyle w:val="DefaultParagraphFont0"/>
                <w:rFonts w:ascii="Times New Roman" w:eastAsia="Times New Roman" w:hAnsi="Times New Roman" w:cs="Times New Roman"/>
              </w:rPr>
              <w:t xml:space="preserve">set-up </w:t>
            </w:r>
            <w:r>
              <w:rPr>
                <w:rStyle w:val="DefaultParagraphFont0"/>
                <w:rFonts w:ascii="Times New Roman" w:eastAsia="Times New Roman" w:hAnsi="Times New Roman" w:cs="Times New Roman"/>
              </w:rPr>
              <w:t xml:space="preserve">a </w:t>
            </w:r>
            <w:r>
              <w:rPr>
                <w:rStyle w:val="DefaultParagraphFont0"/>
                <w:rFonts w:ascii="Times New Roman" w:eastAsia="Times New Roman" w:hAnsi="Times New Roman" w:cs="Times New Roman"/>
              </w:rPr>
              <w:t>RCGP</w:t>
            </w:r>
            <w:r>
              <w:rPr>
                <w:rStyle w:val="DefaultParagraphFont0"/>
                <w:rFonts w:ascii="Times New Roman" w:eastAsia="Times New Roman" w:hAnsi="Times New Roman" w:cs="Times New Roman"/>
              </w:rPr>
              <w:t xml:space="preserve"> in a Special Purpose Vehicle (“</w:t>
            </w:r>
            <w:r>
              <w:rPr>
                <w:rStyle w:val="DefaultParagraphFont0"/>
                <w:rFonts w:ascii="Times New Roman" w:eastAsia="Times New Roman" w:hAnsi="Times New Roman" w:cs="Times New Roman"/>
                <w:b/>
                <w:bCs/>
              </w:rPr>
              <w:t>SPV</w:t>
            </w:r>
            <w:r>
              <w:rPr>
                <w:rStyle w:val="DefaultParagraphFont0"/>
                <w:rFonts w:ascii="Times New Roman" w:eastAsia="Times New Roman" w:hAnsi="Times New Roman" w:cs="Times New Roman"/>
                <w:b/>
                <w:bCs/>
              </w:rPr>
              <w:t>”</w:t>
            </w:r>
            <w:r>
              <w:rPr>
                <w:rStyle w:val="DefaultParagraphFont0"/>
                <w:rFonts w:ascii="Times New Roman" w:eastAsia="Times New Roman" w:hAnsi="Times New Roman" w:cs="Times New Roman"/>
                <w:b/>
                <w:bCs/>
              </w:rPr>
              <w:t xml:space="preserve"> or </w:t>
            </w:r>
            <w:r>
              <w:rPr>
                <w:rStyle w:val="DefaultParagraphFont0"/>
                <w:rFonts w:ascii="Times New Roman" w:eastAsia="Times New Roman" w:hAnsi="Times New Roman" w:cs="Times New Roman"/>
                <w:b/>
                <w:bCs/>
              </w:rPr>
              <w:t>“</w:t>
            </w:r>
            <w:r>
              <w:rPr>
                <w:rStyle w:val="DefaultParagraphFont0"/>
                <w:rFonts w:ascii="Times New Roman" w:eastAsia="Times New Roman" w:hAnsi="Times New Roman" w:cs="Times New Roman"/>
                <w:b/>
                <w:bCs/>
              </w:rPr>
              <w:t>Supplier</w:t>
            </w:r>
            <w:r>
              <w:rPr>
                <w:rStyle w:val="DefaultParagraphFont0"/>
                <w:rFonts w:ascii="Times New Roman" w:eastAsia="Times New Roman" w:hAnsi="Times New Roman" w:cs="Times New Roman"/>
              </w:rPr>
              <w:t>”) under the captive model envisaged under the Electricity Act, 2003</w:t>
            </w:r>
            <w:r>
              <w:rPr>
                <w:rStyle w:val="DefaultParagraphFont0"/>
                <w:rFonts w:ascii="Times New Roman" w:eastAsia="Times New Roman" w:hAnsi="Times New Roman" w:cs="Times New Roman"/>
              </w:rPr>
              <w:t xml:space="preserve"> and the rules framed thereunder as amended </w:t>
            </w:r>
            <w:r>
              <w:rPr>
                <w:rStyle w:val="DefaultParagraphFont0"/>
                <w:rFonts w:ascii="Times New Roman" w:eastAsia="Times New Roman" w:hAnsi="Times New Roman" w:cs="Times New Roman"/>
              </w:rPr>
              <w:t xml:space="preserve">and notified </w:t>
            </w:r>
            <w:r>
              <w:rPr>
                <w:rStyle w:val="DefaultParagraphFont0"/>
                <w:rFonts w:ascii="Times New Roman" w:eastAsia="Times New Roman" w:hAnsi="Times New Roman" w:cs="Times New Roman"/>
              </w:rPr>
              <w:t>from time to time</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b/>
                <w:bCs/>
              </w:rPr>
              <w:t>Electricity Laws</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 xml:space="preserve">The Supplier shall </w:t>
            </w:r>
            <w:r>
              <w:rPr>
                <w:rStyle w:val="DefaultParagraphFont0"/>
                <w:rFonts w:ascii="Times New Roman" w:eastAsia="Times New Roman" w:hAnsi="Times New Roman" w:cs="Times New Roman"/>
              </w:rPr>
              <w:t>enter into</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 xml:space="preserve">a contract </w:t>
            </w:r>
            <w:r>
              <w:rPr>
                <w:rStyle w:val="DefaultParagraphFont0"/>
                <w:rFonts w:ascii="Times New Roman" w:eastAsia="Times New Roman" w:hAnsi="Times New Roman" w:cs="Times New Roman"/>
              </w:rPr>
              <w:t>with</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b/>
                <w:bCs/>
              </w:rPr>
              <w:t>Chrome Infosoft Solutions</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b/>
                <w:bCs/>
              </w:rPr>
              <w:t>Consumer</w:t>
            </w:r>
            <w:r>
              <w:rPr>
                <w:rStyle w:val="DefaultParagraphFont0"/>
                <w:rFonts w:ascii="Times New Roman" w:eastAsia="Times New Roman" w:hAnsi="Times New Roman" w:cs="Times New Roman"/>
              </w:rPr>
              <w:t xml:space="preserve">”) to supply renewable energy </w:t>
            </w:r>
            <w:r>
              <w:rPr>
                <w:rStyle w:val="DefaultParagraphFont0"/>
                <w:rFonts w:ascii="Times New Roman" w:eastAsia="Times New Roman" w:hAnsi="Times New Roman" w:cs="Times New Roman"/>
              </w:rPr>
              <w:t xml:space="preserve">to </w:t>
            </w:r>
            <w:r>
              <w:rPr>
                <w:rStyle w:val="DefaultParagraphFont0"/>
                <w:rFonts w:ascii="Times New Roman" w:eastAsia="Times New Roman" w:hAnsi="Times New Roman" w:cs="Times New Roman"/>
              </w:rPr>
              <w:t xml:space="preserve">the </w:t>
            </w:r>
            <w:r>
              <w:rPr>
                <w:rStyle w:val="DefaultParagraphFont0"/>
                <w:rFonts w:ascii="Times New Roman" w:eastAsia="Times New Roman" w:hAnsi="Times New Roman" w:cs="Times New Roman"/>
              </w:rPr>
              <w:t>Consumer</w:t>
            </w:r>
            <w:r>
              <w:rPr>
                <w:rStyle w:val="DefaultParagraphFont0"/>
                <w:rFonts w:ascii="Times New Roman" w:eastAsia="Times New Roman" w:hAnsi="Times New Roman" w:cs="Times New Roman"/>
              </w:rPr>
              <w:t xml:space="preserve"> in the state of Karnataka</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 xml:space="preserve"> </w:t>
            </w:r>
          </w:p>
          <w:p>
            <w:pPr>
              <w:spacing w:before="240" w:after="0"/>
              <w:jc w:val="both"/>
              <w:rPr>
                <w:sz w:val="24"/>
                <w:szCs w:val="24"/>
              </w:rPr>
            </w:pPr>
          </w:p>
          <w:p>
            <w:pPr>
              <w:spacing w:before="240" w:after="0"/>
              <w:jc w:val="both"/>
            </w:pPr>
            <w:r>
              <w:rPr>
                <w:rStyle w:val="DefaultParagraphFont0"/>
                <w:rFonts w:ascii="Times New Roman" w:eastAsia="Times New Roman" w:hAnsi="Times New Roman" w:cs="Times New Roman"/>
              </w:rPr>
              <w:t xml:space="preserve">The SPV shall develop a </w:t>
            </w:r>
            <w:r>
              <w:rPr>
                <w:rStyle w:val="DefaultParagraphFont0"/>
                <w:rFonts w:ascii="Times New Roman" w:eastAsia="Times New Roman" w:hAnsi="Times New Roman" w:cs="Times New Roman"/>
                <w:b/>
                <w:bCs/>
              </w:rPr>
              <w:t>100</w:t>
            </w:r>
            <w:r>
              <w:rPr>
                <w:rStyle w:val="DefaultParagraphFont0"/>
                <w:rFonts w:ascii="Times New Roman" w:eastAsia="Times New Roman" w:hAnsi="Times New Roman" w:cs="Times New Roman"/>
                <w:b/>
                <w:bCs/>
              </w:rPr>
              <w:t xml:space="preserve"> </w:t>
            </w:r>
            <w:r>
              <w:rPr>
                <w:rStyle w:val="DefaultParagraphFont0"/>
                <w:rFonts w:ascii="Times New Roman" w:eastAsia="Times New Roman" w:hAnsi="Times New Roman" w:cs="Times New Roman"/>
              </w:rPr>
              <w:t xml:space="preserve">of Solar capacity </w:t>
            </w:r>
            <w:r>
              <w:rPr>
                <w:rStyle w:val="DefaultParagraphFont0"/>
                <w:rFonts w:ascii="Times New Roman" w:eastAsia="Times New Roman" w:hAnsi="Times New Roman" w:cs="Times New Roman"/>
              </w:rPr>
              <w:t xml:space="preserve">and </w:t>
            </w:r>
            <w:r>
              <w:rPr>
                <w:rStyle w:val="DefaultParagraphFont0"/>
                <w:rFonts w:ascii="Times New Roman" w:eastAsia="Times New Roman" w:hAnsi="Times New Roman" w:cs="Times New Roman"/>
                <w:b/>
                <w:bCs/>
              </w:rPr>
              <w:t>40</w:t>
            </w:r>
            <w:r>
              <w:rPr>
                <w:rStyle w:val="DefaultParagraphFont0"/>
                <w:rFonts w:ascii="Times New Roman" w:eastAsia="Times New Roman" w:hAnsi="Times New Roman" w:cs="Times New Roman"/>
                <w:b/>
                <w:bCs/>
              </w:rPr>
              <w:t xml:space="preserve"> </w:t>
            </w:r>
            <w:r>
              <w:rPr>
                <w:rStyle w:val="DefaultParagraphFont0"/>
                <w:rFonts w:ascii="Times New Roman" w:eastAsia="Times New Roman" w:hAnsi="Times New Roman" w:cs="Times New Roman"/>
              </w:rPr>
              <w:t xml:space="preserve">of </w:t>
            </w:r>
            <w:r>
              <w:rPr>
                <w:rStyle w:val="DefaultParagraphFont0"/>
                <w:rFonts w:ascii="Times New Roman" w:eastAsia="Times New Roman" w:hAnsi="Times New Roman" w:cs="Times New Roman"/>
              </w:rPr>
              <w:t>Wind capacity</w:t>
            </w:r>
            <w:r>
              <w:rPr>
                <w:rStyle w:val="DefaultParagraphFont0"/>
                <w:rFonts w:ascii="Times New Roman" w:eastAsia="Times New Roman" w:hAnsi="Times New Roman" w:cs="Times New Roman"/>
                <w:b/>
                <w:bCs/>
              </w:rPr>
              <w:t xml:space="preserve"> </w:t>
            </w:r>
            <w:r>
              <w:rPr>
                <w:rStyle w:val="DefaultParagraphFont0"/>
                <w:rFonts w:ascii="Times New Roman" w:eastAsia="Times New Roman" w:hAnsi="Times New Roman" w:cs="Times New Roman"/>
              </w:rPr>
              <w:t>to supply</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b/>
                <w:bCs/>
              </w:rPr>
              <w:t>2.0 CR</w:t>
            </w:r>
            <w:r>
              <w:rPr>
                <w:rStyle w:val="DefaultParagraphFont0"/>
                <w:rFonts w:ascii="Times New Roman" w:eastAsia="Times New Roman" w:hAnsi="Times New Roman" w:cs="Times New Roman"/>
                <w:b/>
                <w:bCs/>
              </w:rPr>
              <w:t xml:space="preserve"> </w:t>
            </w:r>
            <w:r>
              <w:rPr>
                <w:rStyle w:val="DefaultParagraphFont0"/>
                <w:rFonts w:ascii="Times New Roman" w:eastAsia="Times New Roman" w:hAnsi="Times New Roman" w:cs="Times New Roman"/>
              </w:rPr>
              <w:t>of electricity annually (pre-grid losses) to the Consumer’s</w:t>
            </w:r>
            <w:r>
              <w:rPr>
                <w:rStyle w:val="DefaultParagraphFont0"/>
                <w:rFonts w:ascii="Times New Roman" w:eastAsia="Times New Roman" w:hAnsi="Times New Roman" w:cs="Times New Roman"/>
                <w:b/>
                <w:bCs/>
              </w:rPr>
              <w:t xml:space="preserve"> </w:t>
            </w:r>
            <w:r>
              <w:rPr>
                <w:rStyle w:val="DefaultParagraphFont0"/>
                <w:rFonts w:ascii="Times New Roman" w:eastAsia="Times New Roman" w:hAnsi="Times New Roman" w:cs="Times New Roman"/>
              </w:rPr>
              <w:t>facilities</w:t>
            </w:r>
            <w:r>
              <w:rPr>
                <w:rStyle w:val="DefaultParagraphFont0"/>
                <w:rFonts w:ascii="Times New Roman" w:eastAsia="Times New Roman" w:hAnsi="Times New Roman" w:cs="Times New Roman"/>
              </w:rPr>
              <w:t xml:space="preserve"> as described in Annexure </w:t>
            </w:r>
            <w:r>
              <w:rPr>
                <w:rStyle w:val="DefaultParagraphFont0"/>
                <w:rFonts w:ascii="Times New Roman" w:eastAsia="Times New Roman" w:hAnsi="Times New Roman" w:cs="Times New Roman"/>
              </w:rPr>
              <w:t>III</w:t>
            </w:r>
            <w:r>
              <w:rPr>
                <w:rStyle w:val="DefaultParagraphFont0"/>
                <w:rFonts w:ascii="Times New Roman" w:eastAsia="Times New Roman" w:hAnsi="Times New Roman" w:cs="Times New Roman"/>
              </w:rPr>
              <w:t xml:space="preserve"> hereto (“</w:t>
            </w:r>
            <w:r>
              <w:rPr>
                <w:rStyle w:val="DefaultParagraphFont0"/>
                <w:rFonts w:ascii="Times New Roman" w:eastAsia="Times New Roman" w:hAnsi="Times New Roman" w:cs="Times New Roman"/>
                <w:b/>
                <w:bCs/>
              </w:rPr>
              <w:t>Contracted Quantity</w:t>
            </w:r>
            <w:r>
              <w:rPr>
                <w:rStyle w:val="DefaultParagraphFont0"/>
                <w:rFonts w:ascii="Times New Roman" w:eastAsia="Times New Roman" w:hAnsi="Times New Roman" w:cs="Times New Roman"/>
              </w:rPr>
              <w:t xml:space="preserve">”). Consumer will receive </w:t>
            </w:r>
            <w:r>
              <w:rPr>
                <w:rStyle w:val="DefaultParagraphFont0"/>
                <w:rFonts w:ascii="Times New Roman" w:eastAsia="Times New Roman" w:hAnsi="Times New Roman" w:cs="Times New Roman"/>
                <w:b/>
                <w:bCs/>
              </w:rPr>
              <w:t>~</w:t>
            </w:r>
            <w:r>
              <w:rPr>
                <w:rStyle w:val="DefaultParagraphFont0"/>
                <w:rFonts w:ascii="Times New Roman" w:eastAsia="Times New Roman" w:hAnsi="Times New Roman" w:cs="Times New Roman"/>
                <w:b/>
                <w:bCs/>
              </w:rPr>
              <w:t>1.5 CR</w:t>
            </w:r>
            <w:r>
              <w:rPr>
                <w:rStyle w:val="DefaultParagraphFont0"/>
                <w:rFonts w:ascii="Times New Roman" w:eastAsia="Times New Roman" w:hAnsi="Times New Roman" w:cs="Times New Roman"/>
                <w:b/>
                <w:bCs/>
              </w:rPr>
              <w:t xml:space="preserve"> </w:t>
            </w:r>
            <w:r>
              <w:rPr>
                <w:rStyle w:val="DefaultParagraphFont0"/>
                <w:rFonts w:ascii="Times New Roman" w:eastAsia="Times New Roman" w:hAnsi="Times New Roman" w:cs="Times New Roman"/>
              </w:rPr>
              <w:t>at their facility (post losses based on current regulations)</w:t>
            </w:r>
          </w:p>
          <w:p>
            <w:pPr>
              <w:spacing w:before="240" w:after="0"/>
              <w:jc w:val="both"/>
              <w:rPr>
                <w:sz w:val="24"/>
                <w:szCs w:val="24"/>
              </w:rPr>
            </w:pPr>
          </w:p>
        </w:tc>
      </w:tr>
      <w:tr>
        <w:tc>
          <w:tcPr>
            <w:tcW w:w="1838"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pPr>
            <w:r>
              <w:rPr>
                <w:rStyle w:val="DefaultParagraphFont0"/>
                <w:rFonts w:ascii="Times New Roman" w:eastAsia="Times New Roman" w:hAnsi="Times New Roman" w:cs="Times New Roman"/>
                <w:b/>
                <w:bCs/>
              </w:rPr>
              <w:t>Intent</w:t>
            </w:r>
          </w:p>
        </w:tc>
        <w:tc>
          <w:tcPr>
            <w:tcW w:w="8619"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rPr>
                <w:sz w:val="24"/>
                <w:szCs w:val="24"/>
              </w:rPr>
            </w:pPr>
          </w:p>
          <w:p>
            <w:pPr>
              <w:spacing w:before="240" w:after="0"/>
              <w:jc w:val="both"/>
            </w:pPr>
            <w:r>
              <w:rPr>
                <w:rStyle w:val="DefaultParagraphFont0"/>
                <w:rFonts w:ascii="Times New Roman" w:eastAsia="Times New Roman" w:hAnsi="Times New Roman" w:cs="Times New Roman"/>
              </w:rPr>
              <w:t>The Parties</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 xml:space="preserve">shall ensure compliance with the below mentioned conditions, as mandated by the Electricity </w:t>
            </w:r>
            <w:r>
              <w:rPr>
                <w:rStyle w:val="DefaultParagraphFont0"/>
                <w:rFonts w:ascii="Times New Roman" w:eastAsia="Times New Roman" w:hAnsi="Times New Roman" w:cs="Times New Roman"/>
              </w:rPr>
              <w:t>Laws,</w:t>
            </w:r>
            <w:r>
              <w:rPr>
                <w:rStyle w:val="DefaultParagraphFont0"/>
                <w:rFonts w:ascii="Times New Roman" w:eastAsia="Times New Roman" w:hAnsi="Times New Roman" w:cs="Times New Roman"/>
              </w:rPr>
              <w:t xml:space="preserve"> for the </w:t>
            </w:r>
            <w:r>
              <w:rPr>
                <w:rStyle w:val="DefaultParagraphFont0"/>
                <w:rFonts w:ascii="Times New Roman" w:eastAsia="Times New Roman" w:hAnsi="Times New Roman" w:cs="Times New Roman"/>
              </w:rPr>
              <w:t>RCGP</w:t>
            </w:r>
            <w:r>
              <w:rPr>
                <w:rStyle w:val="DefaultParagraphFont0"/>
                <w:rFonts w:ascii="Times New Roman" w:eastAsia="Times New Roman" w:hAnsi="Times New Roman" w:cs="Times New Roman"/>
              </w:rPr>
              <w:t xml:space="preserve"> to qualify as a </w:t>
            </w:r>
            <w:r>
              <w:rPr>
                <w:rStyle w:val="DefaultParagraphFont0"/>
                <w:rFonts w:ascii="Times New Roman" w:eastAsia="Times New Roman" w:hAnsi="Times New Roman" w:cs="Times New Roman"/>
              </w:rPr>
              <w:t>c</w:t>
            </w:r>
            <w:r>
              <w:rPr>
                <w:rStyle w:val="DefaultParagraphFont0"/>
                <w:rFonts w:ascii="Times New Roman" w:eastAsia="Times New Roman" w:hAnsi="Times New Roman" w:cs="Times New Roman"/>
              </w:rPr>
              <w:t xml:space="preserve">aptive </w:t>
            </w:r>
            <w:r>
              <w:rPr>
                <w:rStyle w:val="DefaultParagraphFont0"/>
                <w:rFonts w:ascii="Times New Roman" w:eastAsia="Times New Roman" w:hAnsi="Times New Roman" w:cs="Times New Roman"/>
              </w:rPr>
              <w:t>g</w:t>
            </w:r>
            <w:r>
              <w:rPr>
                <w:rStyle w:val="DefaultParagraphFont0"/>
                <w:rFonts w:ascii="Times New Roman" w:eastAsia="Times New Roman" w:hAnsi="Times New Roman" w:cs="Times New Roman"/>
              </w:rPr>
              <w:t xml:space="preserve">enerating </w:t>
            </w:r>
            <w:r>
              <w:rPr>
                <w:rStyle w:val="DefaultParagraphFont0"/>
                <w:rFonts w:ascii="Times New Roman" w:eastAsia="Times New Roman" w:hAnsi="Times New Roman" w:cs="Times New Roman"/>
              </w:rPr>
              <w:t>p</w:t>
            </w:r>
            <w:r>
              <w:rPr>
                <w:rStyle w:val="DefaultParagraphFont0"/>
                <w:rFonts w:ascii="Times New Roman" w:eastAsia="Times New Roman" w:hAnsi="Times New Roman" w:cs="Times New Roman"/>
              </w:rPr>
              <w:t>lant and maintain Captive Status (“</w:t>
            </w:r>
            <w:r>
              <w:rPr>
                <w:rStyle w:val="DefaultParagraphFont0"/>
                <w:rFonts w:ascii="Times New Roman" w:eastAsia="Times New Roman" w:hAnsi="Times New Roman" w:cs="Times New Roman"/>
                <w:b/>
                <w:bCs/>
              </w:rPr>
              <w:t>Captive Status</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w:t>
            </w:r>
          </w:p>
          <w:p>
            <w:pPr>
              <w:spacing w:before="240" w:after="0"/>
              <w:jc w:val="both"/>
              <w:rPr>
                <w:sz w:val="24"/>
                <w:szCs w:val="24"/>
              </w:rPr>
            </w:pPr>
          </w:p>
          <w:p>
            <w:pPr>
              <w:numPr>
                <w:ilvl w:val="0"/>
                <w:numId w:val="1"/>
              </w:numPr>
              <w:pBdr>
                <w:left w:val="none" w:sz="0" w:space="13" w:color="auto"/>
              </w:pBdr>
              <w:spacing w:before="240" w:after="0"/>
              <w:ind w:left="1440" w:hanging="487"/>
              <w:jc w:val="both"/>
              <w:rPr>
                <w:rFonts w:ascii="Times New Roman" w:eastAsia="Times New Roman" w:hAnsi="Times New Roman" w:cs="Times New Roman"/>
              </w:rPr>
            </w:pPr>
            <w:r>
              <w:rPr>
                <w:rStyle w:val="DefaultParagraphFont0"/>
                <w:rFonts w:ascii="Times New Roman" w:eastAsia="Times New Roman" w:hAnsi="Times New Roman" w:cs="Times New Roman"/>
              </w:rPr>
              <w:t xml:space="preserve">not less than 26% (twenty six percent) of the </w:t>
            </w:r>
            <w:r>
              <w:rPr>
                <w:rStyle w:val="DefaultParagraphFont0"/>
                <w:rFonts w:ascii="Times New Roman" w:eastAsia="Times New Roman" w:hAnsi="Times New Roman" w:cs="Times New Roman"/>
              </w:rPr>
              <w:t xml:space="preserve">equity share capital </w:t>
            </w:r>
            <w:r>
              <w:rPr>
                <w:rStyle w:val="DefaultParagraphFont0"/>
                <w:rFonts w:ascii="Times New Roman" w:eastAsia="Times New Roman" w:hAnsi="Times New Roman" w:cs="Times New Roman"/>
              </w:rPr>
              <w:t>of the S</w:t>
            </w:r>
            <w:r>
              <w:rPr>
                <w:rStyle w:val="DefaultParagraphFont0"/>
                <w:rFonts w:ascii="Times New Roman" w:eastAsia="Times New Roman" w:hAnsi="Times New Roman" w:cs="Times New Roman"/>
              </w:rPr>
              <w:t>PV</w:t>
            </w:r>
            <w:r>
              <w:rPr>
                <w:rStyle w:val="DefaultParagraphFont0"/>
                <w:rFonts w:ascii="Times New Roman" w:eastAsia="Times New Roman" w:hAnsi="Times New Roman" w:cs="Times New Roman"/>
              </w:rPr>
              <w:t xml:space="preserve"> is held by </w:t>
            </w:r>
            <w:r>
              <w:rPr>
                <w:rStyle w:val="DefaultParagraphFont0"/>
                <w:rFonts w:ascii="Times New Roman" w:eastAsia="Times New Roman" w:hAnsi="Times New Roman" w:cs="Times New Roman"/>
              </w:rPr>
              <w:t xml:space="preserve">the </w:t>
            </w:r>
            <w:r>
              <w:rPr>
                <w:rStyle w:val="DefaultParagraphFont0"/>
                <w:rFonts w:ascii="Times New Roman" w:eastAsia="Times New Roman" w:hAnsi="Times New Roman" w:cs="Times New Roman"/>
              </w:rPr>
              <w:t>Consumer</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b/>
                <w:bCs/>
              </w:rPr>
              <w:t>Ownership Test</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Clean Max</w:t>
            </w:r>
            <w:r>
              <w:rPr>
                <w:rStyle w:val="DefaultParagraphFont0"/>
                <w:rFonts w:ascii="Times New Roman" w:eastAsia="Times New Roman" w:hAnsi="Times New Roman" w:cs="Times New Roman"/>
              </w:rPr>
              <w:t xml:space="preserve"> and / or its affiliates</w:t>
            </w:r>
            <w:r>
              <w:rPr>
                <w:rStyle w:val="DefaultParagraphFont0"/>
                <w:rFonts w:ascii="Times New Roman" w:eastAsia="Times New Roman" w:hAnsi="Times New Roman" w:cs="Times New Roman"/>
              </w:rPr>
              <w:t xml:space="preserve"> shall together </w:t>
            </w:r>
            <w:r>
              <w:rPr>
                <w:rStyle w:val="DefaultParagraphFont0"/>
                <w:rFonts w:ascii="Times New Roman" w:eastAsia="Times New Roman" w:hAnsi="Times New Roman" w:cs="Times New Roman"/>
              </w:rPr>
              <w:t xml:space="preserve">hold </w:t>
            </w:r>
            <w:r>
              <w:rPr>
                <w:rStyle w:val="DefaultParagraphFont0"/>
                <w:rFonts w:ascii="Times New Roman" w:eastAsia="Times New Roman" w:hAnsi="Times New Roman" w:cs="Times New Roman"/>
              </w:rPr>
              <w:t xml:space="preserve">74% of the </w:t>
            </w:r>
            <w:r>
              <w:rPr>
                <w:rStyle w:val="DefaultParagraphFont0"/>
                <w:rFonts w:ascii="Times New Roman" w:eastAsia="Times New Roman" w:hAnsi="Times New Roman" w:cs="Times New Roman"/>
              </w:rPr>
              <w:t xml:space="preserve">equity </w:t>
            </w:r>
            <w:r>
              <w:rPr>
                <w:rStyle w:val="DefaultParagraphFont0"/>
                <w:rFonts w:ascii="Times New Roman" w:eastAsia="Times New Roman" w:hAnsi="Times New Roman" w:cs="Times New Roman"/>
              </w:rPr>
              <w:t>share capital of the SPV</w:t>
            </w:r>
            <w:r>
              <w:rPr>
                <w:rStyle w:val="DefaultParagraphFont0"/>
                <w:rFonts w:ascii="Times New Roman" w:eastAsia="Times New Roman" w:hAnsi="Times New Roman" w:cs="Times New Roman"/>
              </w:rPr>
              <w:t xml:space="preserve">. </w:t>
            </w:r>
          </w:p>
          <w:p>
            <w:pPr>
              <w:numPr>
                <w:ilvl w:val="0"/>
                <w:numId w:val="1"/>
              </w:numPr>
              <w:pBdr>
                <w:left w:val="none" w:sz="0" w:space="13" w:color="auto"/>
              </w:pBdr>
              <w:spacing w:before="0" w:after="0"/>
              <w:ind w:left="1440" w:hanging="553"/>
              <w:jc w:val="both"/>
              <w:rPr>
                <w:rFonts w:ascii="Times New Roman" w:eastAsia="Times New Roman" w:hAnsi="Times New Roman" w:cs="Times New Roman"/>
              </w:rPr>
            </w:pPr>
            <w:r>
              <w:rPr>
                <w:rStyle w:val="DefaultParagraphFont0"/>
                <w:rFonts w:ascii="Times New Roman" w:eastAsia="Times New Roman" w:hAnsi="Times New Roman" w:cs="Times New Roman"/>
              </w:rPr>
              <w:t>not less than 51% (fifty one percent) of the aggregate electricity generated in such plant, determined on an annual basis, is consumed</w:t>
            </w:r>
            <w:r>
              <w:rPr>
                <w:rStyle w:val="DefaultParagraphFont0"/>
                <w:rFonts w:ascii="Times New Roman" w:eastAsia="Times New Roman" w:hAnsi="Times New Roman" w:cs="Times New Roman"/>
              </w:rPr>
              <w:t xml:space="preserve"> by </w:t>
            </w:r>
            <w:r>
              <w:rPr>
                <w:rStyle w:val="DefaultParagraphFont0"/>
                <w:rFonts w:ascii="Times New Roman" w:eastAsia="Times New Roman" w:hAnsi="Times New Roman" w:cs="Times New Roman"/>
              </w:rPr>
              <w:t xml:space="preserve">the </w:t>
            </w:r>
            <w:r>
              <w:rPr>
                <w:rStyle w:val="DefaultParagraphFont0"/>
                <w:rFonts w:ascii="Times New Roman" w:eastAsia="Times New Roman" w:hAnsi="Times New Roman" w:cs="Times New Roman"/>
              </w:rPr>
              <w:t xml:space="preserve">Consumer </w:t>
            </w:r>
            <w:r>
              <w:rPr>
                <w:rStyle w:val="DefaultParagraphFont0"/>
                <w:rFonts w:ascii="Times New Roman" w:eastAsia="Times New Roman" w:hAnsi="Times New Roman" w:cs="Times New Roman"/>
              </w:rPr>
              <w:t>for captive use (“</w:t>
            </w:r>
            <w:r>
              <w:rPr>
                <w:rStyle w:val="DefaultParagraphFont0"/>
                <w:rFonts w:ascii="Times New Roman" w:eastAsia="Times New Roman" w:hAnsi="Times New Roman" w:cs="Times New Roman"/>
                <w:b/>
                <w:bCs/>
              </w:rPr>
              <w:t>Consumption Test</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w:t>
            </w:r>
          </w:p>
          <w:p>
            <w:pPr>
              <w:numPr>
                <w:ilvl w:val="0"/>
                <w:numId w:val="1"/>
              </w:numPr>
              <w:pBdr>
                <w:left w:val="none" w:sz="0" w:space="13" w:color="auto"/>
              </w:pBdr>
              <w:spacing w:before="0" w:after="240"/>
              <w:ind w:left="1440" w:hanging="620"/>
              <w:jc w:val="both"/>
              <w:rPr>
                <w:rFonts w:ascii="Times New Roman" w:eastAsia="Times New Roman" w:hAnsi="Times New Roman" w:cs="Times New Roman"/>
              </w:rPr>
            </w:pPr>
            <w:r>
              <w:rPr>
                <w:rStyle w:val="DefaultParagraphFont0"/>
                <w:rFonts w:ascii="Times New Roman" w:eastAsia="Times New Roman" w:hAnsi="Times New Roman" w:cs="Times New Roman"/>
              </w:rPr>
              <w:t>If a RCGP is set up with multiple Consumers, the consumption shall be in proportion to the shares held by the Consumers with a maximum variation of 10% (“</w:t>
            </w:r>
            <w:r>
              <w:rPr>
                <w:rStyle w:val="DefaultParagraphFont0"/>
                <w:rFonts w:ascii="Times New Roman" w:eastAsia="Times New Roman" w:hAnsi="Times New Roman" w:cs="Times New Roman"/>
                <w:b/>
                <w:bCs/>
              </w:rPr>
              <w:t>Proportionality Test</w:t>
            </w:r>
            <w:r>
              <w:rPr>
                <w:rStyle w:val="DefaultParagraphFont0"/>
                <w:rFonts w:ascii="Times New Roman" w:eastAsia="Times New Roman" w:hAnsi="Times New Roman" w:cs="Times New Roman"/>
              </w:rPr>
              <w:t>”).</w:t>
            </w:r>
          </w:p>
          <w:p>
            <w:pPr>
              <w:pStyle w:val="ListParagraph"/>
              <w:spacing w:before="240" w:after="0"/>
              <w:jc w:val="both"/>
              <w:rPr>
                <w:sz w:val="24"/>
                <w:szCs w:val="24"/>
              </w:rPr>
            </w:pPr>
          </w:p>
          <w:p>
            <w:pPr>
              <w:spacing w:before="240" w:after="0"/>
              <w:jc w:val="both"/>
            </w:pPr>
            <w:r>
              <w:rPr>
                <w:rStyle w:val="DefaultParagraphFont0"/>
                <w:rFonts w:ascii="Times New Roman" w:eastAsia="Times New Roman" w:hAnsi="Times New Roman" w:cs="Times New Roman"/>
              </w:rPr>
              <w:t xml:space="preserve">The Parties agree that </w:t>
            </w:r>
            <w:r>
              <w:rPr>
                <w:rStyle w:val="DefaultParagraphFont0"/>
                <w:rFonts w:ascii="Times New Roman" w:eastAsia="Times New Roman" w:hAnsi="Times New Roman" w:cs="Times New Roman"/>
              </w:rPr>
              <w:t>Consumer will</w:t>
            </w:r>
            <w:r>
              <w:rPr>
                <w:rStyle w:val="DefaultParagraphFont0"/>
                <w:rFonts w:ascii="Times New Roman" w:eastAsia="Times New Roman" w:hAnsi="Times New Roman" w:cs="Times New Roman"/>
              </w:rPr>
              <w:t xml:space="preserve"> consume the entire </w:t>
            </w:r>
            <w:r>
              <w:rPr>
                <w:rStyle w:val="DefaultParagraphFont0"/>
                <w:rFonts w:ascii="Times New Roman" w:eastAsia="Times New Roman" w:hAnsi="Times New Roman" w:cs="Times New Roman"/>
              </w:rPr>
              <w:t xml:space="preserve">energy from the </w:t>
            </w:r>
            <w:r>
              <w:rPr>
                <w:rStyle w:val="DefaultParagraphFont0"/>
                <w:rFonts w:ascii="Times New Roman" w:eastAsia="Times New Roman" w:hAnsi="Times New Roman" w:cs="Times New Roman"/>
              </w:rPr>
              <w:t>RCGP</w:t>
            </w:r>
            <w:r>
              <w:rPr>
                <w:rStyle w:val="DefaultParagraphFont0"/>
                <w:rFonts w:ascii="Times New Roman" w:eastAsia="Times New Roman" w:hAnsi="Times New Roman" w:cs="Times New Roman"/>
              </w:rPr>
              <w:t xml:space="preserve"> and </w:t>
            </w:r>
            <w:r>
              <w:rPr>
                <w:rStyle w:val="DefaultParagraphFont0"/>
                <w:rFonts w:ascii="Times New Roman" w:eastAsia="Times New Roman" w:hAnsi="Times New Roman" w:cs="Times New Roman"/>
              </w:rPr>
              <w:t>Clean Max</w:t>
            </w:r>
            <w:r>
              <w:rPr>
                <w:rStyle w:val="DefaultParagraphFont0"/>
                <w:rFonts w:ascii="Times New Roman" w:eastAsia="Times New Roman" w:hAnsi="Times New Roman" w:cs="Times New Roman"/>
              </w:rPr>
              <w:t xml:space="preserve"> agrees not to supply energy from the </w:t>
            </w:r>
            <w:r>
              <w:rPr>
                <w:rStyle w:val="DefaultParagraphFont0"/>
                <w:rFonts w:ascii="Times New Roman" w:eastAsia="Times New Roman" w:hAnsi="Times New Roman" w:cs="Times New Roman"/>
              </w:rPr>
              <w:t xml:space="preserve">RCGP </w:t>
            </w:r>
            <w:r>
              <w:rPr>
                <w:rStyle w:val="DefaultParagraphFont0"/>
                <w:rFonts w:ascii="Times New Roman" w:eastAsia="Times New Roman" w:hAnsi="Times New Roman" w:cs="Times New Roman"/>
              </w:rPr>
              <w:t xml:space="preserve">to any additional customer without the prior written consent </w:t>
            </w:r>
            <w:r>
              <w:rPr>
                <w:rStyle w:val="DefaultParagraphFont0"/>
                <w:rFonts w:ascii="Times New Roman" w:eastAsia="Times New Roman" w:hAnsi="Times New Roman" w:cs="Times New Roman"/>
              </w:rPr>
              <w:t>of the</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Consumer</w:t>
            </w:r>
            <w:r>
              <w:rPr>
                <w:rStyle w:val="DefaultParagraphFont0"/>
                <w:rFonts w:ascii="Times New Roman" w:eastAsia="Times New Roman" w:hAnsi="Times New Roman" w:cs="Times New Roman"/>
              </w:rPr>
              <w:t>.</w:t>
            </w:r>
          </w:p>
          <w:p>
            <w:pPr>
              <w:spacing w:before="240" w:after="0"/>
              <w:jc w:val="both"/>
              <w:rPr>
                <w:sz w:val="24"/>
                <w:szCs w:val="24"/>
              </w:rPr>
            </w:pPr>
          </w:p>
        </w:tc>
      </w:tr>
      <w:tr>
        <w:tc>
          <w:tcPr>
            <w:tcW w:w="1838"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pPr>
            <w:r>
              <w:rPr>
                <w:rStyle w:val="DefaultParagraphFont0"/>
                <w:rFonts w:ascii="Times New Roman" w:eastAsia="Times New Roman" w:hAnsi="Times New Roman" w:cs="Times New Roman"/>
                <w:b/>
                <w:bCs/>
              </w:rPr>
              <w:t>Agreements to be signed</w:t>
            </w:r>
          </w:p>
        </w:tc>
        <w:tc>
          <w:tcPr>
            <w:tcW w:w="8619"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rPr>
                <w:sz w:val="24"/>
                <w:szCs w:val="24"/>
              </w:rPr>
            </w:pPr>
          </w:p>
          <w:p>
            <w:pPr>
              <w:spacing w:before="240" w:after="0"/>
              <w:jc w:val="both"/>
            </w:pPr>
            <w:r>
              <w:rPr>
                <w:rStyle w:val="DefaultParagraphFont0"/>
                <w:rFonts w:ascii="Times New Roman" w:eastAsia="Times New Roman" w:hAnsi="Times New Roman" w:cs="Times New Roman"/>
              </w:rPr>
              <w:t xml:space="preserve">The Parties shall sign the following </w:t>
            </w:r>
            <w:r>
              <w:rPr>
                <w:rStyle w:val="DefaultParagraphFont0"/>
                <w:rFonts w:ascii="Times New Roman" w:eastAsia="Times New Roman" w:hAnsi="Times New Roman" w:cs="Times New Roman"/>
              </w:rPr>
              <w:t xml:space="preserve">definitive </w:t>
            </w:r>
            <w:r>
              <w:rPr>
                <w:rStyle w:val="DefaultParagraphFont0"/>
                <w:rFonts w:ascii="Times New Roman" w:eastAsia="Times New Roman" w:hAnsi="Times New Roman" w:cs="Times New Roman"/>
              </w:rPr>
              <w:t xml:space="preserve">agreements to </w:t>
            </w:r>
            <w:r>
              <w:rPr>
                <w:rStyle w:val="DefaultParagraphFont0"/>
                <w:rFonts w:ascii="Times New Roman" w:eastAsia="Times New Roman" w:hAnsi="Times New Roman" w:cs="Times New Roman"/>
              </w:rPr>
              <w:t>implement the arrangement (</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b/>
                <w:bCs/>
              </w:rPr>
              <w:t>Definitive Agreements</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w:t>
            </w:r>
            <w:r>
              <w:rPr>
                <w:rStyle w:val="DefaultParagraphFont0"/>
                <w:rFonts w:ascii="Times New Roman" w:eastAsia="Times New Roman" w:hAnsi="Times New Roman" w:cs="Times New Roman"/>
              </w:rPr>
              <w:t>:</w:t>
            </w:r>
          </w:p>
          <w:p>
            <w:pPr>
              <w:spacing w:before="240" w:after="0"/>
              <w:jc w:val="both"/>
              <w:rPr>
                <w:sz w:val="24"/>
                <w:szCs w:val="24"/>
              </w:rPr>
            </w:pPr>
          </w:p>
          <w:p>
            <w:pPr>
              <w:numPr>
                <w:ilvl w:val="0"/>
                <w:numId w:val="2"/>
              </w:numPr>
              <w:pBdr>
                <w:left w:val="none" w:sz="0" w:space="13" w:color="auto"/>
              </w:pBdr>
              <w:spacing w:before="240" w:after="240"/>
              <w:ind w:left="1440" w:hanging="487"/>
              <w:jc w:val="both"/>
              <w:rPr>
                <w:rFonts w:ascii="Times New Roman" w:eastAsia="Times New Roman" w:hAnsi="Times New Roman" w:cs="Times New Roman"/>
              </w:rPr>
            </w:pPr>
            <w:r>
              <w:rPr>
                <w:rStyle w:val="DefaultParagraphFont0"/>
                <w:rFonts w:ascii="Times New Roman" w:eastAsia="Times New Roman" w:hAnsi="Times New Roman" w:cs="Times New Roman"/>
                <w:b/>
                <w:bCs/>
              </w:rPr>
              <w:t>Energy Supply Agreement</w:t>
            </w:r>
            <w:r>
              <w:rPr>
                <w:rStyle w:val="DefaultParagraphFont0"/>
                <w:rFonts w:ascii="Times New Roman" w:eastAsia="Times New Roman" w:hAnsi="Times New Roman" w:cs="Times New Roman"/>
                <w:b/>
                <w:bCs/>
              </w:rPr>
              <w:t xml:space="preserve"> (</w:t>
            </w:r>
            <w:r>
              <w:rPr>
                <w:rStyle w:val="DefaultParagraphFont0"/>
                <w:rFonts w:ascii="Times New Roman" w:eastAsia="Times New Roman" w:hAnsi="Times New Roman" w:cs="Times New Roman"/>
                <w:b/>
                <w:bCs/>
              </w:rPr>
              <w:t>“</w:t>
            </w:r>
            <w:r>
              <w:rPr>
                <w:rStyle w:val="DefaultParagraphFont0"/>
                <w:rFonts w:ascii="Times New Roman" w:eastAsia="Times New Roman" w:hAnsi="Times New Roman" w:cs="Times New Roman"/>
                <w:b/>
                <w:bCs/>
              </w:rPr>
              <w:t>ESA</w:t>
            </w:r>
            <w:r>
              <w:rPr>
                <w:rStyle w:val="DefaultParagraphFont0"/>
                <w:rFonts w:ascii="Times New Roman" w:eastAsia="Times New Roman" w:hAnsi="Times New Roman" w:cs="Times New Roman"/>
                <w:b/>
                <w:bCs/>
              </w:rPr>
              <w:t>”</w:t>
            </w:r>
            <w:r>
              <w:rPr>
                <w:rStyle w:val="DefaultParagraphFont0"/>
                <w:rFonts w:ascii="Times New Roman" w:eastAsia="Times New Roman" w:hAnsi="Times New Roman" w:cs="Times New Roman"/>
                <w:b/>
                <w:bCs/>
              </w:rPr>
              <w:t>)</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To be executed between the Supplier and Consumer.</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It f</w:t>
            </w:r>
            <w:r>
              <w:rPr>
                <w:rStyle w:val="DefaultParagraphFont0"/>
                <w:rFonts w:ascii="Times New Roman" w:eastAsia="Times New Roman" w:hAnsi="Times New Roman" w:cs="Times New Roman"/>
              </w:rPr>
              <w:t xml:space="preserve">inalizes the commercial terms of power supply. </w:t>
            </w:r>
          </w:p>
          <w:p>
            <w:pPr>
              <w:pStyle w:val="ListParagraph"/>
              <w:spacing w:before="240" w:after="240"/>
              <w:jc w:val="both"/>
              <w:rPr>
                <w:sz w:val="24"/>
                <w:szCs w:val="24"/>
              </w:rPr>
            </w:pPr>
          </w:p>
          <w:p>
            <w:pPr>
              <w:numPr>
                <w:ilvl w:val="0"/>
                <w:numId w:val="3"/>
              </w:numPr>
              <w:pBdr>
                <w:left w:val="none" w:sz="0" w:space="13" w:color="auto"/>
              </w:pBdr>
              <w:spacing w:before="240" w:after="240"/>
              <w:ind w:left="1440" w:hanging="553"/>
              <w:jc w:val="both"/>
              <w:rPr>
                <w:rFonts w:ascii="Times New Roman" w:eastAsia="Times New Roman" w:hAnsi="Times New Roman" w:cs="Times New Roman"/>
              </w:rPr>
            </w:pPr>
            <w:r>
              <w:rPr>
                <w:rStyle w:val="DefaultParagraphFont0"/>
                <w:rFonts w:ascii="Times New Roman" w:eastAsia="Times New Roman" w:hAnsi="Times New Roman" w:cs="Times New Roman"/>
                <w:b/>
                <w:bCs/>
              </w:rPr>
              <w:t>Share Purchase Agreement</w:t>
            </w:r>
            <w:r>
              <w:rPr>
                <w:rStyle w:val="DefaultParagraphFont0"/>
                <w:rFonts w:ascii="Times New Roman" w:eastAsia="Times New Roman" w:hAnsi="Times New Roman" w:cs="Times New Roman"/>
                <w:b/>
                <w:bCs/>
              </w:rPr>
              <w:t xml:space="preserve"> (“SPA”):</w:t>
            </w:r>
            <w:r>
              <w:rPr>
                <w:rStyle w:val="DefaultParagraphFont0"/>
                <w:rFonts w:ascii="Times New Roman" w:eastAsia="Times New Roman" w:hAnsi="Times New Roman" w:cs="Times New Roman"/>
              </w:rPr>
              <w:t xml:space="preserve"> To be executed between </w:t>
            </w:r>
            <w:r>
              <w:rPr>
                <w:rStyle w:val="DefaultParagraphFont0"/>
                <w:rFonts w:ascii="Times New Roman" w:eastAsia="Times New Roman" w:hAnsi="Times New Roman" w:cs="Times New Roman"/>
              </w:rPr>
              <w:t>Clean Max</w:t>
            </w:r>
            <w:r>
              <w:rPr>
                <w:rStyle w:val="DefaultParagraphFont0"/>
                <w:rFonts w:ascii="Times New Roman" w:eastAsia="Times New Roman" w:hAnsi="Times New Roman" w:cs="Times New Roman"/>
              </w:rPr>
              <w:t xml:space="preserve">, the Consumer and the SPV/Supplier. It will include the terms of the purchase and sale of shares of the SPV to the Consumer. </w:t>
            </w:r>
          </w:p>
          <w:p>
            <w:pPr>
              <w:pStyle w:val="ListParagraph"/>
              <w:spacing w:before="240" w:after="240"/>
              <w:jc w:val="both"/>
              <w:rPr>
                <w:sz w:val="24"/>
                <w:szCs w:val="24"/>
              </w:rPr>
            </w:pPr>
          </w:p>
          <w:p>
            <w:pPr>
              <w:numPr>
                <w:ilvl w:val="0"/>
                <w:numId w:val="4"/>
              </w:numPr>
              <w:pBdr>
                <w:left w:val="none" w:sz="0" w:space="13" w:color="auto"/>
              </w:pBdr>
              <w:spacing w:before="240" w:after="240"/>
              <w:ind w:left="1440" w:hanging="620"/>
              <w:jc w:val="both"/>
              <w:rPr>
                <w:rFonts w:ascii="Times New Roman" w:eastAsia="Times New Roman" w:hAnsi="Times New Roman" w:cs="Times New Roman"/>
              </w:rPr>
            </w:pPr>
            <w:r>
              <w:rPr>
                <w:rStyle w:val="DefaultParagraphFont0"/>
                <w:rFonts w:ascii="Times New Roman" w:eastAsia="Times New Roman" w:hAnsi="Times New Roman" w:cs="Times New Roman"/>
                <w:b/>
                <w:bCs/>
              </w:rPr>
              <w:t>Shareholders Agreement</w:t>
            </w:r>
            <w:r>
              <w:rPr>
                <w:rStyle w:val="DefaultParagraphFont0"/>
                <w:rFonts w:ascii="Times New Roman" w:eastAsia="Times New Roman" w:hAnsi="Times New Roman" w:cs="Times New Roman"/>
                <w:b/>
                <w:bCs/>
              </w:rPr>
              <w:t xml:space="preserve"> (“SHA”):</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 xml:space="preserve">To be executed between </w:t>
            </w:r>
            <w:r>
              <w:rPr>
                <w:rStyle w:val="DefaultParagraphFont0"/>
                <w:rFonts w:ascii="Times New Roman" w:eastAsia="Times New Roman" w:hAnsi="Times New Roman" w:cs="Times New Roman"/>
              </w:rPr>
              <w:t>Clean Max</w:t>
            </w:r>
            <w:r>
              <w:rPr>
                <w:rStyle w:val="DefaultParagraphFont0"/>
                <w:rFonts w:ascii="Times New Roman" w:eastAsia="Times New Roman" w:hAnsi="Times New Roman" w:cs="Times New Roman"/>
              </w:rPr>
              <w:t xml:space="preserve">, the Consumer and the SPV/Supplier. It will </w:t>
            </w:r>
            <w:r>
              <w:rPr>
                <w:rStyle w:val="DefaultParagraphFont0"/>
                <w:rFonts w:ascii="Times New Roman" w:eastAsia="Times New Roman" w:hAnsi="Times New Roman" w:cs="Times New Roman"/>
              </w:rPr>
              <w:t>finalize Equity Shareholding in the Supplier, Governance Arrangements, Dividends, Entry and Exit of Consumers.</w:t>
            </w:r>
          </w:p>
          <w:p>
            <w:pPr>
              <w:pStyle w:val="ListParagraph"/>
              <w:spacing w:before="240" w:after="0"/>
              <w:rPr>
                <w:sz w:val="24"/>
                <w:szCs w:val="24"/>
              </w:rPr>
            </w:pPr>
          </w:p>
          <w:p>
            <w:pPr>
              <w:numPr>
                <w:ilvl w:val="0"/>
                <w:numId w:val="5"/>
              </w:numPr>
              <w:pBdr>
                <w:left w:val="none" w:sz="0" w:space="13" w:color="auto"/>
              </w:pBdr>
              <w:spacing w:before="240" w:after="240"/>
              <w:ind w:left="1440" w:hanging="607"/>
              <w:jc w:val="both"/>
              <w:rPr>
                <w:rFonts w:ascii="Times New Roman" w:eastAsia="Times New Roman" w:hAnsi="Times New Roman" w:cs="Times New Roman"/>
              </w:rPr>
            </w:pPr>
            <w:r>
              <w:rPr>
                <w:rStyle w:val="DefaultParagraphFont0"/>
                <w:rFonts w:ascii="Times New Roman" w:eastAsia="Times New Roman" w:hAnsi="Times New Roman" w:cs="Times New Roman"/>
                <w:b/>
                <w:bCs/>
              </w:rPr>
              <w:t>Performance Incentive Agreement</w:t>
            </w:r>
            <w:r>
              <w:rPr>
                <w:rStyle w:val="DefaultParagraphFont0"/>
                <w:rFonts w:ascii="Times New Roman" w:eastAsia="Times New Roman" w:hAnsi="Times New Roman" w:cs="Times New Roman"/>
                <w:b/>
                <w:bCs/>
              </w:rPr>
              <w:t xml:space="preserve"> (“PIA”):</w:t>
            </w:r>
            <w:r>
              <w:rPr>
                <w:rStyle w:val="DefaultParagraphFont0"/>
                <w:rFonts w:ascii="Times New Roman" w:eastAsia="Times New Roman" w:hAnsi="Times New Roman" w:cs="Times New Roman"/>
              </w:rPr>
              <w:t xml:space="preserve"> To be executed between Supplier and Consumer. </w:t>
            </w:r>
            <w:r>
              <w:rPr>
                <w:rStyle w:val="DefaultParagraphFont0"/>
                <w:rFonts w:ascii="Times New Roman" w:eastAsia="Times New Roman" w:hAnsi="Times New Roman" w:cs="Times New Roman"/>
              </w:rPr>
              <w:t>Ensures that Supplier gets incentivized to the extent of the dividend payout from the SPV to the Consumer. This shall be in the form of additional tariff that is linked to dividend payouts.</w:t>
            </w:r>
          </w:p>
        </w:tc>
      </w:tr>
      <w:tr>
        <w:tc>
          <w:tcPr>
            <w:tcW w:w="1838"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pPr>
            <w:r>
              <w:rPr>
                <w:rStyle w:val="DefaultParagraphFont0"/>
                <w:rFonts w:ascii="Times New Roman" w:eastAsia="Times New Roman" w:hAnsi="Times New Roman" w:cs="Times New Roman"/>
                <w:b/>
                <w:bCs/>
              </w:rPr>
              <w:t>Entry into the Group Captive</w:t>
            </w:r>
          </w:p>
        </w:tc>
        <w:tc>
          <w:tcPr>
            <w:tcW w:w="8619"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pStyle w:val="Default"/>
              <w:spacing w:before="240" w:after="240"/>
              <w:jc w:val="both"/>
              <w:rPr>
                <w:sz w:val="24"/>
                <w:szCs w:val="24"/>
              </w:rPr>
            </w:pPr>
          </w:p>
          <w:p>
            <w:pPr>
              <w:pStyle w:val="Default"/>
              <w:spacing w:before="240" w:after="240"/>
              <w:jc w:val="both"/>
            </w:pPr>
            <w:r>
              <w:rPr>
                <w:rStyle w:val="DefaultParagraphFont0"/>
                <w:rFonts w:ascii="Times New Roman" w:eastAsia="Times New Roman" w:hAnsi="Times New Roman" w:cs="Times New Roman"/>
                <w:color w:val="000000"/>
              </w:rPr>
              <w:t xml:space="preserve">Consumer shall invest </w:t>
            </w:r>
            <w:r>
              <w:rPr>
                <w:rStyle w:val="DefaultParagraphFont0"/>
                <w:rFonts w:ascii="Times New Roman" w:eastAsia="Times New Roman" w:hAnsi="Times New Roman" w:cs="Times New Roman"/>
                <w:b/>
                <w:bCs/>
                <w:color w:val="000000"/>
              </w:rPr>
              <w:t xml:space="preserve">INR </w:t>
            </w:r>
            <w:r>
              <w:rPr>
                <w:rStyle w:val="DefaultParagraphFont0"/>
                <w:rFonts w:ascii="Times New Roman" w:eastAsia="Times New Roman" w:hAnsi="Times New Roman" w:cs="Times New Roman"/>
                <w:b/>
                <w:bCs/>
                <w:color w:val="000000"/>
              </w:rPr>
              <w:t>39</w:t>
            </w:r>
            <w:r>
              <w:rPr>
                <w:rStyle w:val="DefaultParagraphFont0"/>
                <w:rFonts w:ascii="Times New Roman" w:eastAsia="Times New Roman" w:hAnsi="Times New Roman" w:cs="Times New Roman"/>
                <w:b/>
                <w:bCs/>
                <w:color w:val="000000"/>
              </w:rPr>
              <w:t xml:space="preserve"> lakhs</w:t>
            </w:r>
            <w:r>
              <w:rPr>
                <w:rStyle w:val="DefaultParagraphFont0"/>
                <w:rFonts w:ascii="Times New Roman" w:eastAsia="Times New Roman" w:hAnsi="Times New Roman" w:cs="Times New Roman"/>
                <w:b/>
                <w:bCs/>
                <w:color w:val="000000"/>
              </w:rPr>
              <w:t xml:space="preserve"> per </w:t>
            </w:r>
            <w:r>
              <w:rPr>
                <w:rStyle w:val="DefaultParagraphFont0"/>
                <w:rFonts w:ascii="Times New Roman" w:eastAsia="Times New Roman" w:hAnsi="Times New Roman" w:cs="Times New Roman"/>
                <w:b/>
                <w:bCs/>
                <w:color w:val="000000"/>
              </w:rPr>
              <w:t>MWp</w:t>
            </w:r>
            <w:r>
              <w:rPr>
                <w:rStyle w:val="DefaultParagraphFont0"/>
                <w:rFonts w:ascii="Times New Roman" w:eastAsia="Times New Roman" w:hAnsi="Times New Roman" w:cs="Times New Roman"/>
                <w:b/>
                <w:bCs/>
                <w:color w:val="000000"/>
              </w:rPr>
              <w:t xml:space="preserve"> for Solar</w:t>
            </w:r>
            <w:r>
              <w:rPr>
                <w:rStyle w:val="DefaultParagraphFont0"/>
                <w:rFonts w:ascii="Times New Roman" w:eastAsia="Times New Roman" w:hAnsi="Times New Roman" w:cs="Times New Roman"/>
                <w:b/>
                <w:bCs/>
                <w:color w:val="000000"/>
              </w:rPr>
              <w:t xml:space="preserve"> </w:t>
            </w:r>
            <w:r>
              <w:rPr>
                <w:rStyle w:val="DefaultParagraphFont0"/>
                <w:rFonts w:ascii="Times New Roman" w:eastAsia="Times New Roman" w:hAnsi="Times New Roman" w:cs="Times New Roman"/>
                <w:color w:val="000000"/>
              </w:rPr>
              <w:t>and</w:t>
            </w:r>
            <w:r>
              <w:rPr>
                <w:rStyle w:val="DefaultParagraphFont0"/>
                <w:rFonts w:ascii="Times New Roman" w:eastAsia="Times New Roman" w:hAnsi="Times New Roman" w:cs="Times New Roman"/>
                <w:b/>
                <w:bCs/>
                <w:color w:val="000000"/>
              </w:rPr>
              <w:t xml:space="preserve"> </w:t>
            </w:r>
            <w:r>
              <w:rPr>
                <w:rStyle w:val="DefaultParagraphFont0"/>
                <w:rFonts w:ascii="Times New Roman" w:eastAsia="Times New Roman" w:hAnsi="Times New Roman" w:cs="Times New Roman"/>
                <w:b/>
                <w:bCs/>
                <w:color w:val="000000"/>
              </w:rPr>
              <w:t xml:space="preserve">INR </w:t>
            </w:r>
            <w:r>
              <w:rPr>
                <w:rStyle w:val="DefaultParagraphFont0"/>
                <w:rFonts w:ascii="Times New Roman" w:eastAsia="Times New Roman" w:hAnsi="Times New Roman" w:cs="Times New Roman"/>
                <w:b/>
                <w:bCs/>
                <w:color w:val="000000"/>
              </w:rPr>
              <w:t xml:space="preserve">75 </w:t>
            </w:r>
            <w:r>
              <w:rPr>
                <w:rStyle w:val="DefaultParagraphFont0"/>
                <w:rFonts w:ascii="Times New Roman" w:eastAsia="Times New Roman" w:hAnsi="Times New Roman" w:cs="Times New Roman"/>
                <w:b/>
                <w:bCs/>
                <w:color w:val="000000"/>
              </w:rPr>
              <w:t>lakhs</w:t>
            </w:r>
            <w:r>
              <w:rPr>
                <w:rStyle w:val="DefaultParagraphFont0"/>
                <w:rFonts w:ascii="Times New Roman" w:eastAsia="Times New Roman" w:hAnsi="Times New Roman" w:cs="Times New Roman"/>
                <w:b/>
                <w:bCs/>
                <w:color w:val="000000"/>
              </w:rPr>
              <w:t xml:space="preserve"> per MW for Wind</w:t>
            </w:r>
            <w:r>
              <w:rPr>
                <w:rStyle w:val="DefaultParagraphFont0"/>
                <w:rFonts w:ascii="Times New Roman" w:eastAsia="Times New Roman" w:hAnsi="Times New Roman" w:cs="Times New Roman"/>
                <w:color w:val="000000"/>
              </w:rPr>
              <w:t xml:space="preserve"> in</w:t>
            </w:r>
            <w:r>
              <w:rPr>
                <w:rStyle w:val="DefaultParagraphFont0"/>
                <w:rFonts w:ascii="Times New Roman" w:eastAsia="Times New Roman" w:hAnsi="Times New Roman" w:cs="Times New Roman"/>
                <w:color w:val="000000"/>
              </w:rPr>
              <w:t xml:space="preserve"> the SPV for the </w:t>
            </w:r>
            <w:r>
              <w:rPr>
                <w:rStyle w:val="DefaultParagraphFont0"/>
                <w:rFonts w:ascii="Times New Roman" w:eastAsia="Times New Roman" w:hAnsi="Times New Roman" w:cs="Times New Roman"/>
                <w:color w:val="000000"/>
              </w:rPr>
              <w:t>Contracted Quantity</w:t>
            </w:r>
            <w:r>
              <w:rPr>
                <w:rStyle w:val="DefaultParagraphFont0"/>
                <w:rFonts w:ascii="Times New Roman" w:eastAsia="Times New Roman" w:hAnsi="Times New Roman" w:cs="Times New Roman"/>
                <w:color w:val="000000"/>
              </w:rPr>
              <w:t xml:space="preserve"> </w:t>
            </w:r>
            <w:r>
              <w:rPr>
                <w:rStyle w:val="DefaultParagraphFont0"/>
                <w:rFonts w:ascii="Times New Roman" w:eastAsia="Times New Roman" w:hAnsi="Times New Roman" w:cs="Times New Roman"/>
                <w:color w:val="000000"/>
              </w:rPr>
              <w:t xml:space="preserve">(“Investment Amount”), which will correspond to a </w:t>
            </w:r>
            <w:r>
              <w:rPr>
                <w:rStyle w:val="DefaultParagraphFont0"/>
                <w:rFonts w:ascii="Times New Roman" w:eastAsia="Times New Roman" w:hAnsi="Times New Roman" w:cs="Times New Roman"/>
                <w:color w:val="000000"/>
              </w:rPr>
              <w:t>69</w:t>
            </w:r>
            <w:r>
              <w:rPr>
                <w:rStyle w:val="DefaultParagraphFont0"/>
                <w:rFonts w:ascii="Times New Roman" w:eastAsia="Times New Roman" w:hAnsi="Times New Roman" w:cs="Times New Roman"/>
                <w:color w:val="000000"/>
              </w:rPr>
              <w:t xml:space="preserve"> </w:t>
            </w:r>
            <w:r>
              <w:rPr>
                <w:rStyle w:val="DefaultParagraphFont0"/>
                <w:rFonts w:ascii="Times New Roman" w:eastAsia="Times New Roman" w:hAnsi="Times New Roman" w:cs="Times New Roman"/>
                <w:color w:val="000000"/>
              </w:rPr>
              <w:t xml:space="preserve">equity </w:t>
            </w:r>
            <w:r>
              <w:rPr>
                <w:rStyle w:val="DefaultParagraphFont0"/>
                <w:rFonts w:ascii="Times New Roman" w:eastAsia="Times New Roman" w:hAnsi="Times New Roman" w:cs="Times New Roman"/>
                <w:color w:val="000000"/>
              </w:rPr>
              <w:t>capital contribution and ownership interest in the SPV.</w:t>
            </w:r>
            <w:r>
              <w:rPr>
                <w:rStyle w:val="DefaultParagraphFont0"/>
                <w:rFonts w:ascii="Times New Roman" w:eastAsia="Times New Roman" w:hAnsi="Times New Roman" w:cs="Times New Roman"/>
                <w:color w:val="000000"/>
              </w:rPr>
              <w:t xml:space="preserve"> </w:t>
            </w:r>
            <w:r>
              <w:rPr>
                <w:rStyle w:val="DefaultParagraphFont0"/>
                <w:rFonts w:ascii="Times New Roman" w:eastAsia="Times New Roman" w:hAnsi="Times New Roman" w:cs="Times New Roman"/>
                <w:color w:val="000000"/>
              </w:rPr>
              <w:t>Clean Max</w:t>
            </w:r>
            <w:r>
              <w:rPr>
                <w:rStyle w:val="DefaultParagraphFont0"/>
                <w:rFonts w:ascii="Times New Roman" w:eastAsia="Times New Roman" w:hAnsi="Times New Roman" w:cs="Times New Roman"/>
                <w:color w:val="000000"/>
              </w:rPr>
              <w:t xml:space="preserve"> shall contribute balance </w:t>
            </w:r>
            <w:r>
              <w:rPr>
                <w:rStyle w:val="DefaultParagraphFont0"/>
                <w:rFonts w:ascii="Times New Roman" w:eastAsia="Times New Roman" w:hAnsi="Times New Roman" w:cs="Times New Roman"/>
                <w:color w:val="000000"/>
              </w:rPr>
              <w:t>70</w:t>
            </w:r>
            <w:r>
              <w:rPr>
                <w:rStyle w:val="DefaultParagraphFont0"/>
                <w:rFonts w:ascii="Times New Roman" w:eastAsia="Times New Roman" w:hAnsi="Times New Roman" w:cs="Times New Roman"/>
                <w:color w:val="000000"/>
              </w:rPr>
              <w:t xml:space="preserve"> of </w:t>
            </w:r>
            <w:r>
              <w:rPr>
                <w:rStyle w:val="DefaultParagraphFont0"/>
                <w:rFonts w:ascii="Times New Roman" w:eastAsia="Times New Roman" w:hAnsi="Times New Roman" w:cs="Times New Roman"/>
                <w:color w:val="000000"/>
              </w:rPr>
              <w:t xml:space="preserve">the </w:t>
            </w:r>
            <w:r>
              <w:rPr>
                <w:rStyle w:val="DefaultParagraphFont0"/>
                <w:rFonts w:ascii="Times New Roman" w:eastAsia="Times New Roman" w:hAnsi="Times New Roman" w:cs="Times New Roman"/>
                <w:color w:val="000000"/>
              </w:rPr>
              <w:t xml:space="preserve">equity </w:t>
            </w:r>
            <w:r>
              <w:rPr>
                <w:rStyle w:val="DefaultParagraphFont0"/>
                <w:rFonts w:ascii="Times New Roman" w:eastAsia="Times New Roman" w:hAnsi="Times New Roman" w:cs="Times New Roman"/>
                <w:color w:val="000000"/>
              </w:rPr>
              <w:t>c</w:t>
            </w:r>
            <w:r>
              <w:rPr>
                <w:rStyle w:val="DefaultParagraphFont0"/>
                <w:rFonts w:ascii="Times New Roman" w:eastAsia="Times New Roman" w:hAnsi="Times New Roman" w:cs="Times New Roman"/>
                <w:color w:val="000000"/>
              </w:rPr>
              <w:t>apital contribution</w:t>
            </w:r>
            <w:r>
              <w:rPr>
                <w:rStyle w:val="DefaultParagraphFont0"/>
                <w:rFonts w:ascii="Times New Roman" w:eastAsia="Times New Roman" w:hAnsi="Times New Roman" w:cs="Times New Roman"/>
                <w:color w:val="000000"/>
              </w:rPr>
              <w:t>.</w:t>
            </w:r>
            <w:r>
              <w:rPr>
                <w:rStyle w:val="DefaultParagraphFont0"/>
                <w:rFonts w:ascii="Times New Roman" w:eastAsia="Times New Roman" w:hAnsi="Times New Roman" w:cs="Times New Roman"/>
                <w:color w:val="000000"/>
              </w:rPr>
              <w:t xml:space="preserve"> The total investment required would be </w:t>
            </w:r>
            <w:r>
              <w:rPr>
                <w:rStyle w:val="DefaultParagraphFont0"/>
                <w:rFonts w:ascii="Times New Roman" w:eastAsia="Times New Roman" w:hAnsi="Times New Roman" w:cs="Times New Roman"/>
                <w:b/>
                <w:bCs/>
                <w:color w:val="000000"/>
              </w:rPr>
              <w:t>~</w:t>
            </w:r>
            <w:r>
              <w:rPr>
                <w:rStyle w:val="DefaultParagraphFont0"/>
                <w:rFonts w:ascii="Times New Roman" w:eastAsia="Times New Roman" w:hAnsi="Times New Roman" w:cs="Times New Roman"/>
                <w:b/>
                <w:bCs/>
                <w:color w:val="000000"/>
              </w:rPr>
              <w:t xml:space="preserve">INR </w:t>
            </w:r>
            <w:r>
              <w:rPr>
                <w:rStyle w:val="DefaultParagraphFont0"/>
                <w:rFonts w:ascii="Times New Roman" w:eastAsia="Times New Roman" w:hAnsi="Times New Roman" w:cs="Times New Roman"/>
                <w:b/>
                <w:bCs/>
                <w:color w:val="000000"/>
              </w:rPr>
              <w:t>139</w:t>
            </w:r>
            <w:r>
              <w:rPr>
                <w:rStyle w:val="DefaultParagraphFont0"/>
                <w:rFonts w:ascii="Times New Roman" w:eastAsia="Times New Roman" w:hAnsi="Times New Roman" w:cs="Times New Roman"/>
                <w:b/>
                <w:bCs/>
                <w:color w:val="000000"/>
              </w:rPr>
              <w:t xml:space="preserve"> crores</w:t>
            </w:r>
            <w:r>
              <w:rPr>
                <w:rStyle w:val="DefaultParagraphFont0"/>
                <w:rFonts w:ascii="Times New Roman" w:eastAsia="Times New Roman" w:hAnsi="Times New Roman" w:cs="Times New Roman"/>
                <w:color w:val="000000"/>
              </w:rPr>
              <w:t xml:space="preserve"> for a solar </w:t>
            </w:r>
            <w:r>
              <w:rPr>
                <w:rStyle w:val="DefaultParagraphFont0"/>
                <w:rFonts w:ascii="Times New Roman" w:eastAsia="Times New Roman" w:hAnsi="Times New Roman" w:cs="Times New Roman"/>
                <w:color w:val="000000"/>
              </w:rPr>
              <w:t>plant of</w:t>
            </w:r>
            <w:r>
              <w:rPr>
                <w:rStyle w:val="DefaultParagraphFont0"/>
                <w:rFonts w:ascii="Times New Roman" w:eastAsia="Times New Roman" w:hAnsi="Times New Roman" w:cs="Times New Roman"/>
                <w:color w:val="000000"/>
              </w:rPr>
              <w:t xml:space="preserve"> capacity of </w:t>
            </w:r>
            <w:r>
              <w:rPr>
                <w:rStyle w:val="DefaultParagraphFont0"/>
                <w:rFonts w:ascii="Times New Roman" w:eastAsia="Times New Roman" w:hAnsi="Times New Roman" w:cs="Times New Roman"/>
                <w:color w:val="000000"/>
              </w:rPr>
              <w:t xml:space="preserve">@10 </w:t>
            </w:r>
            <w:r>
              <w:rPr>
                <w:rStyle w:val="DefaultParagraphFont0"/>
                <w:rFonts w:ascii="Times New Roman" w:eastAsia="Times New Roman" w:hAnsi="Times New Roman" w:cs="Times New Roman"/>
                <w:color w:val="000000"/>
              </w:rPr>
              <w:t xml:space="preserve">and wind plant of capacity </w:t>
            </w:r>
            <w:r>
              <w:rPr>
                <w:rStyle w:val="DefaultParagraphFont0"/>
                <w:rFonts w:ascii="Times New Roman" w:eastAsia="Times New Roman" w:hAnsi="Times New Roman" w:cs="Times New Roman"/>
                <w:color w:val="000000"/>
              </w:rPr>
              <w:t>of</w:t>
            </w:r>
            <w:r>
              <w:rPr>
                <w:rStyle w:val="DefaultParagraphFont0"/>
                <w:rFonts w:ascii="Times New Roman" w:eastAsia="Times New Roman" w:hAnsi="Times New Roman" w:cs="Times New Roman"/>
                <w:color w:val="000000"/>
              </w:rPr>
              <w:t xml:space="preserve"> @11</w:t>
            </w:r>
            <w:r>
              <w:rPr>
                <w:rStyle w:val="DefaultParagraphFont0"/>
                <w:rFonts w:ascii="Times New Roman" w:eastAsia="Times New Roman" w:hAnsi="Times New Roman" w:cs="Times New Roman"/>
                <w:color w:val="000000"/>
              </w:rPr>
              <w:t>. The investment would proportionately increase/decrease for change in the plant capacity.</w:t>
            </w:r>
          </w:p>
          <w:p>
            <w:pPr>
              <w:pStyle w:val="Default"/>
              <w:spacing w:before="240" w:after="240"/>
              <w:jc w:val="both"/>
              <w:rPr>
                <w:sz w:val="24"/>
                <w:szCs w:val="24"/>
              </w:rPr>
            </w:pPr>
          </w:p>
        </w:tc>
      </w:tr>
      <w:tr>
        <w:tc>
          <w:tcPr>
            <w:tcW w:w="1838"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pPr>
            <w:r>
              <w:rPr>
                <w:rStyle w:val="DefaultParagraphFont0"/>
                <w:rFonts w:ascii="Times New Roman" w:eastAsia="Times New Roman" w:hAnsi="Times New Roman" w:cs="Times New Roman"/>
                <w:b/>
                <w:bCs/>
              </w:rPr>
              <w:t>Recovery of Dividends</w:t>
            </w:r>
          </w:p>
        </w:tc>
        <w:tc>
          <w:tcPr>
            <w:tcW w:w="8619"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rPr>
                <w:sz w:val="24"/>
                <w:szCs w:val="24"/>
              </w:rPr>
            </w:pPr>
          </w:p>
          <w:p>
            <w:pPr>
              <w:spacing w:before="240" w:after="0"/>
              <w:jc w:val="both"/>
            </w:pPr>
            <w:r>
              <w:rPr>
                <w:rStyle w:val="DefaultParagraphFont0"/>
                <w:rFonts w:ascii="Times New Roman" w:eastAsia="Times New Roman" w:hAnsi="Times New Roman" w:cs="Times New Roman"/>
              </w:rPr>
              <w:t>As an equity investor in the SPV, Consumer would be entitled to dividends from the SPV. However, these dividends would be returned to the SPV in the following way:</w:t>
            </w:r>
          </w:p>
          <w:p>
            <w:pPr>
              <w:spacing w:before="240" w:after="0"/>
              <w:jc w:val="both"/>
              <w:rPr>
                <w:sz w:val="24"/>
                <w:szCs w:val="24"/>
              </w:rPr>
            </w:pPr>
          </w:p>
          <w:p>
            <w:pPr>
              <w:numPr>
                <w:ilvl w:val="0"/>
                <w:numId w:val="6"/>
              </w:numPr>
              <w:pBdr>
                <w:left w:val="none" w:sz="0" w:space="4" w:color="auto"/>
              </w:pBdr>
              <w:spacing w:before="240" w:after="240"/>
              <w:ind w:left="1440" w:hanging="293"/>
              <w:jc w:val="both"/>
              <w:rPr>
                <w:rFonts w:ascii="Symbol" w:eastAsia="Symbol" w:hAnsi="Symbol" w:cs="Symbol"/>
              </w:rPr>
            </w:pPr>
            <w:r>
              <w:rPr>
                <w:rStyle w:val="DefaultParagraphFont0"/>
                <w:rFonts w:ascii="Times New Roman" w:eastAsia="Times New Roman" w:hAnsi="Times New Roman" w:cs="Times New Roman"/>
              </w:rPr>
              <w:t>The SPV would charge a performance incentive or an incremental tariff on top of the Tariff which would compensate for the actual dividend pay-out from the SPV.</w:t>
            </w:r>
          </w:p>
          <w:p>
            <w:pPr>
              <w:pStyle w:val="ListParagraph"/>
              <w:spacing w:before="240" w:after="0"/>
              <w:jc w:val="both"/>
              <w:rPr>
                <w:sz w:val="24"/>
                <w:szCs w:val="24"/>
              </w:rPr>
            </w:pPr>
          </w:p>
          <w:p>
            <w:pPr>
              <w:spacing w:before="240" w:after="0"/>
              <w:jc w:val="both"/>
            </w:pPr>
            <w:r>
              <w:rPr>
                <w:rStyle w:val="DefaultParagraphFont0"/>
                <w:rFonts w:ascii="Times New Roman" w:eastAsia="Times New Roman" w:hAnsi="Times New Roman" w:cs="Times New Roman"/>
              </w:rPr>
              <w:t>The details of this would be covered in the Performance Incentive Agreement</w:t>
            </w:r>
            <w:r>
              <w:rPr>
                <w:rStyle w:val="DefaultParagraphFont0"/>
                <w:rFonts w:ascii="Times New Roman" w:eastAsia="Times New Roman" w:hAnsi="Times New Roman" w:cs="Times New Roman"/>
              </w:rPr>
              <w:t>.</w:t>
            </w:r>
          </w:p>
          <w:p>
            <w:pPr>
              <w:spacing w:before="240" w:after="0"/>
              <w:jc w:val="both"/>
              <w:rPr>
                <w:sz w:val="24"/>
                <w:szCs w:val="24"/>
              </w:rPr>
            </w:pPr>
          </w:p>
        </w:tc>
      </w:tr>
      <w:tr>
        <w:tc>
          <w:tcPr>
            <w:tcW w:w="1838"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pPr>
            <w:r>
              <w:rPr>
                <w:rStyle w:val="DefaultParagraphFont0"/>
                <w:rFonts w:ascii="Times New Roman" w:eastAsia="Times New Roman" w:hAnsi="Times New Roman" w:cs="Times New Roman"/>
                <w:b/>
                <w:bCs/>
              </w:rPr>
              <w:t>Key Commercials</w:t>
            </w:r>
          </w:p>
        </w:tc>
        <w:tc>
          <w:tcPr>
            <w:tcW w:w="8619"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0"/>
              <w:jc w:val="both"/>
              <w:rPr>
                <w:sz w:val="24"/>
                <w:szCs w:val="24"/>
              </w:rPr>
            </w:pPr>
          </w:p>
          <w:p>
            <w:pPr>
              <w:spacing w:before="240" w:after="0"/>
              <w:jc w:val="both"/>
            </w:pPr>
            <w:r>
              <w:rPr>
                <w:rStyle w:val="DefaultParagraphFont0"/>
                <w:rFonts w:ascii="Times New Roman" w:eastAsia="Times New Roman" w:hAnsi="Times New Roman" w:cs="Times New Roman"/>
              </w:rPr>
              <w:t>Consumer will be billed on a per-kWh basis, as described below:</w:t>
            </w:r>
          </w:p>
          <w:p>
            <w:pPr>
              <w:spacing w:before="240" w:after="0"/>
              <w:jc w:val="both"/>
              <w:rPr>
                <w:sz w:val="24"/>
                <w:szCs w:val="24"/>
              </w:rPr>
            </w:pPr>
          </w:p>
          <w:tbl>
            <w:tblPr>
              <w:jc w:val="center"/>
              <w:tblCellSpacing w:w="15" w:type="dxa"/>
              <w:tblCellMar>
                <w:top w:w="15" w:type="dxa"/>
                <w:left w:w="15" w:type="dxa"/>
                <w:bottom w:w="15" w:type="dxa"/>
                <w:right w:w="15" w:type="dxa"/>
              </w:tblCellMar>
            </w:tblPr>
            <w:tblGrid>
              <w:gridCol w:w="3697"/>
              <w:gridCol w:w="3542"/>
            </w:tblGrid>
            <w:tr>
              <w:tblPrEx>
                <w:jc w:val="center"/>
              </w:tblPrEx>
              <w:trPr>
                <w:jc w:val="center"/>
              </w:trPr>
              <w:tc>
                <w:tcPr>
                  <w:tcW w:w="3466" w:type="dxa"/>
                  <w:tcBorders>
                    <w:top w:val="single" w:sz="4" w:space="0" w:color="000000"/>
                    <w:left w:val="single" w:sz="4" w:space="0" w:color="000000"/>
                    <w:bottom w:val="single" w:sz="4" w:space="0" w:color="000000"/>
                    <w:right w:val="single" w:sz="4" w:space="0" w:color="000000"/>
                  </w:tcBorders>
                  <w:shd w:val="clear" w:color="auto" w:fill="C6D9F0"/>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Group Captive Model</w:t>
                  </w:r>
                </w:p>
              </w:tc>
              <w:tc>
                <w:tcPr>
                  <w:tcW w:w="3311" w:type="dxa"/>
                  <w:tcBorders>
                    <w:top w:val="single" w:sz="4" w:space="0" w:color="000000"/>
                    <w:left w:val="single" w:sz="4" w:space="0" w:color="000000"/>
                    <w:bottom w:val="single" w:sz="4" w:space="0" w:color="000000"/>
                    <w:right w:val="single" w:sz="4" w:space="0" w:color="000000"/>
                  </w:tcBorders>
                  <w:shd w:val="clear" w:color="auto" w:fill="C6D9F0"/>
                  <w:tcMar>
                    <w:top w:w="0" w:type="dxa"/>
                    <w:left w:w="103" w:type="dxa"/>
                    <w:bottom w:w="0" w:type="dxa"/>
                    <w:right w:w="103" w:type="dxa"/>
                  </w:tcMar>
                  <w:vAlign w:val="center"/>
                </w:tcPr>
                <w:p>
                  <w:pPr>
                    <w:spacing w:before="240" w:after="240"/>
                    <w:jc w:val="both"/>
                    <w:rPr>
                      <w:sz w:val="24"/>
                      <w:szCs w:val="24"/>
                    </w:rPr>
                  </w:pPr>
                </w:p>
              </w:tc>
            </w:tr>
            <w:tr>
              <w:tblPrEx>
                <w:jc w:val="center"/>
              </w:tblPrEx>
              <w:trPr>
                <w:jc w:val="center"/>
              </w:trPr>
              <w:tc>
                <w:tcPr>
                  <w:tcW w:w="3466" w:type="dxa"/>
                  <w:tcBorders>
                    <w:top w:val="single" w:sz="4" w:space="0" w:color="000000"/>
                    <w:left w:val="single" w:sz="4" w:space="0" w:color="000000"/>
                    <w:bottom w:val="single" w:sz="4" w:space="0" w:color="000000"/>
                    <w:right w:val="single" w:sz="4" w:space="0" w:color="000000"/>
                  </w:tcBorders>
                  <w:shd w:val="clear" w:color="auto" w:fill="C6D9F0"/>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Tenure</w:t>
                  </w:r>
                </w:p>
              </w:tc>
              <w:tc>
                <w:tcPr>
                  <w:tcW w:w="3311"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15</w:t>
                  </w:r>
                  <w:r>
                    <w:rPr>
                      <w:rStyle w:val="DefaultParagraphFont0"/>
                      <w:rFonts w:ascii="Times New Roman" w:eastAsia="Times New Roman" w:hAnsi="Times New Roman" w:cs="Times New Roman"/>
                      <w:b/>
                      <w:bCs/>
                    </w:rPr>
                    <w:t xml:space="preserve"> Years</w:t>
                  </w:r>
                </w:p>
              </w:tc>
            </w:tr>
            <w:tr>
              <w:tblPrEx>
                <w:jc w:val="center"/>
              </w:tblPrEx>
              <w:trPr>
                <w:jc w:val="center"/>
              </w:trPr>
              <w:tc>
                <w:tcPr>
                  <w:tcW w:w="3466" w:type="dxa"/>
                  <w:tcBorders>
                    <w:top w:val="single" w:sz="4" w:space="0" w:color="000000"/>
                    <w:left w:val="single" w:sz="4" w:space="0" w:color="000000"/>
                    <w:bottom w:val="single" w:sz="4" w:space="0" w:color="000000"/>
                    <w:right w:val="single" w:sz="4" w:space="0" w:color="000000"/>
                  </w:tcBorders>
                  <w:shd w:val="clear" w:color="auto" w:fill="C6D9F0"/>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Lock-in Period</w:t>
                  </w:r>
                </w:p>
              </w:tc>
              <w:tc>
                <w:tcPr>
                  <w:tcW w:w="3311"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12</w:t>
                  </w:r>
                </w:p>
              </w:tc>
            </w:tr>
            <w:tr>
              <w:tblPrEx>
                <w:jc w:val="center"/>
              </w:tblPrEx>
              <w:trPr>
                <w:jc w:val="center"/>
              </w:trPr>
              <w:tc>
                <w:tcPr>
                  <w:tcW w:w="3466" w:type="dxa"/>
                  <w:tcBorders>
                    <w:top w:val="single" w:sz="4" w:space="0" w:color="000000"/>
                    <w:left w:val="single" w:sz="4" w:space="0" w:color="000000"/>
                    <w:bottom w:val="single" w:sz="4" w:space="0" w:color="000000"/>
                    <w:right w:val="single" w:sz="4" w:space="0" w:color="000000"/>
                  </w:tcBorders>
                  <w:shd w:val="clear" w:color="auto" w:fill="C6D9F0"/>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ESA</w:t>
                  </w:r>
                  <w:r>
                    <w:rPr>
                      <w:rStyle w:val="DefaultParagraphFont0"/>
                      <w:rFonts w:ascii="Times New Roman" w:eastAsia="Times New Roman" w:hAnsi="Times New Roman" w:cs="Times New Roman"/>
                      <w:b/>
                      <w:bCs/>
                    </w:rPr>
                    <w:t xml:space="preserve"> </w:t>
                  </w:r>
                  <w:r>
                    <w:rPr>
                      <w:rStyle w:val="DefaultParagraphFont0"/>
                      <w:rFonts w:ascii="Times New Roman" w:eastAsia="Times New Roman" w:hAnsi="Times New Roman" w:cs="Times New Roman"/>
                      <w:b/>
                      <w:bCs/>
                    </w:rPr>
                    <w:t>T</w:t>
                  </w:r>
                  <w:r>
                    <w:rPr>
                      <w:rStyle w:val="DefaultParagraphFont0"/>
                      <w:rFonts w:ascii="Times New Roman" w:eastAsia="Times New Roman" w:hAnsi="Times New Roman" w:cs="Times New Roman"/>
                      <w:b/>
                      <w:bCs/>
                    </w:rPr>
                    <w:t xml:space="preserve">ariff </w:t>
                  </w:r>
                </w:p>
              </w:tc>
              <w:tc>
                <w:tcPr>
                  <w:tcW w:w="3311"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 xml:space="preserve">INR </w:t>
                  </w:r>
                  <w:r>
                    <w:rPr>
                      <w:rStyle w:val="DefaultParagraphFont0"/>
                      <w:rFonts w:ascii="Times New Roman" w:eastAsia="Times New Roman" w:hAnsi="Times New Roman" w:cs="Times New Roman"/>
                      <w:b/>
                      <w:bCs/>
                    </w:rPr>
                    <w:t>3.6</w:t>
                  </w:r>
                  <w:r>
                    <w:rPr>
                      <w:rStyle w:val="DefaultParagraphFont0"/>
                      <w:rFonts w:ascii="Times New Roman" w:eastAsia="Times New Roman" w:hAnsi="Times New Roman" w:cs="Times New Roman"/>
                      <w:b/>
                      <w:bCs/>
                    </w:rPr>
                    <w:t>/kWh</w:t>
                  </w:r>
                  <w:r>
                    <w:rPr>
                      <w:rStyle w:val="DefaultParagraphFont0"/>
                      <w:rFonts w:ascii="Times New Roman" w:eastAsia="Times New Roman" w:hAnsi="Times New Roman" w:cs="Times New Roman"/>
                      <w:b/>
                      <w:bCs/>
                    </w:rPr>
                    <w:t xml:space="preserve"> </w:t>
                  </w:r>
                </w:p>
              </w:tc>
            </w:tr>
            <w:tr>
              <w:tblPrEx>
                <w:jc w:val="center"/>
              </w:tblPrEx>
              <w:trPr>
                <w:jc w:val="center"/>
              </w:trPr>
              <w:tc>
                <w:tcPr>
                  <w:tcW w:w="3466" w:type="dxa"/>
                  <w:tcBorders>
                    <w:top w:val="single" w:sz="4" w:space="0" w:color="000000"/>
                    <w:left w:val="single" w:sz="4" w:space="0" w:color="000000"/>
                    <w:bottom w:val="single" w:sz="4" w:space="0" w:color="000000"/>
                    <w:right w:val="single" w:sz="4" w:space="0" w:color="000000"/>
                  </w:tcBorders>
                  <w:shd w:val="clear" w:color="auto" w:fill="C6D9F0"/>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YoY Escalation</w:t>
                  </w:r>
                </w:p>
              </w:tc>
              <w:tc>
                <w:tcPr>
                  <w:tcW w:w="3311"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0.7</w:t>
                  </w:r>
                </w:p>
              </w:tc>
            </w:tr>
            <w:tr>
              <w:tblPrEx>
                <w:jc w:val="center"/>
              </w:tblPrEx>
              <w:trPr>
                <w:jc w:val="center"/>
              </w:trPr>
              <w:tc>
                <w:tcPr>
                  <w:tcW w:w="3466" w:type="dxa"/>
                  <w:tcBorders>
                    <w:top w:val="single" w:sz="4" w:space="0" w:color="000000"/>
                    <w:left w:val="single" w:sz="4" w:space="0" w:color="000000"/>
                    <w:bottom w:val="single" w:sz="4" w:space="0" w:color="000000"/>
                    <w:right w:val="single" w:sz="4" w:space="0" w:color="000000"/>
                  </w:tcBorders>
                  <w:shd w:val="clear" w:color="auto" w:fill="C6D9F0"/>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Contracted Capacity</w:t>
                  </w:r>
                </w:p>
              </w:tc>
              <w:tc>
                <w:tcPr>
                  <w:tcW w:w="3311"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140</w:t>
                  </w:r>
                </w:p>
              </w:tc>
            </w:tr>
            <w:tr>
              <w:tblPrEx>
                <w:jc w:val="center"/>
              </w:tblPrEx>
              <w:trPr>
                <w:jc w:val="center"/>
              </w:trPr>
              <w:tc>
                <w:tcPr>
                  <w:tcW w:w="3466" w:type="dxa"/>
                  <w:tcBorders>
                    <w:top w:val="single" w:sz="4" w:space="0" w:color="000000"/>
                    <w:left w:val="single" w:sz="4" w:space="0" w:color="000000"/>
                    <w:bottom w:val="single" w:sz="4" w:space="0" w:color="000000"/>
                    <w:right w:val="single" w:sz="4" w:space="0" w:color="000000"/>
                  </w:tcBorders>
                  <w:shd w:val="clear" w:color="auto" w:fill="C6D9F0"/>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Contracted Quantity per annum</w:t>
                  </w:r>
                </w:p>
              </w:tc>
              <w:tc>
                <w:tcPr>
                  <w:tcW w:w="33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120</w:t>
                  </w:r>
                </w:p>
              </w:tc>
            </w:tr>
            <w:tr>
              <w:tblPrEx>
                <w:jc w:val="center"/>
              </w:tblPrEx>
              <w:trPr>
                <w:jc w:val="center"/>
              </w:trPr>
              <w:tc>
                <w:tcPr>
                  <w:tcW w:w="3466" w:type="dxa"/>
                  <w:tcBorders>
                    <w:top w:val="single" w:sz="4" w:space="0" w:color="000000"/>
                    <w:left w:val="single" w:sz="4" w:space="0" w:color="000000"/>
                    <w:bottom w:val="single" w:sz="4" w:space="0" w:color="000000"/>
                    <w:right w:val="single" w:sz="4" w:space="0" w:color="000000"/>
                  </w:tcBorders>
                  <w:shd w:val="clear" w:color="auto" w:fill="C6D9F0"/>
                  <w:tcMar>
                    <w:top w:w="0" w:type="dxa"/>
                    <w:left w:w="103" w:type="dxa"/>
                    <w:bottom w:w="0" w:type="dxa"/>
                    <w:right w:w="103" w:type="dxa"/>
                  </w:tcMar>
                  <w:vAlign w:val="center"/>
                  <w:hideMark/>
                </w:tcPr>
                <w:p>
                  <w:pPr>
                    <w:spacing w:before="240" w:after="240"/>
                    <w:jc w:val="both"/>
                  </w:pPr>
                  <w:r>
                    <w:rPr>
                      <w:rStyle w:val="CommentReference0"/>
                    </w:rPr>
                    <w:commentReference w:id="0"/>
                  </w:r>
                  <w:r>
                    <w:rPr>
                      <w:rStyle w:val="DefaultParagraphFont0"/>
                      <w:rFonts w:ascii="Times New Roman" w:eastAsia="Times New Roman" w:hAnsi="Times New Roman" w:cs="Times New Roman"/>
                      <w:b/>
                      <w:bCs/>
                    </w:rPr>
                    <w:t>Total Investment by Consumer</w:t>
                  </w:r>
                </w:p>
              </w:tc>
              <w:tc>
                <w:tcPr>
                  <w:tcW w:w="33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3" w:type="dxa"/>
                    <w:bottom w:w="0" w:type="dxa"/>
                    <w:right w:w="103" w:type="dxa"/>
                  </w:tcMar>
                  <w:vAlign w:val="center"/>
                  <w:hideMark/>
                </w:tcPr>
                <w:p>
                  <w:pPr>
                    <w:spacing w:before="240" w:after="240"/>
                    <w:jc w:val="both"/>
                  </w:pPr>
                  <w:r>
                    <w:rPr>
                      <w:rStyle w:val="DefaultParagraphFont0"/>
                      <w:rFonts w:ascii="Times New Roman" w:eastAsia="Times New Roman" w:hAnsi="Times New Roman" w:cs="Times New Roman"/>
                      <w:b/>
                      <w:bCs/>
                    </w:rPr>
                    <w:t>139</w:t>
                  </w:r>
                </w:p>
              </w:tc>
            </w:tr>
          </w:tbl>
          <w:p>
            <w:pPr>
              <w:spacing w:before="240" w:after="0"/>
              <w:jc w:val="both"/>
              <w:rPr>
                <w:sz w:val="24"/>
                <w:szCs w:val="24"/>
              </w:rPr>
            </w:pPr>
          </w:p>
          <w:p>
            <w:pPr>
              <w:spacing w:before="240" w:after="0"/>
              <w:jc w:val="both"/>
            </w:pPr>
            <w:r>
              <w:rPr>
                <w:rStyle w:val="DefaultParagraphFont0"/>
                <w:rFonts w:ascii="Times New Roman" w:eastAsia="Times New Roman" w:hAnsi="Times New Roman" w:cs="Times New Roman"/>
              </w:rPr>
              <w:t>*Taxes, duties, losses, levies, and any other applicable charges including but not limited to open access charges such as wheeling, transmission, banking, SLDC</w:t>
            </w:r>
            <w:r>
              <w:rPr>
                <w:rStyle w:val="DefaultParagraphFont0"/>
                <w:rFonts w:ascii="Times New Roman" w:eastAsia="Times New Roman" w:hAnsi="Times New Roman" w:cs="Times New Roman"/>
              </w:rPr>
              <w:t xml:space="preserve"> (State Load Despatch Centre)</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 xml:space="preserve">charges and losses, etc. if applicable will be charged to the </w:t>
            </w:r>
            <w:r>
              <w:rPr>
                <w:rStyle w:val="DefaultParagraphFont0"/>
                <w:rFonts w:ascii="Times New Roman" w:eastAsia="Times New Roman" w:hAnsi="Times New Roman" w:cs="Times New Roman"/>
              </w:rPr>
              <w:t>Consumer</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 xml:space="preserve">over and above the </w:t>
            </w:r>
            <w:r>
              <w:rPr>
                <w:rStyle w:val="DefaultParagraphFont0"/>
                <w:rFonts w:ascii="Times New Roman" w:eastAsia="Times New Roman" w:hAnsi="Times New Roman" w:cs="Times New Roman"/>
              </w:rPr>
              <w:t>ESA</w:t>
            </w:r>
            <w:r>
              <w:rPr>
                <w:rStyle w:val="DefaultParagraphFont0"/>
                <w:rFonts w:ascii="Times New Roman" w:eastAsia="Times New Roman" w:hAnsi="Times New Roman" w:cs="Times New Roman"/>
              </w:rPr>
              <w:t xml:space="preserve"> </w:t>
            </w:r>
            <w:r>
              <w:rPr>
                <w:rStyle w:val="DefaultParagraphFont0"/>
                <w:rFonts w:ascii="Times New Roman" w:eastAsia="Times New Roman" w:hAnsi="Times New Roman" w:cs="Times New Roman"/>
              </w:rPr>
              <w:t>T</w:t>
            </w:r>
            <w:r>
              <w:rPr>
                <w:rStyle w:val="DefaultParagraphFont0"/>
                <w:rFonts w:ascii="Times New Roman" w:eastAsia="Times New Roman" w:hAnsi="Times New Roman" w:cs="Times New Roman"/>
              </w:rPr>
              <w:t xml:space="preserve">ariff described above. </w:t>
            </w:r>
          </w:p>
        </w:tc>
      </w:tr>
    </w:tbl>
    <w:p>
      <w:pPr>
        <w:spacing w:before="240" w:after="240"/>
      </w:pPr>
    </w:p>
    <w:p>
      <w:r>
        <w:rPr>
          <w:strike w:val="0"/>
          <w:u w:val="none"/>
        </w:rPr>
        <w:drawing>
          <wp:inline>
            <wp:extent cx="7686675" cy="14573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9"/>
                    <a:stretch>
                      <a:fillRect/>
                    </a:stretch>
                  </pic:blipFill>
                  <pic:spPr>
                    <a:xfrm>
                      <a:off x="0" y="0"/>
                      <a:ext cx="7686675" cy="1457325"/>
                    </a:xfrm>
                    <a:prstGeom prst="rect">
                      <a:avLst/>
                    </a:prstGeom>
                  </pic:spPr>
                </pic:pic>
              </a:graphicData>
            </a:graphic>
          </wp:inline>
        </w:drawing>
      </w:r>
    </w:p>
    <w:bookmarkStart w:id="1" w:name="_cmnt1"/>
    <w:p>
      <w:r>
        <w:pict>
          <v:rect id="_x0000_i1025" style="width:468pt;height:1.5pt" o:hrpct="1000" o:hralign="center" o:hrstd="t" o:hr="t" filled="t" fillcolor="gray" stroked="f">
            <v:path strokeok="f"/>
          </v:rect>
        </w:pict>
      </w:r>
    </w:p>
    <w:bookmarkStart w:id="2" w:name="_cmnt2"/>
    <w:p>
      <w:r>
        <w:rPr>
          <w:rStyle w:val="DefaultParagraphFonttext002"/>
        </w:rPr>
        <w:t>Input parameter : Solar Capacity</w:t>
      </w:r>
    </w:p>
    <w:bookmarkEnd w:id="1"/>
    <w:bookmarkStart w:id="3" w:name="_cmnt3"/>
    <w:p>
      <w:r>
        <w:rPr>
          <w:rStyle w:val="DefaultParagraphFonttext003"/>
        </w:rPr>
        <w:t>Input Parameter: Wind Capacity</w:t>
      </w:r>
    </w:p>
    <w:bookmarkEnd w:id="2"/>
    <w:p>
      <w:r>
        <w:rPr>
          <w:rStyle w:val="DefaultParagraphFonttext004"/>
        </w:rPr>
        <w:t xml:space="preserve">Input Parameter: </w:t>
      </w:r>
    </w:p>
    <w:p>
      <w:r>
        <w:rPr>
          <w:rStyle w:val="DefaultParagraphFonttext005"/>
        </w:rPr>
        <w:t>Pre-loss supply (kWh)</w:t>
      </w:r>
    </w:p>
    <w:bookmarkEnd w:id="3"/>
    <w:sectPr>
      <w:pgMar w:header="708" w:footer="708"/>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comment w:id="0">
    <w:p w14:paraId="168C2566">
      <w:r>
        <w:rPr>
          <w:rStyle w:val="DefaultParagraphFonttext007"/>
        </w:rPr>
        <w:t>Values are auto filled from previously supplied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15:commentEx w15:paraId="168C25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16cid:commentId w16cid:paraId="168C2566" w16cid:durableId="0B6AE50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abstractNum w:abstractNumId="0">
    <w:nsid w:val="00000001"/>
    <w:multiLevelType w:val="multilevel"/>
    <w:tmpl w:val="00000001"/>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2"/>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3"/>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4"/>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hybridMultilevel"/>
    <w:tmpl w:val="00000006"/>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sl="http://schemas.openxmlformats.org/schemaLibrary/2006/main" mc:Ignorable="w14 w15 w16se w16cid w16 w16cex w16sdtdh">
  <w:view w:val="normal"/>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Times New Roman" w:eastAsia="Times New Roman" w:hAnsi="Times New Roman" w:cs="Times New Roman"/>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Times New Roman" w:eastAsia="Times New Roman" w:hAnsi="Times New Roman" w:cs="Times New Roman"/>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Times New Roman" w:eastAsia="Times New Roman" w:hAnsi="Times New Roman" w:cs="Times New Roman"/>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Times New Roman" w:eastAsia="Times New Roman" w:hAnsi="Times New Roman" w:cs="Times New Roman"/>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Times New Roman" w:eastAsia="Times New Roman" w:hAnsi="Times New Roman" w:cs="Times New Roman"/>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Times New Roman" w:eastAsia="Times New Roman" w:hAnsi="Times New Roman" w:cs="Times New Roman"/>
      <w:b/>
      <w:bCs/>
      <w:i w:val="0"/>
      <w:color w:val="1F3763" w:themeShade="7F"/>
      <w:sz w:val="16"/>
      <w:szCs w:val="16"/>
    </w:r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character" w:customStyle="1" w:styleId="DefaultParagraphFont0">
    <w:name w:val="Default_Paragraph_Font"/>
    <w:basedOn w:val="DefaultParagraphFont"/>
  </w:style>
  <w:style w:type="character" w:customStyle="1" w:styleId="DefaultParagraphFonttext001">
    <w:name w:val="Default_Paragraph_Font text001"/>
    <w:basedOn w:val="DefaultParagraphFont"/>
  </w:style>
  <w:style w:type="character" w:customStyle="1" w:styleId="CommentReference">
    <w:name w:val="CommentReference"/>
    <w:basedOn w:val="DefaultParagraphFont"/>
  </w:style>
  <w:style w:type="paragraph" w:customStyle="1" w:styleId="ListParagraph">
    <w:name w:val="List_Paragraph"/>
    <w:basedOn w:val="Normal"/>
  </w:style>
  <w:style w:type="paragraph" w:customStyle="1" w:styleId="Default">
    <w:name w:val="Default"/>
    <w:basedOn w:val="Normal"/>
  </w:style>
  <w:style w:type="character" w:styleId="CommentReference0">
    <w:name w:val="annotation reference"/>
    <w:basedOn w:val="DefaultParagraphFont"/>
    <w:uiPriority w:val="99"/>
    <w:rsid w:val="000F3DF7"/>
    <w:rPr>
      <w:sz w:val="16"/>
      <w:szCs w:val="16"/>
    </w:rPr>
  </w:style>
  <w:style w:type="character" w:customStyle="1" w:styleId="DefaultParagraphFonttext002">
    <w:name w:val="Default_Paragraph_Font text002"/>
    <w:basedOn w:val="DefaultParagraphFont"/>
  </w:style>
  <w:style w:type="character" w:customStyle="1" w:styleId="DefaultParagraphFonttext003">
    <w:name w:val="Default_Paragraph_Font text003"/>
    <w:basedOn w:val="DefaultParagraphFont"/>
  </w:style>
  <w:style w:type="character" w:customStyle="1" w:styleId="DefaultParagraphFonttext004">
    <w:name w:val="Default_Paragraph_Font text004"/>
    <w:basedOn w:val="DefaultParagraphFont"/>
  </w:style>
  <w:style w:type="character" w:customStyle="1" w:styleId="DefaultParagraphFonttext005">
    <w:name w:val="Default_Paragraph_Font text005"/>
    <w:basedOn w:val="DefaultParagraphFont"/>
  </w:style>
  <w:style w:type="character" w:customStyle="1" w:styleId="DefaultParagraphFonttext007">
    <w:name w:val="Default_Paragraph_Font text007"/>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theme" Target="theme/theme1.xml" /><Relationship Id="rId11" Type="http://schemas.openxmlformats.org/officeDocument/2006/relationships/numbering" Target="numbering.xml" /><Relationship Id="rId12"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jpeg" /><Relationship Id="rId5" Type="http://schemas.microsoft.com/office/2011/relationships/commentsExtended" Target="commentsExtended.xml" /><Relationship Id="rId6" Type="http://schemas.microsoft.com/office/2016/09/relationships/commentsIds" Target="commentsIds.xml" /><Relationship Id="rId7" Type="http://schemas.microsoft.com/office/2018/08/relationships/commentsExtensible" Target="commentsExtensible.xml" /><Relationship Id="rId8" Type="http://schemas.openxmlformats.org/officeDocument/2006/relationships/comments" Target="comments.xml" /><Relationship Id="rId9"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