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RQ1.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Which aspects of their careers do these workers feel unable or still able to control?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RQ2.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How do these workers describe the direction, intensity and persistence of their career effort?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RQ3.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How do these workers link their career responses to their resources, others' evaluations and the idea of "lying flat"?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This study aims to explore how young early-career workers in Ho Chi Minh City relate experiences of social powerlessness to their career motivation.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Objectives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identify which aspects of their careers these workers feel unable or still able to control.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explore how these workers describe the direction, intensity and persistence of their career effort.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explore how these workers link their career responses to their resources, others' evaluations and the idea of "lying flat".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