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000000"/>
          <w:sz w:val="28"/>
          <w:szCs w:val="28"/>
        </w:rPr>
        <w:t xml:space="preserve">Appendix A</w:t>
      </w:r>
    </w:p>
    <w:p>
      <w:pPr>
        <w:spacing w:after="360"/>
        <w:jc w:val="center"/>
      </w:pPr>
      <w:r>
        <w:rPr>
          <w:rFonts w:ascii="Times New Roman" w:cs="Times New Roman" w:eastAsia="Times New Roman" w:hAnsi="Times New Roman"/>
          <w:b/>
          <w:bCs/>
          <w:sz w:val="28"/>
          <w:szCs w:val="28"/>
        </w:rPr>
        <w:t xml:space="preserve">Literature Search Strategy and Literature Matrix</w:t>
      </w:r>
    </w:p>
    <w:p>
      <w:pPr>
        <w:spacing w:after="160" w:line="360"/>
        <w:jc w:val="both"/>
      </w:pPr>
      <w:r>
        <w:rPr>
          <w:rFonts w:ascii="Times New Roman" w:cs="Times New Roman" w:eastAsia="Times New Roman" w:hAnsi="Times New Roman"/>
          <w:sz w:val="24"/>
          <w:szCs w:val="24"/>
        </w:rPr>
        <w:t xml:space="preserve">This appendix documents how the literature reviewed in Chapter 2 was searched, screened and selected, and summarises the twelve studies used in the review. The search was conducted in two stages. Stage 1 addressed the initial topic, "Tang Ping" (lying flat) among Chinese youth, and is documented in the group's keyword and search report </w:t>
      </w:r>
      <w:r>
        <w:rPr>
          <w:rFonts w:ascii="Times New Roman" w:cs="Times New Roman" w:eastAsia="Times New Roman" w:hAnsi="Times New Roman"/>
          <w:i w:val="false"/>
          <w:iCs w:val="false"/>
          <w:sz w:val="24"/>
          <w:szCs w:val="24"/>
          <w:highlight w:val="yellow"/>
          <w:highlightCs w:val="yellow"/>
        </w:rPr>
        <w:t xml:space="preserve">[CẦN NHÓM BỔ SUNG: thời gian tìm kiếm giai đoạn 1; tệp hồ sơ được tạo ngày 27/08/2026]</w:t>
      </w:r>
      <w:r>
        <w:rPr>
          <w:rFonts w:ascii="Times New Roman" w:cs="Times New Roman" w:eastAsia="Times New Roman" w:hAnsi="Times New Roman"/>
          <w:sz w:val="24"/>
          <w:szCs w:val="24"/>
        </w:rPr>
        <w:t xml:space="preserve">. Stage 2 followed the refinement of the topic to young early-career workers, social powerlessness and career motivation </w:t>
      </w:r>
      <w:r>
        <w:rPr>
          <w:rFonts w:ascii="Times New Roman" w:cs="Times New Roman" w:eastAsia="Times New Roman" w:hAnsi="Times New Roman"/>
          <w:i w:val="false"/>
          <w:iCs w:val="false"/>
          <w:sz w:val="24"/>
          <w:szCs w:val="24"/>
          <w:highlight w:val="yellow"/>
          <w:highlightCs w:val="yellow"/>
        </w:rPr>
        <w:t xml:space="preserve">[CẦN NHÓM BỔ SUNG: thời gian tìm kiếm giai đoạn 2]</w:t>
      </w:r>
      <w:r>
        <w:rPr>
          <w:rFonts w:ascii="Times New Roman" w:cs="Times New Roman" w:eastAsia="Times New Roman" w:hAnsi="Times New Roman"/>
          <w:sz w:val="24"/>
          <w:szCs w:val="24"/>
        </w:rPr>
        <w:t xml:space="preserve">. The process is reported for transparency; it was not designed or conducted as a systematic review.</w:t>
      </w:r>
    </w:p>
    <w:p>
      <w:pPr>
        <w:pStyle w:val="Heading2"/>
        <w:spacing w:after="120" w:before="240"/>
      </w:pPr>
      <w:r>
        <w:rPr>
          <w:rFonts w:ascii="Times New Roman" w:cs="Times New Roman" w:eastAsia="Times New Roman" w:hAnsi="Times New Roman"/>
          <w:b/>
          <w:bCs/>
          <w:color w:val="000000"/>
          <w:sz w:val="24"/>
          <w:szCs w:val="24"/>
        </w:rPr>
        <w:t xml:space="preserve">A.1 Search Sources</w:t>
      </w:r>
    </w:p>
    <w:p>
      <w:pPr>
        <w:keepNext/>
        <w:spacing w:after="0" w:before="200"/>
      </w:pPr>
      <w:r>
        <w:rPr>
          <w:rFonts w:ascii="Times New Roman" w:cs="Times New Roman" w:eastAsia="Times New Roman" w:hAnsi="Times New Roman"/>
          <w:b/>
          <w:bCs/>
          <w:sz w:val="24"/>
          <w:szCs w:val="24"/>
        </w:rPr>
        <w:t xml:space="preserve">Table A1</w:t>
      </w:r>
    </w:p>
    <w:p>
      <w:pPr>
        <w:keepNext/>
        <w:spacing w:after="100"/>
      </w:pPr>
      <w:r>
        <w:rPr>
          <w:rFonts w:ascii="Times New Roman" w:cs="Times New Roman" w:eastAsia="Times New Roman" w:hAnsi="Times New Roman"/>
          <w:i/>
          <w:iCs/>
          <w:sz w:val="24"/>
          <w:szCs w:val="24"/>
        </w:rPr>
        <w:t xml:space="preserve">Databases and Search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1300"/>
        <w:gridCol w:w="2426"/>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Source</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Role in the search</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w:t>
            </w:r>
          </w:p>
        </w:tc>
        <w:tc>
          <w:tcPr>
            <w:tcW w:type="dxa" w:w="24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Date searched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Google Scholar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Discovery of relevant studies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Scopus / Web of Science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Verification and citation tracking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Publisher pages / DOI links</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Access to legal full-text versions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w:t>
            </w:r>
          </w:p>
        </w:tc>
        <w:tc>
          <w:tcPr>
            <w:tcW w:type="dxa" w:w="24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Stage 1 report lists these sources as "recommended databases". </w:t>
      </w:r>
      <w:r>
        <w:rPr>
          <w:rFonts w:ascii="Times New Roman" w:cs="Times New Roman" w:eastAsia="Times New Roman" w:hAnsi="Times New Roman"/>
          <w:i w:val="false"/>
          <w:iCs w:val="false"/>
          <w:sz w:val="20"/>
          <w:szCs w:val="20"/>
          <w:highlight w:val="yellow"/>
          <w:highlightCs w:val="yellow"/>
        </w:rPr>
        <w:t xml:space="preserve">[CẦN NHÓM BỔ SUNG: xác nhận database nào đã thực sự được tìm, và database của giai đoạn 2.]</w:t>
      </w:r>
    </w:p>
    <w:p>
      <w:pPr>
        <w:pStyle w:val="Heading2"/>
        <w:spacing w:after="120" w:before="240"/>
      </w:pPr>
      <w:r>
        <w:rPr>
          <w:rFonts w:ascii="Times New Roman" w:cs="Times New Roman" w:eastAsia="Times New Roman" w:hAnsi="Times New Roman"/>
          <w:b/>
          <w:bCs/>
          <w:color w:val="000000"/>
          <w:sz w:val="24"/>
          <w:szCs w:val="24"/>
        </w:rPr>
        <w:t xml:space="preserve">A.2 Keyword Development</w:t>
      </w:r>
    </w:p>
    <w:p>
      <w:pPr>
        <w:spacing w:after="160" w:line="360"/>
        <w:jc w:val="both"/>
      </w:pPr>
      <w:r>
        <w:rPr>
          <w:rFonts w:ascii="Times New Roman" w:cs="Times New Roman" w:eastAsia="Times New Roman" w:hAnsi="Times New Roman"/>
          <w:sz w:val="24"/>
          <w:szCs w:val="24"/>
        </w:rPr>
        <w:t xml:space="preserve">In Stage 1, broad keywords were used first; terms found in titles, abstracts and author keywords were then added to a refined search, so that the keywords were not constructed around the final papers only. Table A2 reproduces the Stage 1 keyword blocks. Table A3 records the keyword blocks used after the topic was refined.</w:t>
      </w:r>
    </w:p>
    <w:p>
      <w:pPr>
        <w:keepNext/>
        <w:spacing w:after="0" w:before="200"/>
      </w:pPr>
      <w:r>
        <w:rPr>
          <w:rFonts w:ascii="Times New Roman" w:cs="Times New Roman" w:eastAsia="Times New Roman" w:hAnsi="Times New Roman"/>
          <w:b/>
          <w:bCs/>
          <w:sz w:val="24"/>
          <w:szCs w:val="24"/>
        </w:rPr>
        <w:t xml:space="preserve">Table A2</w:t>
      </w:r>
    </w:p>
    <w:p>
      <w:pPr>
        <w:keepNext/>
        <w:spacing w:after="100"/>
      </w:pPr>
      <w:r>
        <w:rPr>
          <w:rFonts w:ascii="Times New Roman" w:cs="Times New Roman" w:eastAsia="Times New Roman" w:hAnsi="Times New Roman"/>
          <w:i/>
          <w:iCs/>
          <w:sz w:val="24"/>
          <w:szCs w:val="24"/>
        </w:rPr>
        <w:t xml:space="preserve">Stage 1 Keyword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900"/>
        <w:gridCol w:w="1726"/>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Keyword block</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Broad keywords</w:t>
            </w:r>
          </w:p>
        </w:tc>
        <w:tc>
          <w:tcPr>
            <w:tcW w:type="dxa" w:w="2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Refined keywords</w:t>
            </w:r>
          </w:p>
        </w:tc>
        <w:tc>
          <w:tcPr>
            <w:tcW w:type="dxa" w:w="17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Core phenomenon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"Tang-Ping"; "lying flat"; tangping</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"lying-flat tendency"; "academic Tangping"</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Capture spelling and conceptual variants</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Behaviour / effort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effort; "hard work"; withdrawal; disengagement</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"effort-making"; "retreat from hard-work"; "social resistance"</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Connect lying flat with effort and withdrawal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Pressure / antecedents</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competition; pressure; overwork; involution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"return expectation"; "social pressure"; "emotional fatigue"; "resource imbalance"; "autonomy need satisfaction"</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Identify mechanisms that may lead to lying flat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Population / context</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youth; "young adults"; students; China; Chinese</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"university students"; "college students"; "first-tier university students"</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Limit results to the relevant population and context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Outcomes / evaluation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well-being; "mental health"; "life satisfaction"; evaluation</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"moral evaluation"; "social evaluation"; coping; acceptability</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Capture consequences and how lying flat is judged</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Reproduced from the group's Stage 1 keyword and search report.</w:t>
      </w:r>
    </w:p>
    <w:p>
      <w:pPr>
        <w:keepNext/>
        <w:spacing w:after="0" w:before="200"/>
      </w:pPr>
      <w:r>
        <w:rPr>
          <w:rFonts w:ascii="Times New Roman" w:cs="Times New Roman" w:eastAsia="Times New Roman" w:hAnsi="Times New Roman"/>
          <w:b/>
          <w:bCs/>
          <w:sz w:val="24"/>
          <w:szCs w:val="24"/>
        </w:rPr>
        <w:t xml:space="preserve">Table A3</w:t>
      </w:r>
    </w:p>
    <w:p>
      <w:pPr>
        <w:keepNext/>
        <w:spacing w:after="100"/>
      </w:pPr>
      <w:r>
        <w:rPr>
          <w:rFonts w:ascii="Times New Roman" w:cs="Times New Roman" w:eastAsia="Times New Roman" w:hAnsi="Times New Roman"/>
          <w:i/>
          <w:iCs/>
          <w:sz w:val="24"/>
          <w:szCs w:val="24"/>
        </w:rPr>
        <w:t xml:space="preserve">Stage 2 Keyword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900"/>
        <w:gridCol w:w="1726"/>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Keyword block</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Keywords</w:t>
            </w:r>
          </w:p>
        </w:tc>
        <w:tc>
          <w:tcPr>
            <w:tcW w:type="dxa" w:w="2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Variants / synonyms</w:t>
            </w:r>
          </w:p>
        </w:tc>
        <w:tc>
          <w:tcPr>
            <w:tcW w:type="dxa" w:w="17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Purpose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i w:val="false"/>
          <w:iCs w:val="false"/>
          <w:sz w:val="20"/>
          <w:szCs w:val="20"/>
          <w:highlight w:val="yellow"/>
          <w:highlightCs w:val="yellow"/>
        </w:rPr>
        <w:t xml:space="preserve">[CẦN NHÓM BỔ SUNG: ghi các khối từ khóa đã dùng thật sau khi đề tài thu hẹp. Bộ từ khóa phải giải thích được vì sao tìm ra các bài về quiet quitting (Gray et al., 2025; Wang et al., 2026), career control (Grabarski et al., 2025) và bối cảnh Đài Loan (Keyser-Verreault, 2025). Nếu các bài này đến từ snowballing, ghi ở Bảng A4. Không dựng lại từ khóa sau khi đã biết kết quả.]</w:t>
      </w:r>
    </w:p>
    <w:p>
      <w:pPr>
        <w:pStyle w:val="Heading2"/>
        <w:spacing w:after="120" w:before="240"/>
      </w:pPr>
      <w:r>
        <w:rPr>
          <w:rFonts w:ascii="Times New Roman" w:cs="Times New Roman" w:eastAsia="Times New Roman" w:hAnsi="Times New Roman"/>
          <w:b/>
          <w:bCs/>
          <w:color w:val="000000"/>
          <w:sz w:val="24"/>
          <w:szCs w:val="24"/>
        </w:rPr>
        <w:t xml:space="preserve">A.3 Search Strings</w:t>
      </w:r>
    </w:p>
    <w:p>
      <w:pPr>
        <w:keepNext/>
        <w:spacing w:after="0" w:before="200"/>
      </w:pPr>
      <w:r>
        <w:rPr>
          <w:rFonts w:ascii="Times New Roman" w:cs="Times New Roman" w:eastAsia="Times New Roman" w:hAnsi="Times New Roman"/>
          <w:b/>
          <w:bCs/>
          <w:sz w:val="24"/>
          <w:szCs w:val="24"/>
        </w:rPr>
        <w:t xml:space="preserve">Table A4</w:t>
      </w:r>
    </w:p>
    <w:p>
      <w:pPr>
        <w:keepNext/>
        <w:spacing w:after="100"/>
      </w:pPr>
      <w:r>
        <w:rPr>
          <w:rFonts w:ascii="Times New Roman" w:cs="Times New Roman" w:eastAsia="Times New Roman" w:hAnsi="Times New Roman"/>
          <w:i/>
          <w:iCs/>
          <w:sz w:val="24"/>
          <w:szCs w:val="24"/>
        </w:rPr>
        <w:t xml:space="preserve">Search Strings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26"/>
        <w:gridCol w:w="700"/>
        <w:gridCol w:w="1300"/>
        <w:gridCol w:w="1300"/>
        <w:gridCol w:w="1300"/>
      </w:tblGrid>
      <w:tr>
        <w:trPr>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ID</w:t>
            </w:r>
          </w:p>
        </w:tc>
        <w:tc>
          <w:tcPr>
            <w:tcW w:type="dxa" w:w="3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Search string</w:t>
            </w:r>
          </w:p>
        </w:tc>
        <w:tc>
          <w:tcPr>
            <w:tcW w:type="dxa" w:w="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Database</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Date</w:t>
            </w:r>
          </w:p>
        </w:tc>
        <w:tc>
          <w:tcPr>
            <w:tcW w:type="dxa" w:w="1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Results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S1</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OR "Tang-Ping" OR "lying flat" OR tangping) AND (youth OR "young adults" OR students) AND (China OR Chinese)</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S2</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OR "lying flat") AND (competition OR involution OR "social pressure" OR effort OR "hard work" OR withdrawal)</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S3</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OR "lying flat") AND ("effort-making" OR "social evaluation" OR "moral evaluation" OR "return expectation")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S4</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OR "lying flat") AND ("mental health" OR "life satisfaction" OR well-being OR "autonomy need")</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S5</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 Ping" OR "lying flat") AND ("university students" OR "college students") AND (qualitative OR interview OR "social resistance")</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S6…</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Citation tracking</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có dùng backward (danh mục tham khảo) / forward ("cited by") không; từ bài nào; tìm được bài nào]</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five Stage 1 strings require "Tang Ping" or "lying flat"; studies that do not use these terms could only have been retrieved in Stage 2 or through citation tracking. Boolean and truncation syntax differs across databases and should be reported as entered in each database.</w:t>
      </w:r>
    </w:p>
    <w:p>
      <w:pPr>
        <w:pStyle w:val="Heading2"/>
        <w:spacing w:after="120" w:before="240"/>
      </w:pPr>
      <w:r>
        <w:rPr>
          <w:rFonts w:ascii="Times New Roman" w:cs="Times New Roman" w:eastAsia="Times New Roman" w:hAnsi="Times New Roman"/>
          <w:b/>
          <w:bCs/>
          <w:color w:val="000000"/>
          <w:sz w:val="24"/>
          <w:szCs w:val="24"/>
        </w:rPr>
        <w:t xml:space="preserve">A.4 Screening and Selection Criteria</w:t>
      </w:r>
    </w:p>
    <w:p>
      <w:pPr>
        <w:keepNext/>
        <w:spacing w:after="0" w:before="200"/>
      </w:pPr>
      <w:r>
        <w:rPr>
          <w:rFonts w:ascii="Times New Roman" w:cs="Times New Roman" w:eastAsia="Times New Roman" w:hAnsi="Times New Roman"/>
          <w:b/>
          <w:bCs/>
          <w:sz w:val="24"/>
          <w:szCs w:val="24"/>
        </w:rPr>
        <w:t xml:space="preserve">Table A5</w:t>
      </w:r>
    </w:p>
    <w:p>
      <w:pPr>
        <w:keepNext/>
        <w:spacing w:after="100"/>
      </w:pPr>
      <w:r>
        <w:rPr>
          <w:rFonts w:ascii="Times New Roman" w:cs="Times New Roman" w:eastAsia="Times New Roman" w:hAnsi="Times New Roman"/>
          <w:i/>
          <w:iCs/>
          <w:sz w:val="24"/>
          <w:szCs w:val="24"/>
        </w:rPr>
        <w:t xml:space="preserve">Inclusion and Exclusion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600"/>
        <w:gridCol w:w="1626"/>
      </w:tblGrid>
      <w:tr>
        <w:trPr>
          <w:tblHeader/>
        </w:trPr>
        <w:tc>
          <w:tcPr>
            <w:tcW w:type="dxa" w:w="1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Criterion</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Inclusion</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Exclusion</w:t>
            </w:r>
          </w:p>
        </w:tc>
        <w:tc>
          <w:tcPr>
            <w:tcW w:type="dxa" w:w="1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Publication period</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2022–2026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Published before 2022</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xác nhận cho giai đoạn 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Document type and language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English-language journal articles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xác nhận cho giai đoạn 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Topic relevance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Direct relevance to lying flat among Chinese youth</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Topic relevance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Type of evidence</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Empirical evidence prioritised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Journal quality / impact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chỉ ghi nếu đã áp dụng thật, ví dụ quartile SCImago theo đúng năm và lĩnh vực]</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6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twelve included studies were published between 2022 and 2026 and appear in journals, which is consistent with the publication-period and document-type criteria. The Stage 1 relevance criterion (lying flat among Chinese youth) does not cover several included studies, so the Stage 2 relevance criterion should be reported.</w:t>
      </w:r>
    </w:p>
    <w:p>
      <w:pPr>
        <w:pStyle w:val="Heading2"/>
        <w:spacing w:after="120" w:before="240"/>
      </w:pPr>
      <w:r>
        <w:rPr>
          <w:rFonts w:ascii="Times New Roman" w:cs="Times New Roman" w:eastAsia="Times New Roman" w:hAnsi="Times New Roman"/>
          <w:b/>
          <w:bCs/>
          <w:color w:val="000000"/>
          <w:sz w:val="24"/>
          <w:szCs w:val="24"/>
        </w:rPr>
        <w:t xml:space="preserve">A.5 Screening Flow</w:t>
      </w:r>
    </w:p>
    <w:p>
      <w:pPr>
        <w:keepNext/>
        <w:spacing w:after="0" w:before="200"/>
      </w:pPr>
      <w:r>
        <w:rPr>
          <w:rFonts w:ascii="Times New Roman" w:cs="Times New Roman" w:eastAsia="Times New Roman" w:hAnsi="Times New Roman"/>
          <w:b/>
          <w:bCs/>
          <w:sz w:val="24"/>
          <w:szCs w:val="24"/>
        </w:rPr>
        <w:t xml:space="preserve">Table A6</w:t>
      </w:r>
    </w:p>
    <w:p>
      <w:pPr>
        <w:keepNext/>
        <w:spacing w:after="100"/>
      </w:pPr>
      <w:r>
        <w:rPr>
          <w:rFonts w:ascii="Times New Roman" w:cs="Times New Roman" w:eastAsia="Times New Roman" w:hAnsi="Times New Roman"/>
          <w:i/>
          <w:iCs/>
          <w:sz w:val="24"/>
          <w:szCs w:val="24"/>
        </w:rPr>
        <w:t xml:space="preserve">Number of Records at Each Screening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826"/>
      </w:tblGrid>
      <w:tr>
        <w:trPr>
          <w:tblHeader/>
        </w:trPr>
        <w:tc>
          <w:tcPr>
            <w:tcW w:type="dxa" w:w="3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Step</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 1</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 2</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Total</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Records identified (collected)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Records after duplicates removed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Records screened by title and abstract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Full texts assessed (full-text read)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6 (listed and evaluated in the Stage 1 report)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xác nhận đã đọc toàn văn]</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Full texts excluded, with reasons</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Studies included in the review (used)</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 (Hsu, 2022; Qi &amp; Huang, 2026)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10</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12</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Stage 2 figure of 10 is the number of included studies not identified in the Stage 1 report. </w:t>
      </w:r>
      <w:r>
        <w:rPr>
          <w:rFonts w:ascii="Times New Roman" w:cs="Times New Roman" w:eastAsia="Times New Roman" w:hAnsi="Times New Roman"/>
          <w:i w:val="false"/>
          <w:iCs w:val="false"/>
          <w:sz w:val="20"/>
          <w:szCs w:val="20"/>
          <w:highlight w:val="yellow"/>
          <w:highlightCs w:val="yellow"/>
        </w:rPr>
        <w:t xml:space="preserve">[CẦN NHÓM BỔ SUNG: các con số còn lại phải lấy từ hồ sơ thật; nếu không còn hồ sơ thì ghi rõ "not recorded". Nếu con số 26 bài nhóm từng nêu là số bài đã thu thập, đặt ở dòng "Records identified".]</w:t>
      </w:r>
    </w:p>
    <w:p>
      <w:pPr>
        <w:pStyle w:val="Heading2"/>
        <w:spacing w:after="120" w:before="240"/>
      </w:pPr>
      <w:r>
        <w:rPr>
          <w:rFonts w:ascii="Times New Roman" w:cs="Times New Roman" w:eastAsia="Times New Roman" w:hAnsi="Times New Roman"/>
          <w:b/>
          <w:bCs/>
          <w:color w:val="000000"/>
          <w:sz w:val="24"/>
          <w:szCs w:val="24"/>
        </w:rPr>
        <w:t xml:space="preserve">A.6 Studies Assessed but Not Included</w:t>
      </w:r>
    </w:p>
    <w:p>
      <w:pPr>
        <w:keepNext/>
        <w:spacing w:after="0" w:before="200"/>
      </w:pPr>
      <w:r>
        <w:rPr>
          <w:rFonts w:ascii="Times New Roman" w:cs="Times New Roman" w:eastAsia="Times New Roman" w:hAnsi="Times New Roman"/>
          <w:b/>
          <w:bCs/>
          <w:sz w:val="24"/>
          <w:szCs w:val="24"/>
        </w:rPr>
        <w:t xml:space="preserve">Table A7</w:t>
      </w:r>
    </w:p>
    <w:p>
      <w:pPr>
        <w:keepNext/>
        <w:spacing w:after="100"/>
      </w:pPr>
      <w:r>
        <w:rPr>
          <w:rFonts w:ascii="Times New Roman" w:cs="Times New Roman" w:eastAsia="Times New Roman" w:hAnsi="Times New Roman"/>
          <w:i/>
          <w:iCs/>
          <w:sz w:val="24"/>
          <w:szCs w:val="24"/>
        </w:rPr>
        <w:t xml:space="preserve">Studies Assessed in Stage 1 but Not Included in the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800"/>
        <w:gridCol w:w="2026"/>
      </w:tblGrid>
      <w:tr>
        <w:trPr>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Study</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Design / data</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Stage 1 decision</w:t>
            </w:r>
          </w:p>
        </w:tc>
        <w:tc>
          <w:tcPr>
            <w:tcW w:type="dxa" w:w="2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Reason for not including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Lu, Hou, Huang, Wang, &amp; Kong (2023). Development and validation of the "lying flat" tendency scale for the youth. Behavioral Sciences.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Scale development; 6-item scale; multiple validation samples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Background / method</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Lu, Hou, Wang, &amp; Kong (2024). Antidote or poison: The relationship between "lying flat" tendency and mental health. Applied Psychology: Health and Well-Being.</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Cross-sectional, longitudinal and intervention studies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Strong alternative</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Lu, Wang, &amp; Kong (2025). Bidirectional relationship between autonomy need satisfaction and "lying flat" among Chinese youth. Australian Journal of Psychology.</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Large-sample survey; longitudinal cross-lagged design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Strong alternative</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Lu, Wang, &amp; Kong (2025). Does "lying flat" lead to greater life satisfaction? Evidence from empirical research. Behavioral Sciences.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Cross-sectional and longitudinal cross-lagged design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Relevant alternative</w:t>
            </w:r>
          </w:p>
        </w:tc>
        <w:tc>
          <w:tcPr>
            <w:tcW w:type="dxa" w:w="2026"/>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Designs and Stage 1 decisions are reproduced from the Stage 1 report. </w:t>
      </w:r>
      <w:r>
        <w:rPr>
          <w:rFonts w:ascii="Times New Roman" w:cs="Times New Roman" w:eastAsia="Times New Roman" w:hAnsi="Times New Roman"/>
          <w:i w:val="false"/>
          <w:iCs w:val="false"/>
          <w:sz w:val="20"/>
          <w:szCs w:val="20"/>
          <w:highlight w:val="yellow"/>
          <w:highlightCs w:val="yellow"/>
        </w:rPr>
        <w:t xml:space="preserve">[CẦN NHÓM BỔ SUNG: lý do thật khiến từng bài không được dùng sau khi đề tài thay đổi; thêm các bài bị loại ở giai đoạn 2 nếu có hồ sơ.]</w:t>
      </w:r>
    </w:p>
    <w:p>
      <w:pPr>
        <w:sectPr>
          <w:pgSz w:w="11906" w:h="16838" w:orient="portrait"/>
          <w:pgMar w:top="1440" w:right="1440" w:bottom="1440" w:left="1440" w:header="708" w:footer="708" w:gutter="0"/>
          <w:pgNumType/>
          <w:docGrid w:linePitch="360"/>
        </w:sectPr>
      </w:pPr>
    </w:p>
    <w:p>
      <w:pPr>
        <w:pStyle w:val="Heading2"/>
        <w:spacing w:after="120" w:before="240"/>
      </w:pPr>
      <w:r>
        <w:rPr>
          <w:rFonts w:ascii="Times New Roman" w:cs="Times New Roman" w:eastAsia="Times New Roman" w:hAnsi="Times New Roman"/>
          <w:b/>
          <w:bCs/>
          <w:color w:val="000000"/>
          <w:sz w:val="24"/>
          <w:szCs w:val="24"/>
        </w:rPr>
        <w:t xml:space="preserve">A.7 Literature Matrix</w:t>
      </w:r>
    </w:p>
    <w:p>
      <w:pPr>
        <w:spacing w:after="160" w:line="360"/>
        <w:jc w:val="both"/>
      </w:pPr>
      <w:r>
        <w:rPr>
          <w:rFonts w:ascii="Times New Roman" w:cs="Times New Roman" w:eastAsia="Times New Roman" w:hAnsi="Times New Roman"/>
          <w:sz w:val="24"/>
          <w:szCs w:val="24"/>
        </w:rPr>
        <w:t xml:space="preserve">Tables A8 and A9 summarise the twelve studies used in the review. Table A8 describes the characteristics of each study; Table A9 records the concepts, contribution and use of each study in the present research.</w:t>
      </w:r>
    </w:p>
    <w:p>
      <w:pPr>
        <w:keepNext/>
        <w:spacing w:after="0" w:before="200"/>
      </w:pPr>
      <w:r>
        <w:rPr>
          <w:rFonts w:ascii="Times New Roman" w:cs="Times New Roman" w:eastAsia="Times New Roman" w:hAnsi="Times New Roman"/>
          <w:b/>
          <w:bCs/>
          <w:sz w:val="24"/>
          <w:szCs w:val="24"/>
        </w:rPr>
        <w:t xml:space="preserve">Table A8</w:t>
      </w:r>
    </w:p>
    <w:p>
      <w:pPr>
        <w:keepNext/>
        <w:spacing w:after="100"/>
      </w:pPr>
      <w:r>
        <w:rPr>
          <w:rFonts w:ascii="Times New Roman" w:cs="Times New Roman" w:eastAsia="Times New Roman" w:hAnsi="Times New Roman"/>
          <w:i/>
          <w:iCs/>
          <w:sz w:val="24"/>
          <w:szCs w:val="24"/>
        </w:rPr>
        <w:t xml:space="preserve">Literature Matrix, Part 1: Study Characteristics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100"/>
        <w:gridCol w:w="2700"/>
        <w:gridCol w:w="1000"/>
        <w:gridCol w:w="2600"/>
        <w:gridCol w:w="1800"/>
        <w:gridCol w:w="2258"/>
      </w:tblGrid>
      <w:tr>
        <w:trPr>
          <w:tblHeader/>
        </w:trPr>
        <w:tc>
          <w:tcPr>
            <w:tcW w:type="dxa" w:w="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No.</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Study</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Role</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Context and participants</w:t>
            </w:r>
          </w:p>
        </w:tc>
        <w:tc>
          <w:tcPr>
            <w:tcW w:type="dxa" w:w="1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n</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Design and data</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Analysis</w:t>
            </w:r>
          </w:p>
        </w:tc>
        <w:tc>
          <w:tcPr>
            <w:tcW w:type="dxa" w:w="225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Reading status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Qi &amp; Huang (2026)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Anchor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First-tier university students; China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62</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Qualitative; in-depth interviews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Hsu (2022)</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Anchor</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Chinese adults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210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2×2 imagined-scenario (vignette) experiment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Sun, L.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Main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Urban youth; China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30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Narrative inquiry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Cheng et al. (2024)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Main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Music teachers; China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16</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Deng et al.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Main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Emerging adults (recent graduates); China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20</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Wang et al. (2026)</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Hospitality employees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quốc gia]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Phenomenological study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7</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Tong &amp; Liu (2024)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Chinese youth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Sun, X. &amp; Liao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Rural teachers; China</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37</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Ethnographic case study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9</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Gray et al.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Mixed methods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Grabarski et al.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Qualitative exploratory study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Fung et al. (2024)</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Interns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bối cảnh]</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Keyser-Verreault (2025)</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Supporting</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Young people; Taiwan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2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screened / full-text read]</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Role: anchor = read in depth to guide the interview design; main = main synthesis source; supporting = supporting source. Context, sample size and design are taken from the group's notes in the paper list and from the Stage 1 report; for Wang et al. (2026) and Grabarski et al. (2025) the design is taken from the article title. </w:t>
      </w:r>
      <w:r>
        <w:rPr>
          <w:rFonts w:ascii="Times New Roman" w:cs="Times New Roman" w:eastAsia="Times New Roman" w:hAnsi="Times New Roman"/>
          <w:i w:val="false"/>
          <w:iCs w:val="false"/>
          <w:sz w:val="20"/>
          <w:szCs w:val="20"/>
          <w:highlight w:val="yellow"/>
          <w:highlightCs w:val="yellow"/>
        </w:rPr>
        <w:t xml:space="preserve">[CẦN NHÓM BỔ SUNG: điền ô trống sau khi đọc toàn văn; ghi trạng thái đọc thật của từng bài.]</w:t>
      </w:r>
    </w:p>
    <w:p>
      <w:pPr>
        <w:keepNext/>
        <w:spacing w:after="0" w:before="200"/>
      </w:pPr>
      <w:r>
        <w:rPr>
          <w:rFonts w:ascii="Times New Roman" w:cs="Times New Roman" w:eastAsia="Times New Roman" w:hAnsi="Times New Roman"/>
          <w:b/>
          <w:bCs/>
          <w:sz w:val="24"/>
          <w:szCs w:val="24"/>
        </w:rPr>
        <w:t xml:space="preserve">Table A9</w:t>
      </w:r>
    </w:p>
    <w:p>
      <w:pPr>
        <w:keepNext/>
        <w:spacing w:after="100"/>
      </w:pPr>
      <w:r>
        <w:rPr>
          <w:rFonts w:ascii="Times New Roman" w:cs="Times New Roman" w:eastAsia="Times New Roman" w:hAnsi="Times New Roman"/>
          <w:i/>
          <w:iCs/>
          <w:sz w:val="24"/>
          <w:szCs w:val="24"/>
        </w:rPr>
        <w:t xml:space="preserve">Literature Matrix, Part 2: Concepts, Contribution and Use in the Present Study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000"/>
        <w:gridCol w:w="2600"/>
        <w:gridCol w:w="3000"/>
        <w:gridCol w:w="1800"/>
        <w:gridCol w:w="2158"/>
      </w:tblGrid>
      <w:tr>
        <w:trPr>
          <w:tblHeader/>
        </w:trPr>
        <w:tc>
          <w:tcPr>
            <w:tcW w:type="dxa" w:w="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No.</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Study</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Aim / research question</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Key concepts and theory</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Key contribution</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Limitations</w:t>
            </w:r>
          </w:p>
        </w:tc>
        <w:tc>
          <w:tcPr>
            <w:tcW w:type="dxa" w:w="215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Used for</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Qi &amp; Huang (2026)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Lying flat; retreat from hard work; integrated framework drawing on Merton, conservation of resources (COR), Hirschman and Bourdieu</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Mechanism of pressure → strain → retreat; typology of "resigned retreat"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1, 2, 3; IQ1–IQ3</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Hsu (2022)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Tang-Ping and effort-making; return expectation (moderator)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When return expectation is low, lying flat is evaluated as more acceptable, while effort-making remains positively evaluated</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4; IQ4</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Sun, L.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Lying flat as resistance and resignation; work, success and autonomy</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Distinguishes active from passive lying flat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1, 3; IQ2, IQ3</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4</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Cheng et al.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Involution; withdrawal</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"Swan strategy": outward withdrawal combined with continued inward self-investment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2, 3; IQ3</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5</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Deng et al.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Career construction; work involution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Identifies an intermediate position between involution and withdrawal</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2, 3; IQ3</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Wang et al. (2026)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Quiet quitting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Resources shape whether employees lower expectations or leave; sample pre-selected among employees who had already withdrawn</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3, 4; IQ4</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7</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Tong &amp; Liu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Resistance to overwork; economic, cultural and social capital</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Forms of lying flat stratified by economic, cultural and social capital</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4; context; IQ4</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8</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Sun, X. &amp; Liao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Teacher disappointment; involution</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Divergent responses within the same environment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Paragraph 1; gap 2</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9</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Gray et al.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Psychological contract; quiet quitting</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Breach of organisational promises and quiet quitting</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Paragraph 1; Q5 of the interview guide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10</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Grabarski et al.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Perceived career control; career empowerment</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Dimensions of career control, used as vocabulary for the concept of powerlessness</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Definitions; gap 1; IQ1, IQ2</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11</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Fung et al. (2024)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Involution; technocapitalism; intern labour</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Some individuals continue striving despite precarity</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Gap 3; rationale for including participants who keep striving</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12</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Keyser-Verreault (2025)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Lying flat as an alternative life choice; post-developmentalism</w:t>
            </w:r>
          </w:p>
        </w:tc>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Self-identification with lying flat as a life choice; Taiwanese context</w:t>
            </w:r>
          </w:p>
        </w:tc>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215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Paragraph 2; context; question on labels in the interview guide</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Key contributions and the "used for" column are translated from the group's paper list. Labels follow that list (gap 1–4; IQ1–IQ4). </w:t>
      </w:r>
      <w:r>
        <w:rPr>
          <w:rFonts w:ascii="Times New Roman" w:cs="Times New Roman" w:eastAsia="Times New Roman" w:hAnsi="Times New Roman"/>
          <w:i w:val="false"/>
          <w:iCs w:val="false"/>
          <w:sz w:val="20"/>
          <w:szCs w:val="20"/>
          <w:highlight w:val="yellow"/>
          <w:highlightCs w:val="yellow"/>
        </w:rPr>
        <w:t xml:space="preserve">[CẦN NHÓM BỔ SUNG: cập nhật nhãn cột "Used for" sau khi nhóm chốt 3 hay 4 câu hỏi và dùng nhãn IQ hay RQ.]</w:t>
      </w:r>
    </w:p>
    <w:p>
      <w:pPr>
        <w:sectPr>
          <w:pgSz w:w="16838" w:h="11906" w:orient="landscape"/>
          <w:pgMar w:top="1440" w:right="1440" w:bottom="1440" w:left="1440" w:header="708" w:footer="708" w:gutter="0"/>
          <w:pgNumType/>
          <w:docGrid w:linePitch="360"/>
        </w:sectPr>
      </w:pPr>
    </w:p>
    <w:p>
      <w:pPr>
        <w:pStyle w:val="Heading2"/>
        <w:spacing w:after="120" w:before="240"/>
      </w:pPr>
      <w:r>
        <w:rPr>
          <w:rFonts w:ascii="Times New Roman" w:cs="Times New Roman" w:eastAsia="Times New Roman" w:hAnsi="Times New Roman"/>
          <w:b/>
          <w:bCs/>
          <w:color w:val="000000"/>
          <w:sz w:val="24"/>
          <w:szCs w:val="24"/>
        </w:rPr>
        <w:t xml:space="preserve">A.8 Mapping of the Anchor Papers</w:t>
      </w:r>
    </w:p>
    <w:p>
      <w:pPr>
        <w:spacing w:after="160" w:line="360"/>
        <w:jc w:val="both"/>
      </w:pPr>
      <w:r>
        <w:rPr>
          <w:rFonts w:ascii="Times New Roman" w:cs="Times New Roman" w:eastAsia="Times New Roman" w:hAnsi="Times New Roman"/>
          <w:sz w:val="24"/>
          <w:szCs w:val="24"/>
        </w:rPr>
        <w:t xml:space="preserve">The two anchor papers were read in depth to inform the interview design. Table A10 maps each paper from its concepts to the adjustments made for the present study.</w:t>
      </w:r>
    </w:p>
    <w:p>
      <w:pPr>
        <w:keepNext/>
        <w:spacing w:after="0" w:before="200"/>
      </w:pPr>
      <w:r>
        <w:rPr>
          <w:rFonts w:ascii="Times New Roman" w:cs="Times New Roman" w:eastAsia="Times New Roman" w:hAnsi="Times New Roman"/>
          <w:b/>
          <w:bCs/>
          <w:sz w:val="24"/>
          <w:szCs w:val="24"/>
        </w:rPr>
        <w:t xml:space="preserve">Table A10</w:t>
      </w:r>
    </w:p>
    <w:p>
      <w:pPr>
        <w:keepNext/>
        <w:spacing w:after="100"/>
      </w:pPr>
      <w:r>
        <w:rPr>
          <w:rFonts w:ascii="Times New Roman" w:cs="Times New Roman" w:eastAsia="Times New Roman" w:hAnsi="Times New Roman"/>
          <w:i/>
          <w:iCs/>
          <w:sz w:val="24"/>
          <w:szCs w:val="24"/>
        </w:rPr>
        <w:t xml:space="preserve">Mapping of the Two Anchor Papers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Element</w:t>
            </w:r>
          </w:p>
        </w:tc>
        <w:tc>
          <w:tcPr>
            <w:tcW w:type="dxa" w:w="3513"/>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Qi &amp; Huang (2026)</w:t>
            </w:r>
          </w:p>
        </w:tc>
        <w:tc>
          <w:tcPr>
            <w:tcW w:type="dxa" w:w="3513"/>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40" w:line="240"/>
              <w:jc w:val="left"/>
            </w:pPr>
            <w:r>
              <w:rPr>
                <w:rFonts w:ascii="Times New Roman" w:cs="Times New Roman" w:eastAsia="Times New Roman" w:hAnsi="Times New Roman"/>
                <w:b/>
                <w:bCs/>
                <w:sz w:val="20"/>
                <w:szCs w:val="20"/>
              </w:rPr>
              <w:t xml:space="preserve">Hsu (2022)</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Key concepts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Lying flat; retreat from hard work; pressure; strain; framework drawing on Merton, COR, Hirschman and Bourdieu</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Tang-Ping versus effort-making; social evaluation; return expectation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Research question</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Participants and sampling logic</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62 first-tier university students in China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cách chọn mẫu]</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210 adults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cách tuyển mẫu]</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Data collection / interview topics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In-depth interviews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các chủ đề phỏng vấn chính]</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2×2 imagined-scenario experiment manipulating </w:t>
            </w:r>
            <w:r>
              <w:rPr>
                <w:rFonts w:ascii="Times New Roman" w:cs="Times New Roman" w:eastAsia="Times New Roman" w:hAnsi="Times New Roman"/>
                <w:b w:val="false"/>
                <w:bCs w:val="false"/>
                <w:i w:val="false"/>
                <w:iCs w:val="false"/>
                <w:sz w:val="20"/>
                <w:szCs w:val="20"/>
                <w:highlight w:val="yellow"/>
                <w:highlightCs w:val="yellow"/>
              </w:rPr>
              <w:t xml:space="preserve">[CẦN NHÓM BỔ SUNG: hai yếu tố]</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Analysis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Key findings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Retreat from hard work under social pressure, emotional fatigue, resource imbalance and perceived futility; typology of "resigned retreat"</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Low return expectation makes lying flat more acceptable, while effort-making remains positively evaluated</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Limitations</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sz w:val="20"/>
                <w:szCs w:val="20"/>
              </w:rPr>
              <w:t xml:space="preserve">Adjustments for the present study</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w:t>
            </w:r>
          </w:p>
        </w:tc>
        <w:tc>
          <w:tcPr>
            <w:tcW w:type="dxa" w:w="3513"/>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40" w:line="240"/>
              <w:jc w:val="left"/>
            </w:pPr>
            <w:r>
              <w:rPr>
                <w:rFonts w:ascii="Times New Roman" w:cs="Times New Roman" w:eastAsia="Times New Roman" w:hAnsi="Times New Roman"/>
                <w:b w:val="false"/>
                <w:bCs w:val="false"/>
                <w:i w:val="false"/>
                <w:iCs w:val="false"/>
                <w:sz w:val="20"/>
                <w:szCs w:val="20"/>
                <w:highlight w:val="yellow"/>
                <w:highlightCs w:val="yellow"/>
              </w:rPr>
              <w:t xml:space="preserve">[CẦN NHÓM BỔ SUNG: Hsu là thí nghiệm nên ít yếu tố chuyển sang thiết kế phỏng vấn; cần giải thích bài này đóng góp gì cho interview guide.]</w:t>
            </w:r>
          </w:p>
        </w:tc>
      </w:tr>
    </w:tbl>
    <w:p>
      <w:pPr>
        <w:spacing w:after="200" w:before="6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Key findings are taken from the Stage 1 report and the group's paper list. The theories listed for Qi and Huang (2026) are cited as used in that article; original theoretical works should only be cited if they have been read.</w:t>
      </w:r>
    </w:p>
    <w:p>
      <w:pPr>
        <w:pStyle w:val="Heading2"/>
        <w:spacing w:after="120" w:before="240"/>
      </w:pPr>
      <w:r>
        <w:rPr>
          <w:rFonts w:ascii="Times New Roman" w:cs="Times New Roman" w:eastAsia="Times New Roman" w:hAnsi="Times New Roman"/>
          <w:b/>
          <w:bCs/>
          <w:color w:val="000000"/>
          <w:sz w:val="24"/>
          <w:szCs w:val="24"/>
        </w:rPr>
        <w:t xml:space="preserve">A.9 Limitations of the Search</w:t>
      </w:r>
    </w:p>
    <w:p>
      <w:pPr>
        <w:spacing w:after="160" w:line="360"/>
        <w:jc w:val="both"/>
      </w:pPr>
      <w:r>
        <w:rPr>
          <w:rFonts w:ascii="Times New Roman" w:cs="Times New Roman" w:eastAsia="Times New Roman" w:hAnsi="Times New Roman"/>
          <w:sz w:val="24"/>
          <w:szCs w:val="24"/>
        </w:rPr>
        <w:t xml:space="preserve">Only English-language journal articles were included in Stage 1 </w:t>
      </w:r>
      <w:r>
        <w:rPr>
          <w:rFonts w:ascii="Times New Roman" w:cs="Times New Roman" w:eastAsia="Times New Roman" w:hAnsi="Times New Roman"/>
          <w:i w:val="false"/>
          <w:iCs w:val="false"/>
          <w:sz w:val="24"/>
          <w:szCs w:val="24"/>
          <w:highlight w:val="yellow"/>
          <w:highlightCs w:val="yellow"/>
        </w:rPr>
        <w:t xml:space="preserve">[CẦN NHÓM BỔ SUNG: xác nhận cho giai đoạn 2]</w:t>
      </w:r>
      <w:r>
        <w:rPr>
          <w:rFonts w:ascii="Times New Roman" w:cs="Times New Roman" w:eastAsia="Times New Roman" w:hAnsi="Times New Roman"/>
          <w:sz w:val="24"/>
          <w:szCs w:val="24"/>
        </w:rPr>
        <w:t xml:space="preserve">, so relevant studies published in Vietnamese, Chinese or other languages, as well as grey literature, may not have been captured. Several of the included studies were conducted in mainland China or Taiwan </w:t>
      </w:r>
      <w:r>
        <w:rPr>
          <w:rFonts w:ascii="Times New Roman" w:cs="Times New Roman" w:eastAsia="Times New Roman" w:hAnsi="Times New Roman"/>
          <w:i w:val="false"/>
          <w:iCs w:val="false"/>
          <w:sz w:val="24"/>
          <w:szCs w:val="24"/>
          <w:highlight w:val="yellow"/>
          <w:highlightCs w:val="yellow"/>
        </w:rPr>
        <w:t xml:space="preserve">[CẦN NHÓM BỔ SUNG: kiểm tra bối cảnh của Wang et al., Gray et al. và Grabarski et al.]</w:t>
      </w:r>
      <w:r>
        <w:rPr>
          <w:rFonts w:ascii="Times New Roman" w:cs="Times New Roman" w:eastAsia="Times New Roman" w:hAnsi="Times New Roman"/>
          <w:sz w:val="24"/>
          <w:szCs w:val="24"/>
        </w:rPr>
        <w:t xml:space="preserve">. Statements about gaps in Chapter 2 are therefore limited to the sources, search terms and period reported in this appendix.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2026-10-06T17:58:51.680Z</dcterms:created>
  <dcterms:modified xsi:type="dcterms:W3CDTF">2026-10-06T17:58:51.680Z</dcterms:modified>
</cp:coreProperties>
</file>

<file path=docProps/custom.xml><?xml version="1.0" encoding="utf-8"?>
<Properties xmlns="http://schemas.openxmlformats.org/officeDocument/2006/custom-properties" xmlns:vt="http://schemas.openxmlformats.org/officeDocument/2006/docPropsVTypes"/>
</file>