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28"/>
          <w:szCs w:val="28"/>
        </w:rPr>
        <w:t xml:space="preserve">Essay Rubric-Band Classification Model</w:t>
      </w:r>
    </w:p>
    <w:p>
      <w:pPr>
        <w:pStyle w:val="Heading1"/>
        <w:spacing w:after="200" w:before="360"/>
      </w:pPr>
      <w:r>
        <w:rPr>
          <w:rFonts w:ascii="Times New Roman" w:cs="Times New Roman" w:eastAsia="Times New Roman" w:hAnsi="Times New Roman"/>
          <w:b/>
          <w:bCs/>
          <w:sz w:val="28"/>
          <w:szCs w:val="28"/>
        </w:rPr>
        <w:t xml:space="preserve">Overview and Purpose</w:t>
      </w:r>
    </w:p>
    <w:p>
      <w:pPr>
        <w:spacing w:after="200" w:line="480" w:lineRule="auto"/>
        <w:jc w:val="both"/>
      </w:pPr>
      <w:r>
        <w:rPr>
          <w:rFonts w:ascii="Times New Roman" w:cs="Times New Roman" w:eastAsia="Times New Roman" w:hAnsi="Times New Roman"/>
          <w:sz w:val="24"/>
          <w:szCs w:val="24"/>
        </w:rPr>
        <w:t xml:space="preserve">In addition to the AI-based rubric grading engine described in the preceding sections, the system incorporates an explicit, computable classification model that predicts an essay's overall performance level — Poor, Fair, Good, or Excellent — from the outputs already produced by the AI grader. This model was developed to provide a transparent, statistically grounded complement to the AI grader's rubric-based scoring: whereas the AI grader produces a numeric score through a single language-model call, the classification model is a small, fully interpretable formula whose coefficients and decision thresholds can be reported, inspected, and evaluated independently of the underlying language model.</w:t>
      </w:r>
    </w:p>
    <w:p>
      <w:pPr>
        <w:spacing w:after="200" w:line="480" w:lineRule="auto"/>
        <w:jc w:val="both"/>
      </w:pPr>
      <w:r>
        <w:rPr>
          <w:rFonts w:ascii="Times New Roman" w:cs="Times New Roman" w:eastAsia="Times New Roman" w:hAnsi="Times New Roman"/>
          <w:sz w:val="24"/>
          <w:szCs w:val="24"/>
        </w:rPr>
        <w:t xml:space="preserve">The classification model does not replace or alter the AI grader's scoring procedure. It operates downstream, consuming three quantities already produced during rubric-based grading — the essay's overall score percentage, the AI grader's self-reported confidence, and the spread (disagreement) across the essay's per-criterion scores — and maps them to a performance-band prediction.</w:t>
      </w:r>
    </w:p>
    <w:p>
      <w:pPr>
        <w:pStyle w:val="Heading1"/>
        <w:spacing w:after="200" w:before="360"/>
      </w:pPr>
      <w:r>
        <w:rPr>
          <w:rFonts w:ascii="Times New Roman" w:cs="Times New Roman" w:eastAsia="Times New Roman" w:hAnsi="Times New Roman"/>
          <w:b/>
          <w:bCs/>
          <w:sz w:val="28"/>
          <w:szCs w:val="28"/>
        </w:rPr>
        <w:t xml:space="preserve">Classification Model Design</w:t>
      </w:r>
    </w:p>
    <w:p>
      <w:pPr>
        <w:spacing w:after="200" w:line="480" w:lineRule="auto"/>
        <w:jc w:val="both"/>
      </w:pPr>
      <w:r>
        <w:rPr>
          <w:rFonts w:ascii="Times New Roman" w:cs="Times New Roman" w:eastAsia="Times New Roman" w:hAnsi="Times New Roman"/>
          <w:sz w:val="24"/>
          <w:szCs w:val="24"/>
        </w:rPr>
        <w:t xml:space="preserve">An ordinal logistic regression was selected as the classification model. This choice reflects the inherent structure of the target variable: the four performance bands (Poor, Fair, Good, Excellent) have a natural order, and an ordinal model respects that ordering during estimation and prediction, unlike a generic multi-class classifier that would treat the four categories as unrelated. The model was implemented using the OrderedModel class from the Python statsmodels library, fit by maximum likelihood estimation with a logit link function.</w:t>
      </w:r>
    </w:p>
    <w:p>
      <w:pPr>
        <w:spacing w:after="200" w:line="480" w:lineRule="auto"/>
        <w:jc w:val="both"/>
      </w:pPr>
      <w:r>
        <w:rPr>
          <w:rFonts w:ascii="Times New Roman" w:cs="Times New Roman" w:eastAsia="Times New Roman" w:hAnsi="Times New Roman"/>
          <w:sz w:val="24"/>
          <w:szCs w:val="24"/>
        </w:rPr>
        <w:t xml:space="preserve">The model takes the following functional form. A continuous latent score z is computed as a weighted linear combination of the three predictors:</w:t>
      </w:r>
    </w:p>
    <w:p>
      <w:pPr>
        <w:spacing w:after="120" w:before="120"/>
        <w:jc w:val="center"/>
      </w:pPr>
      <w:r>
        <w:rPr>
          <w:rFonts w:ascii="Times New Roman" w:cs="Times New Roman" w:eastAsia="Times New Roman" w:hAnsi="Times New Roman"/>
          <w:i/>
          <w:iCs/>
          <w:sz w:val="24"/>
          <w:szCs w:val="24"/>
        </w:rPr>
        <w:t xml:space="preserve">z = β1·score_pct + β2·confidence + β3·spread</w:t>
      </w:r>
    </w:p>
    <w:p>
      <w:pPr>
        <w:spacing w:after="200" w:line="480" w:lineRule="auto"/>
        <w:jc w:val="both"/>
      </w:pPr>
      <w:r>
        <w:rPr>
          <w:rFonts w:ascii="Times New Roman" w:cs="Times New Roman" w:eastAsia="Times New Roman" w:hAnsi="Times New Roman"/>
          <w:sz w:val="24"/>
          <w:szCs w:val="24"/>
        </w:rPr>
        <w:t xml:space="preserve">The latent score z is then compared against three estimated threshold parameters (τ1 &lt; τ2 &lt; τ3) to determine the predicted band: Poor if z is below τ1, Fair if z falls between τ1 and τ2, Good if z falls between τ2 and τ3, and Excellent if z meets or exceeds τ3. All six parameters (β1, β2, β3, τ1, τ2, τ3) are estimated directly from the training data rather than fixed in advance, allowing the model to learn the mapping between the AI grader's outputs and the true performance level empirically.</w:t>
      </w:r>
    </w:p>
    <w:p>
      <w:pPr>
        <w:pStyle w:val="Heading1"/>
        <w:spacing w:after="200" w:before="360"/>
      </w:pPr>
      <w:r>
        <w:rPr>
          <w:rFonts w:ascii="Times New Roman" w:cs="Times New Roman" w:eastAsia="Times New Roman" w:hAnsi="Times New Roman"/>
          <w:b/>
          <w:bCs/>
          <w:sz w:val="28"/>
          <w:szCs w:val="28"/>
        </w:rPr>
        <w:t xml:space="preserve">Input Features</w:t>
      </w:r>
    </w:p>
    <w:p>
      <w:pPr>
        <w:spacing w:after="200" w:line="480" w:lineRule="auto"/>
        <w:jc w:val="both"/>
      </w:pPr>
      <w:r>
        <w:rPr>
          <w:rFonts w:ascii="Times New Roman" w:cs="Times New Roman" w:eastAsia="Times New Roman" w:hAnsi="Times New Roman"/>
          <w:sz w:val="24"/>
          <w:szCs w:val="24"/>
        </w:rPr>
        <w:t xml:space="preserve">The three predictors are derived directly from the AI grader's structured, per-criterion grading output for a given essay, without any additional processing or manual annotation:</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score_pct — the essay's total AI-assigned score, expressed as a percentage of the maximum achievable score across all rubric criteria.</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confidence — the AI grader's self-reported certainty in its own scoring, averaged across the individual criteria; the grading prompt instructs the model to consider both text legibility and how clear-cut the rubric-level judgment is.</w:t>
      </w:r>
    </w:p>
    <w:p>
      <w:pPr>
        <w:pStyle w:val="ListParagraph"/>
        <w:numPr>
          <w:ilvl w:val="0"/>
          <w:numId w:val="2"/>
        </w:numPr>
        <w:spacing w:after="120" w:line="480" w:lineRule="auto"/>
      </w:pPr>
      <w:r>
        <w:rPr>
          <w:rFonts w:ascii="Times New Roman" w:cs="Times New Roman" w:eastAsia="Times New Roman" w:hAnsi="Times New Roman"/>
          <w:sz w:val="24"/>
          <w:szCs w:val="24"/>
        </w:rPr>
        <w:t xml:space="preserve">spread — the difference between the highest and lowest per-criterion score percentages assigned to the essay, capturing the degree of internal disagreement across the rubric's Content, Organization, and Language criteria.</w:t>
      </w:r>
    </w:p>
    <w:p>
      <w:pPr>
        <w:pStyle w:val="Heading1"/>
        <w:spacing w:after="200" w:before="360"/>
      </w:pPr>
      <w:r>
        <w:rPr>
          <w:rFonts w:ascii="Times New Roman" w:cs="Times New Roman" w:eastAsia="Times New Roman" w:hAnsi="Times New Roman"/>
          <w:b/>
          <w:bCs/>
          <w:sz w:val="28"/>
          <w:szCs w:val="28"/>
        </w:rPr>
        <w:t xml:space="preserve">Grading Procedure and Rubric</w:t>
      </w:r>
    </w:p>
    <w:p>
      <w:pPr>
        <w:spacing w:after="200" w:line="480" w:lineRule="auto"/>
        <w:jc w:val="both"/>
      </w:pPr>
      <w:r>
        <w:rPr>
          <w:rFonts w:ascii="Times New Roman" w:cs="Times New Roman" w:eastAsia="Times New Roman" w:hAnsi="Times New Roman"/>
          <w:sz w:val="24"/>
          <w:szCs w:val="24"/>
        </w:rPr>
        <w:t xml:space="preserve">All essays used for training and evaluating the classification model were graded using the system's structured (analytic) grading procedure, in which the AI grader scores each rubric criterion independently in a single call and the total score is computed programmatically as the sum of the individual criterion scores, rather than trusted from any total the model might report on its own. A holistic alternative, in which the AI grader assigns a single overall score without a per-criterion breakdown, was evaluated separately (see Section [Evaluation of Grading Modality]) and was not adopted, as the analytic approach preserved the spread feature and the per-criterion transparency needed to explain a grade to an evaluator, at only a modest cost in raw score correlation.</w:t>
      </w:r>
    </w:p>
    <w:p>
      <w:pPr>
        <w:spacing w:after="200" w:line="480" w:lineRule="auto"/>
        <w:jc w:val="both"/>
      </w:pPr>
      <w:r>
        <w:rPr>
          <w:rFonts w:ascii="Times New Roman" w:cs="Times New Roman" w:eastAsia="Times New Roman" w:hAnsi="Times New Roman"/>
          <w:sz w:val="24"/>
          <w:szCs w:val="24"/>
        </w:rPr>
        <w:t xml:space="preserve">The rubric used throughout consists of three criteria — Content, Organization, and Language — each scored on a five-point scale with explicit level descriptions, summarized in Table [X].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600"/>
      </w:tblGrid>
      <w:tr>
        <w:tc>
          <w:tcPr>
            <w:tcW w:type="dxa" w:w="1400"/>
            <w:shd w:fill="D9E1F2" w:val="clear"/>
          </w:tcPr>
          <w:p>
            <w:r>
              <w:rPr>
                <w:rFonts w:ascii="Times New Roman" w:cs="Times New Roman" w:eastAsia="Times New Roman" w:hAnsi="Times New Roman"/>
                <w:b/>
                <w:bCs/>
                <w:sz w:val="22"/>
                <w:szCs w:val="22"/>
              </w:rPr>
              <w:t xml:space="preserve">Level</w:t>
            </w:r>
          </w:p>
        </w:tc>
        <w:tc>
          <w:tcPr>
            <w:tcW w:type="dxa" w:w="2600"/>
            <w:shd w:fill="D9E1F2" w:val="clear"/>
          </w:tcPr>
          <w:p>
            <w:r>
              <w:rPr>
                <w:rFonts w:ascii="Times New Roman" w:cs="Times New Roman" w:eastAsia="Times New Roman" w:hAnsi="Times New Roman"/>
                <w:b/>
                <w:bCs/>
                <w:sz w:val="22"/>
                <w:szCs w:val="22"/>
              </w:rPr>
              <w:t xml:space="preserve">Content</w:t>
            </w:r>
          </w:p>
        </w:tc>
        <w:tc>
          <w:tcPr>
            <w:tcW w:type="dxa" w:w="2600"/>
            <w:shd w:fill="D9E1F2" w:val="clear"/>
          </w:tcPr>
          <w:p>
            <w:r>
              <w:rPr>
                <w:rFonts w:ascii="Times New Roman" w:cs="Times New Roman" w:eastAsia="Times New Roman" w:hAnsi="Times New Roman"/>
                <w:b/>
                <w:bCs/>
                <w:sz w:val="22"/>
                <w:szCs w:val="22"/>
              </w:rPr>
              <w:t xml:space="preserve">Organization</w:t>
            </w:r>
          </w:p>
        </w:tc>
        <w:tc>
          <w:tcPr>
            <w:tcW w:type="dxa" w:w="2600"/>
            <w:shd w:fill="D9E1F2" w:val="clear"/>
          </w:tcPr>
          <w:p>
            <w:r>
              <w:rPr>
                <w:rFonts w:ascii="Times New Roman" w:cs="Times New Roman" w:eastAsia="Times New Roman" w:hAnsi="Times New Roman"/>
                <w:b/>
                <w:bCs/>
                <w:sz w:val="22"/>
                <w:szCs w:val="22"/>
              </w:rPr>
              <w:t xml:space="preserve">Language</w:t>
            </w:r>
          </w:p>
        </w:tc>
      </w:tr>
      <w:tr>
        <w:tc>
          <w:tcPr>
            <w:tcW w:type="dxa" w:w="1400"/>
          </w:tcPr>
          <w:p>
            <w:r>
              <w:rPr>
                <w:rFonts w:ascii="Times New Roman" w:cs="Times New Roman" w:eastAsia="Times New Roman" w:hAnsi="Times New Roman"/>
                <w:b w:val="false"/>
                <w:bCs w:val="false"/>
                <w:sz w:val="22"/>
                <w:szCs w:val="22"/>
              </w:rPr>
              <w:t xml:space="preserve">5</w:t>
            </w:r>
          </w:p>
        </w:tc>
        <w:tc>
          <w:tcPr>
            <w:tcW w:type="dxa" w:w="2600"/>
          </w:tcPr>
          <w:p>
            <w:r>
              <w:rPr>
                <w:rFonts w:ascii="Times New Roman" w:cs="Times New Roman" w:eastAsia="Times New Roman" w:hAnsi="Times New Roman"/>
                <w:b w:val="false"/>
                <w:bCs w:val="false"/>
                <w:sz w:val="22"/>
                <w:szCs w:val="22"/>
              </w:rPr>
              <w:t xml:space="preserve">Well-developed, clearly relevant argument; strong, specific reasons and examples throughout</w:t>
            </w:r>
          </w:p>
        </w:tc>
        <w:tc>
          <w:tcPr>
            <w:tcW w:type="dxa" w:w="2600"/>
          </w:tcPr>
          <w:p>
            <w:r>
              <w:rPr>
                <w:rFonts w:ascii="Times New Roman" w:cs="Times New Roman" w:eastAsia="Times New Roman" w:hAnsi="Times New Roman"/>
                <w:b w:val="false"/>
                <w:bCs w:val="false"/>
                <w:sz w:val="22"/>
                <w:szCs w:val="22"/>
              </w:rPr>
              <w:t xml:space="preserve">Very effective structure, easy to follow, strong coherence devices, one main idea per paragraph</w:t>
            </w:r>
          </w:p>
        </w:tc>
        <w:tc>
          <w:tcPr>
            <w:tcW w:type="dxa" w:w="2600"/>
          </w:tcPr>
          <w:p>
            <w:r>
              <w:rPr>
                <w:rFonts w:ascii="Times New Roman" w:cs="Times New Roman" w:eastAsia="Times New Roman" w:hAnsi="Times New Roman"/>
                <w:b w:val="false"/>
                <w:bCs w:val="false"/>
                <w:sz w:val="22"/>
                <w:szCs w:val="22"/>
              </w:rPr>
              <w:t xml:space="preserve">Sophisticated, varied vocabulary and collocations; grammar/spelling/punctuation correct throughout</w:t>
            </w:r>
          </w:p>
        </w:tc>
      </w:tr>
      <w:tr>
        <w:tc>
          <w:tcPr>
            <w:tcW w:type="dxa" w:w="1400"/>
          </w:tcPr>
          <w:p>
            <w:r>
              <w:rPr>
                <w:rFonts w:ascii="Times New Roman" w:cs="Times New Roman" w:eastAsia="Times New Roman" w:hAnsi="Times New Roman"/>
                <w:b w:val="false"/>
                <w:bCs w:val="false"/>
                <w:sz w:val="22"/>
                <w:szCs w:val="22"/>
              </w:rPr>
              <w:t xml:space="preserve">4</w:t>
            </w:r>
          </w:p>
        </w:tc>
        <w:tc>
          <w:tcPr>
            <w:tcW w:type="dxa" w:w="2600"/>
          </w:tcPr>
          <w:p>
            <w:r>
              <w:rPr>
                <w:rFonts w:ascii="Times New Roman" w:cs="Times New Roman" w:eastAsia="Times New Roman" w:hAnsi="Times New Roman"/>
                <w:b w:val="false"/>
                <w:bCs w:val="false"/>
                <w:sz w:val="22"/>
                <w:szCs w:val="22"/>
              </w:rPr>
              <w:t xml:space="preserve">Mostly developed and relevant; reasons/examples present but under-elaborated in places</w:t>
            </w:r>
          </w:p>
        </w:tc>
        <w:tc>
          <w:tcPr>
            <w:tcW w:type="dxa" w:w="2600"/>
          </w:tcPr>
          <w:p>
            <w:r>
              <w:rPr>
                <w:rFonts w:ascii="Times New Roman" w:cs="Times New Roman" w:eastAsia="Times New Roman" w:hAnsi="Times New Roman"/>
                <w:b w:val="false"/>
                <w:bCs w:val="false"/>
                <w:sz w:val="22"/>
                <w:szCs w:val="22"/>
              </w:rPr>
              <w:t xml:space="preserve">Generally well-structured and easy to follow; minor coherence or paragraph-focus lapses</w:t>
            </w:r>
          </w:p>
        </w:tc>
        <w:tc>
          <w:tcPr>
            <w:tcW w:type="dxa" w:w="2600"/>
          </w:tcPr>
          <w:p>
            <w:r>
              <w:rPr>
                <w:rFonts w:ascii="Times New Roman" w:cs="Times New Roman" w:eastAsia="Times New Roman" w:hAnsi="Times New Roman"/>
                <w:b w:val="false"/>
                <w:bCs w:val="false"/>
                <w:sz w:val="22"/>
                <w:szCs w:val="22"/>
              </w:rPr>
              <w:t xml:space="preserve">Good vocabulary range; occasional minor errors that don't impede understanding</w:t>
            </w:r>
          </w:p>
        </w:tc>
      </w:tr>
      <w:tr>
        <w:tc>
          <w:tcPr>
            <w:tcW w:type="dxa" w:w="1400"/>
          </w:tcPr>
          <w:p>
            <w:r>
              <w:rPr>
                <w:rFonts w:ascii="Times New Roman" w:cs="Times New Roman" w:eastAsia="Times New Roman" w:hAnsi="Times New Roman"/>
                <w:b w:val="false"/>
                <w:bCs w:val="false"/>
                <w:sz w:val="22"/>
                <w:szCs w:val="22"/>
              </w:rPr>
              <w:t xml:space="preserve">3</w:t>
            </w:r>
          </w:p>
        </w:tc>
        <w:tc>
          <w:tcPr>
            <w:tcW w:type="dxa" w:w="2600"/>
          </w:tcPr>
          <w:p>
            <w:r>
              <w:rPr>
                <w:rFonts w:ascii="Times New Roman" w:cs="Times New Roman" w:eastAsia="Times New Roman" w:hAnsi="Times New Roman"/>
                <w:b w:val="false"/>
                <w:bCs w:val="false"/>
                <w:sz w:val="22"/>
                <w:szCs w:val="22"/>
              </w:rPr>
              <w:t xml:space="preserve">Argument present but development is inconsistent; some reasons/examples generic or thin</w:t>
            </w:r>
          </w:p>
        </w:tc>
        <w:tc>
          <w:tcPr>
            <w:tcW w:type="dxa" w:w="2600"/>
          </w:tcPr>
          <w:p>
            <w:r>
              <w:rPr>
                <w:rFonts w:ascii="Times New Roman" w:cs="Times New Roman" w:eastAsia="Times New Roman" w:hAnsi="Times New Roman"/>
                <w:b w:val="false"/>
                <w:bCs w:val="false"/>
                <w:sz w:val="22"/>
                <w:szCs w:val="22"/>
              </w:rPr>
              <w:t xml:space="preserve">Structure discernible but uneven; some ideas hard to follow or paragraphs mix multiple ideas</w:t>
            </w:r>
          </w:p>
        </w:tc>
        <w:tc>
          <w:tcPr>
            <w:tcW w:type="dxa" w:w="2600"/>
          </w:tcPr>
          <w:p>
            <w:r>
              <w:rPr>
                <w:rFonts w:ascii="Times New Roman" w:cs="Times New Roman" w:eastAsia="Times New Roman" w:hAnsi="Times New Roman"/>
                <w:b w:val="false"/>
                <w:bCs w:val="false"/>
                <w:sz w:val="22"/>
                <w:szCs w:val="22"/>
              </w:rPr>
              <w:t xml:space="preserve">Adequate vocabulary; noticeable errors, occasionally distracting</w:t>
            </w:r>
          </w:p>
        </w:tc>
      </w:tr>
      <w:tr>
        <w:tc>
          <w:tcPr>
            <w:tcW w:type="dxa" w:w="1400"/>
          </w:tcPr>
          <w:p>
            <w:r>
              <w:rPr>
                <w:rFonts w:ascii="Times New Roman" w:cs="Times New Roman" w:eastAsia="Times New Roman" w:hAnsi="Times New Roman"/>
                <w:b w:val="false"/>
                <w:bCs w:val="false"/>
                <w:sz w:val="22"/>
                <w:szCs w:val="22"/>
              </w:rPr>
              <w:t xml:space="preserve">2</w:t>
            </w:r>
          </w:p>
        </w:tc>
        <w:tc>
          <w:tcPr>
            <w:tcW w:type="dxa" w:w="2600"/>
          </w:tcPr>
          <w:p>
            <w:r>
              <w:rPr>
                <w:rFonts w:ascii="Times New Roman" w:cs="Times New Roman" w:eastAsia="Times New Roman" w:hAnsi="Times New Roman"/>
                <w:b w:val="false"/>
                <w:bCs w:val="false"/>
                <w:sz w:val="22"/>
                <w:szCs w:val="22"/>
              </w:rPr>
              <w:t xml:space="preserve">Argument unclear or weakly related to the prompt; few or unconvincing supporting reasons/examples</w:t>
            </w:r>
          </w:p>
        </w:tc>
        <w:tc>
          <w:tcPr>
            <w:tcW w:type="dxa" w:w="2600"/>
          </w:tcPr>
          <w:p>
            <w:r>
              <w:rPr>
                <w:rFonts w:ascii="Times New Roman" w:cs="Times New Roman" w:eastAsia="Times New Roman" w:hAnsi="Times New Roman"/>
                <w:b w:val="false"/>
                <w:bCs w:val="false"/>
                <w:sz w:val="22"/>
                <w:szCs w:val="22"/>
              </w:rPr>
              <w:t xml:space="preserve">Weak structure; confusing sequencing of ideas; coherence devices rare or misused</w:t>
            </w:r>
          </w:p>
        </w:tc>
        <w:tc>
          <w:tcPr>
            <w:tcW w:type="dxa" w:w="2600"/>
          </w:tcPr>
          <w:p>
            <w:r>
              <w:rPr>
                <w:rFonts w:ascii="Times New Roman" w:cs="Times New Roman" w:eastAsia="Times New Roman" w:hAnsi="Times New Roman"/>
                <w:b w:val="false"/>
                <w:bCs w:val="false"/>
                <w:sz w:val="22"/>
                <w:szCs w:val="22"/>
              </w:rPr>
              <w:t xml:space="preserve">Limited vocabulary; frequent errors that sometimes obscure meaning</w:t>
            </w:r>
          </w:p>
        </w:tc>
      </w:tr>
      <w:tr>
        <w:tc>
          <w:tcPr>
            <w:tcW w:type="dxa" w:w="1400"/>
          </w:tcPr>
          <w:p>
            <w:r>
              <w:rPr>
                <w:rFonts w:ascii="Times New Roman" w:cs="Times New Roman" w:eastAsia="Times New Roman" w:hAnsi="Times New Roman"/>
                <w:b w:val="false"/>
                <w:bCs w:val="false"/>
                <w:sz w:val="22"/>
                <w:szCs w:val="22"/>
              </w:rPr>
              <w:t xml:space="preserve">1</w:t>
            </w:r>
          </w:p>
        </w:tc>
        <w:tc>
          <w:tcPr>
            <w:tcW w:type="dxa" w:w="2600"/>
          </w:tcPr>
          <w:p>
            <w:r>
              <w:rPr>
                <w:rFonts w:ascii="Times New Roman" w:cs="Times New Roman" w:eastAsia="Times New Roman" w:hAnsi="Times New Roman"/>
                <w:b w:val="false"/>
                <w:bCs w:val="false"/>
                <w:sz w:val="22"/>
                <w:szCs w:val="22"/>
              </w:rPr>
              <w:t xml:space="preserve">Little to no relevant argument; supporting reasons/examples missing or off-topic</w:t>
            </w:r>
          </w:p>
        </w:tc>
        <w:tc>
          <w:tcPr>
            <w:tcW w:type="dxa" w:w="2600"/>
          </w:tcPr>
          <w:p>
            <w:r>
              <w:rPr>
                <w:rFonts w:ascii="Times New Roman" w:cs="Times New Roman" w:eastAsia="Times New Roman" w:hAnsi="Times New Roman"/>
                <w:b w:val="false"/>
                <w:bCs w:val="false"/>
                <w:sz w:val="22"/>
                <w:szCs w:val="22"/>
              </w:rPr>
              <w:t xml:space="preserve">Little discernible structure; ideas appear disconnected or randomly ordered</w:t>
            </w:r>
          </w:p>
        </w:tc>
        <w:tc>
          <w:tcPr>
            <w:tcW w:type="dxa" w:w="2600"/>
          </w:tcPr>
          <w:p>
            <w:r>
              <w:rPr>
                <w:rFonts w:ascii="Times New Roman" w:cs="Times New Roman" w:eastAsia="Times New Roman" w:hAnsi="Times New Roman"/>
                <w:b w:val="false"/>
                <w:bCs w:val="false"/>
                <w:sz w:val="22"/>
                <w:szCs w:val="22"/>
              </w:rPr>
              <w:t xml:space="preserve">Very limited vocabulary; pervasive errors that significantly impede understanding</w:t>
            </w:r>
          </w:p>
        </w:tc>
      </w:tr>
    </w:tbl>
    <w:p>
      <w:pPr>
        <w:spacing w:after="200" w:line="480" w:lineRule="auto"/>
        <w:jc w:val="both"/>
      </w:pPr>
      <w:r>
        <w:rPr>
          <w:rFonts w:ascii="Times New Roman" w:cs="Times New Roman" w:eastAsia="Times New Roman" w:hAnsi="Times New Roman"/>
          <w:sz w:val="24"/>
          <w:szCs w:val="24"/>
        </w:rPr>
        <w:t xml:space="preserve"/>
      </w:r>
    </w:p>
    <w:p>
      <w:pPr>
        <w:spacing w:after="200" w:line="480" w:lineRule="auto"/>
        <w:jc w:val="both"/>
      </w:pPr>
      <w:r>
        <w:rPr>
          <w:rFonts w:ascii="Times New Roman" w:cs="Times New Roman" w:eastAsia="Times New Roman" w:hAnsi="Times New Roman"/>
          <w:sz w:val="24"/>
          <w:szCs w:val="24"/>
        </w:rPr>
        <w:t xml:space="preserve">For each criterion, the grading prompt supplies the level descriptions together with their corresponding numeric bands (derived by taking the midpoint between adjacent level scores), instructing the model to first identify which level's description best matches the response and then select a specific score within that level's numeric band.</w:t>
      </w:r>
    </w:p>
    <w:p>
      <w:pPr>
        <w:pStyle w:val="Heading1"/>
        <w:spacing w:after="200" w:before="360"/>
      </w:pPr>
      <w:r>
        <w:rPr>
          <w:rFonts w:ascii="Times New Roman" w:cs="Times New Roman" w:eastAsia="Times New Roman" w:hAnsi="Times New Roman"/>
          <w:b/>
          <w:bCs/>
          <w:sz w:val="28"/>
          <w:szCs w:val="28"/>
        </w:rPr>
        <w:t xml:space="preserve">Dataset and Ground Truth</w:t>
      </w:r>
    </w:p>
    <w:p>
      <w:pPr>
        <w:spacing w:after="200" w:line="480" w:lineRule="auto"/>
        <w:jc w:val="both"/>
      </w:pPr>
      <w:r>
        <w:rPr>
          <w:rFonts w:ascii="Times New Roman" w:cs="Times New Roman" w:eastAsia="Times New Roman" w:hAnsi="Times New Roman"/>
          <w:sz w:val="24"/>
          <w:szCs w:val="24"/>
        </w:rPr>
        <w:t xml:space="preserve">The classification model was trained and evaluated on a set of 200 essays drawn from DREsS_New (Yoo et al., 2025), a publicly available corpus of English-as-a-Foreign-Language essays authored by undergraduate students and independently scored by English-education experts. DREsS_New essays were selected over locally collected handwritten submissions for this component specifically because they required no optical character recognition step, allowing the classification model's development to proceed independently of, and in parallel with, handwriting-recognition data collection, and to isolate evaluation of the AI grader's scoring logic from any handwriting-transcription accuracy concerns.</w:t>
      </w:r>
    </w:p>
    <w:p>
      <w:pPr>
        <w:spacing w:after="200" w:line="480" w:lineRule="auto"/>
        <w:jc w:val="both"/>
      </w:pPr>
      <w:r>
        <w:rPr>
          <w:rFonts w:ascii="Times New Roman" w:cs="Times New Roman" w:eastAsia="Times New Roman" w:hAnsi="Times New Roman"/>
          <w:sz w:val="24"/>
          <w:szCs w:val="24"/>
        </w:rPr>
        <w:t xml:space="preserve">Ground truth for the 200 essays was established by five General Education faculty members from the researchers' institution, who scored each essay against the same three-criterion rubric used by the AI grader. Fifteen of the 200 essays were scored independently by all five evaluators; the remaining 185 were divided into five non-overlapping subsets of approximately 37 essays each, with each subset assigned to a single evaluator. Each evaluator's subset was itself stratified to include a proportional mix of essays across the full range of DREsS_New's own score distribution, so that no single evaluator's subset was skewed toward any particular quality range. Where multiple evaluators scored the same essay, the ground-truth score was taken as the mean of their per-criterion scores.</w:t>
      </w:r>
    </w:p>
    <w:p>
      <w:pPr>
        <w:spacing w:after="200" w:line="480" w:lineRule="auto"/>
        <w:jc w:val="both"/>
      </w:pPr>
      <w:r>
        <w:rPr>
          <w:rFonts w:ascii="Times New Roman" w:cs="Times New Roman" w:eastAsia="Times New Roman" w:hAnsi="Times New Roman"/>
          <w:sz w:val="24"/>
          <w:szCs w:val="24"/>
        </w:rPr>
        <w:t xml:space="preserve">An earlier design used DREsS_New's own published expert scores directly as ground truth, avoiding the need for local faculty grading. This was discontinued after a direct comparison, on a shared subset of essays scored by both DREsS_New's own raters and the institution's own faculty, found only moderate agreement between the two rater populations (Pearson r ≈ 0.54), with the institution's evaluators applying a consistently stricter standard by roughly 22 percentage points on average. DREsS_New's own scores were judged not to be a valid proxy for the target evaluator population, motivating the shift to direct faculty scoring described above.</w:t>
      </w:r>
    </w:p>
    <w:p>
      <w:pPr>
        <w:pStyle w:val="Heading1"/>
        <w:spacing w:after="200" w:before="360"/>
      </w:pPr>
      <w:r>
        <w:rPr>
          <w:rFonts w:ascii="Times New Roman" w:cs="Times New Roman" w:eastAsia="Times New Roman" w:hAnsi="Times New Roman"/>
          <w:b/>
          <w:bCs/>
          <w:sz w:val="28"/>
          <w:szCs w:val="28"/>
        </w:rPr>
        <w:t xml:space="preserve">Performance Band Definition</w:t>
      </w:r>
    </w:p>
    <w:p>
      <w:pPr>
        <w:spacing w:after="200" w:line="480" w:lineRule="auto"/>
        <w:jc w:val="both"/>
      </w:pPr>
      <w:r>
        <w:rPr>
          <w:rFonts w:ascii="Times New Roman" w:cs="Times New Roman" w:eastAsia="Times New Roman" w:hAnsi="Times New Roman"/>
          <w:sz w:val="24"/>
          <w:szCs w:val="24"/>
        </w:rPr>
        <w:t xml:space="preserve">Performance bands (Poor, Fair, Good, Excellent) were defined using the quartiles of the ground-truth score distribution across the 200-essay dataset, rather than a fixed, externally defined scale. Essays falling in the bottom quartile of scores were labeled Poor, the second quartile Fair, the third quartile Good, and the top quartile Excellent. This approach was adopted after an externally defined scale (adapted from DREsS_New's own scoring convention) was found to be unsuitable for the institution's evaluators' scoring distribution, under which the highest attainable band would have been empirically unreachable. Defining bands from the quartiles of the actual ground-truth distribution ensures that all four performance levels are populated and approximately balanced, which both reflects the evaluators' own grading behavior and avoids a degenerate classification problem in which one or more bands contain no cases.</w:t>
      </w:r>
    </w:p>
    <w:p>
      <w:pPr>
        <w:pStyle w:val="Heading1"/>
        <w:spacing w:after="200" w:before="360"/>
      </w:pPr>
      <w:r>
        <w:rPr>
          <w:rFonts w:ascii="Times New Roman" w:cs="Times New Roman" w:eastAsia="Times New Roman" w:hAnsi="Times New Roman"/>
          <w:b/>
          <w:bCs/>
          <w:sz w:val="28"/>
          <w:szCs w:val="28"/>
        </w:rPr>
        <w:t xml:space="preserve">Prompt Refinement</w:t>
      </w:r>
    </w:p>
    <w:p>
      <w:pPr>
        <w:spacing w:after="200" w:line="480" w:lineRule="auto"/>
        <w:jc w:val="both"/>
      </w:pPr>
      <w:r>
        <w:rPr>
          <w:rFonts w:ascii="Times New Roman" w:cs="Times New Roman" w:eastAsia="Times New Roman" w:hAnsi="Times New Roman"/>
          <w:sz w:val="24"/>
          <w:szCs w:val="24"/>
        </w:rPr>
        <w:t xml:space="preserve">Two refinements were made to the AI grader's prompt specifically for essays without an OCR step (i.e., DREsS_New essays), applied only when the input is known to be clean, digitally typed text; the grading prompt used for real, scanned student submissions is unaffected by either change. First, since the confidence instruction in the base prompt asks the model to weigh both text legibility and rubric-judgment clarity, an additional note instructs the model to disregard text legibility entirely for clean-text input and to base confidence solely on how clear-cut the rubric-level judgment is. Second, an explicit calibration instruction was added directing the model not to default to the middle of the scale out of excess caution, and to assign top- or bottom-level scores confidently when an essay's quality clearly warrants it — addressing an observed tendency of the grading model to avoid the extreme ends of the rubric's scoring bands.</w:t>
      </w:r>
    </w:p>
    <w:p>
      <w:pPr>
        <w:spacing w:after="200" w:line="480" w:lineRule="auto"/>
        <w:jc w:val="both"/>
      </w:pPr>
      <w:r>
        <w:rPr>
          <w:rFonts w:ascii="Times New Roman" w:cs="Times New Roman" w:eastAsia="Times New Roman" w:hAnsi="Times New Roman"/>
          <w:sz w:val="24"/>
          <w:szCs w:val="24"/>
        </w:rPr>
        <w:t xml:space="preserve">A further refinement incorporated four worked examples directly into the grading prompt for DREsS_New essays: one real, faculty-scored essay per performance band, each accompanied by a faculty-written rationale explaining why the essay was scored as it was and, specifically, why it did not qualify for the adjacent band above or below. The four exemplar essays were chosen as the essay closest to the numerical center of its band's score range, to avoid anchoring the model's judgment on an ambiguous or borderline case. This refinement was motivated by the observation that the AI grader's own generated justifications, being a product of the same judgment process being calibrated, could not supply new corrective information; genuine, independent human reasoning was used instead.</w:t>
      </w:r>
    </w:p>
    <w:p>
      <w:pPr>
        <w:pStyle w:val="Heading1"/>
        <w:spacing w:after="200" w:before="360"/>
      </w:pPr>
      <w:r>
        <w:rPr>
          <w:rFonts w:ascii="Times New Roman" w:cs="Times New Roman" w:eastAsia="Times New Roman" w:hAnsi="Times New Roman"/>
          <w:b/>
          <w:bCs/>
          <w:sz w:val="28"/>
          <w:szCs w:val="28"/>
        </w:rPr>
        <w:t xml:space="preserve">Training and Evaluation Procedure</w:t>
      </w:r>
    </w:p>
    <w:p>
      <w:pPr>
        <w:spacing w:after="200" w:line="480" w:lineRule="auto"/>
        <w:jc w:val="both"/>
      </w:pPr>
      <w:r>
        <w:rPr>
          <w:rFonts w:ascii="Times New Roman" w:cs="Times New Roman" w:eastAsia="Times New Roman" w:hAnsi="Times New Roman"/>
          <w:sz w:val="24"/>
          <w:szCs w:val="24"/>
        </w:rPr>
        <w:t xml:space="preserve">The ordinal logistic regression was fit on the full 200-essay dataset to obtain the final reported coefficients and thresholds. Model performance was assessed using stratified 5-fold cross-validation: the dataset was partitioned into five folds preserving the overall band distribution, and for each fold the model was refit on the remaining four folds and used to predict the held-out fold, so that every essay's predicted band came from a model that had not seen that essay during training. This procedure avoids the optimistic bias of evaluating a model on the same data used to fit it.</w:t>
      </w:r>
    </w:p>
    <w:p>
      <w:pPr>
        <w:spacing w:after="200" w:line="480" w:lineRule="auto"/>
        <w:jc w:val="both"/>
      </w:pPr>
      <w:r>
        <w:rPr>
          <w:rFonts w:ascii="Times New Roman" w:cs="Times New Roman" w:eastAsia="Times New Roman" w:hAnsi="Times New Roman"/>
          <w:sz w:val="24"/>
          <w:szCs w:val="24"/>
        </w:rPr>
        <w:t xml:space="preserve">Three metrics were computed from the cross-validated predictions: exact-match accuracy (the proportion of essays whose predicted band matched their ground-truth band exactly), adjacent-band agreement (the proportion of essays whose predicted band was either exact or one band away, given the four bands' natural ordering), and a full confusion matrix. Cross-validated accuracy was additionally compared against a majority-class baseline — the accuracy obtainable by always predicting the single most frequent band in the dataset, independent of any input features — to establish whether the trained model provides genuine predictive value beyond the dataset's class distribution alone. Finally, the statistical significance of each of the three input features' coefficients was assessed via the Wald test p-values reported by statsmodels, to determine which of the three inputs contribute genuine, non-random predictive signal to the fitted model.</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2026-09-16T05:54:20.207Z</dcterms:created>
  <dcterms:modified xsi:type="dcterms:W3CDTF">2026-09-16T05:54:20.208Z</dcterms:modified>
</cp:coreProperties>
</file>

<file path=docProps/custom.xml><?xml version="1.0" encoding="utf-8"?>
<Properties xmlns="http://schemas.openxmlformats.org/officeDocument/2006/custom-properties" xmlns:vt="http://schemas.openxmlformats.org/officeDocument/2006/docPropsVTypes"/>
</file>