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spacing w:before="320" w:after="160"/>
      </w:pPr>
      <w:r>
        <w:rPr>
          <w:rFonts w:ascii="Times New Roman" w:hAnsi="Times New Roman"/>
          <w:b/>
          <w:color w:val="000000"/>
          <w:sz w:val="26"/>
        </w:rPr>
        <w:t>Identification Scoring Performance</w:t>
      </w:r>
    </w:p>
    <w:p>
      <w:pPr>
        <w:pStyle w:val="Heading3"/>
        <w:spacing w:before="320" w:after="160"/>
      </w:pPr>
      <w:r>
        <w:rPr>
          <w:rFonts w:ascii="Times New Roman" w:hAnsi="Times New Roman"/>
          <w:b/>
          <w:color w:val="000000"/>
          <w:sz w:val="24"/>
        </w:rPr>
        <w:t>Dataset and Scoring Rule</w:t>
      </w:r>
    </w:p>
    <w:p>
      <w:pPr>
        <w:spacing w:line="480" w:lineRule="auto" w:after="120"/>
        <w:ind w:firstLine="720"/>
        <w:jc w:val="both"/>
      </w:pPr>
      <w:r>
        <w:t>The identification component was evaluated on examination ID-1, comprising ten identification items administered to twenty-five students, yielding 250 handwritten answers. Each item carried one point and was configured as case-insensitive. Each item’s answer key contained a single accepted answer; no alternative variants were defined.</w:t>
      </w:r>
    </w:p>
    <w:p>
      <w:pPr>
        <w:spacing w:line="480" w:lineRule="auto" w:after="120"/>
        <w:ind w:firstLine="720"/>
        <w:jc w:val="both"/>
      </w:pPr>
      <w:r>
        <w:t>GrAId scores identification answers by exact match. The student’s transcribed answer and the accepted answer are both trimmed of leading and trailing whitespace, internal whitespace runs are collapsed to a single space, and both are case-folded. No further normalization is applied: hyphens, punctuation and spelling are compared literally. An answer receives full credit if it matches the accepted answer exactly under this rule, and zero otherwise; no partial credit is awarded. The scoring rule and the answer keys were verified to be identical across three independent captures taken at different points during data collection, confirming that neither was altered during the evaluation.</w:t>
      </w:r>
    </w:p>
    <w:p>
      <w:pPr>
        <w:spacing w:line="480" w:lineRule="auto" w:after="120"/>
        <w:ind w:firstLine="720"/>
        <w:jc w:val="both"/>
      </w:pPr>
      <w:r>
        <w:t>The reference standard was established by a subject-matter professor who judged each of the 250 answers as correct or incorrect. Judgments were made from cropped photographs of the students’ handwriting presented in randomized order. The professor was not shown GrAId’s transcription or GrAId’s score at any stage. GrAId awarded full credit to 136 of 250 answers (54.4%); the professor judged 146 of 250 answers correct (58.4%).</w:t>
      </w:r>
    </w:p>
    <w:p>
      <w:pPr>
        <w:pStyle w:val="Heading3"/>
        <w:spacing w:before="320" w:after="160"/>
      </w:pPr>
      <w:r>
        <w:rPr>
          <w:rFonts w:ascii="Times New Roman" w:hAnsi="Times New Roman"/>
          <w:b/>
          <w:color w:val="000000"/>
          <w:sz w:val="24"/>
        </w:rPr>
        <w:t>End-to-End Scoring Accuracy</w:t>
      </w:r>
    </w:p>
    <w:p>
      <w:pPr>
        <w:spacing w:line="480" w:lineRule="auto" w:after="120"/>
        <w:ind w:firstLine="720"/>
        <w:jc w:val="both"/>
      </w:pPr>
      <w:r>
        <w:t>Table 1 presents the agreement between GrAId’s scoring decisions and the professor’s judgments across all 250 answers.</w:t>
      </w:r>
    </w:p>
    <w:p>
      <w:pPr>
        <w:spacing w:before="240" w:after="80"/>
      </w:pPr>
      <w:r>
        <w:rPr>
          <w:b/>
          <w:sz w:val="22"/>
        </w:rPr>
        <w:t>Table 1. Agreement between GrAId scoring and professor judgment (n = 250)</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736"/>
            <w:shd w:val="clear" w:fill="D9D9D9"/>
          </w:tcPr>
          <w:p>
            <w:pPr>
              <w:jc w:val="left"/>
            </w:pPr>
            <w:r/>
            <w:r>
              <w:rPr>
                <w:b/>
                <w:sz w:val="22"/>
              </w:rPr>
            </w:r>
          </w:p>
        </w:tc>
        <w:tc>
          <w:tcPr>
            <w:tcW w:type="dxa" w:w="2304"/>
            <w:shd w:val="clear" w:fill="D9D9D9"/>
          </w:tcPr>
          <w:p>
            <w:pPr>
              <w:jc w:val="center"/>
            </w:pPr>
            <w:r/>
            <w:r>
              <w:rPr>
                <w:b/>
                <w:sz w:val="22"/>
              </w:rPr>
              <w:t>Professor: correct</w:t>
            </w:r>
          </w:p>
        </w:tc>
        <w:tc>
          <w:tcPr>
            <w:tcW w:type="dxa" w:w="2304"/>
            <w:shd w:val="clear" w:fill="D9D9D9"/>
          </w:tcPr>
          <w:p>
            <w:pPr>
              <w:jc w:val="center"/>
            </w:pPr>
            <w:r/>
            <w:r>
              <w:rPr>
                <w:b/>
                <w:sz w:val="22"/>
              </w:rPr>
              <w:t>Professor: incorrect</w:t>
            </w:r>
          </w:p>
        </w:tc>
        <w:tc>
          <w:tcPr>
            <w:tcW w:type="dxa" w:w="1440"/>
            <w:shd w:val="clear" w:fill="D9D9D9"/>
          </w:tcPr>
          <w:p>
            <w:pPr>
              <w:jc w:val="center"/>
            </w:pPr>
            <w:r/>
            <w:r>
              <w:rPr>
                <w:b/>
                <w:sz w:val="22"/>
              </w:rPr>
              <w:t>Total</w:t>
            </w:r>
          </w:p>
        </w:tc>
      </w:tr>
      <w:tr>
        <w:tc>
          <w:tcPr>
            <w:tcW w:type="dxa" w:w="2736"/>
          </w:tcPr>
          <w:p>
            <w:pPr>
              <w:jc w:val="left"/>
            </w:pPr>
            <w:r/>
            <w:r>
              <w:rPr>
                <w:b/>
                <w:sz w:val="22"/>
              </w:rPr>
              <w:t>GrAId: full credit</w:t>
            </w:r>
          </w:p>
        </w:tc>
        <w:tc>
          <w:tcPr>
            <w:tcW w:type="dxa" w:w="2304"/>
          </w:tcPr>
          <w:p>
            <w:pPr>
              <w:jc w:val="center"/>
            </w:pPr>
            <w:r/>
            <w:r>
              <w:rPr>
                <w:b w:val="0"/>
                <w:sz w:val="22"/>
              </w:rPr>
              <w:t>121</w:t>
            </w:r>
          </w:p>
        </w:tc>
        <w:tc>
          <w:tcPr>
            <w:tcW w:type="dxa" w:w="2304"/>
          </w:tcPr>
          <w:p>
            <w:pPr>
              <w:jc w:val="center"/>
            </w:pPr>
            <w:r/>
            <w:r>
              <w:rPr>
                <w:b w:val="0"/>
                <w:sz w:val="22"/>
              </w:rPr>
              <w:t>15</w:t>
            </w:r>
          </w:p>
        </w:tc>
        <w:tc>
          <w:tcPr>
            <w:tcW w:type="dxa" w:w="1440"/>
          </w:tcPr>
          <w:p>
            <w:pPr>
              <w:jc w:val="center"/>
            </w:pPr>
            <w:r/>
            <w:r>
              <w:rPr>
                <w:b w:val="0"/>
                <w:sz w:val="22"/>
              </w:rPr>
              <w:t>136</w:t>
            </w:r>
          </w:p>
        </w:tc>
      </w:tr>
      <w:tr>
        <w:tc>
          <w:tcPr>
            <w:tcW w:type="dxa" w:w="2736"/>
          </w:tcPr>
          <w:p>
            <w:pPr>
              <w:jc w:val="left"/>
            </w:pPr>
            <w:r/>
            <w:r>
              <w:rPr>
                <w:b/>
                <w:sz w:val="22"/>
              </w:rPr>
              <w:t>GrAId: zero credit</w:t>
            </w:r>
          </w:p>
        </w:tc>
        <w:tc>
          <w:tcPr>
            <w:tcW w:type="dxa" w:w="2304"/>
          </w:tcPr>
          <w:p>
            <w:pPr>
              <w:jc w:val="center"/>
            </w:pPr>
            <w:r/>
            <w:r>
              <w:rPr>
                <w:b w:val="0"/>
                <w:sz w:val="22"/>
              </w:rPr>
              <w:t>25</w:t>
            </w:r>
          </w:p>
        </w:tc>
        <w:tc>
          <w:tcPr>
            <w:tcW w:type="dxa" w:w="2304"/>
          </w:tcPr>
          <w:p>
            <w:pPr>
              <w:jc w:val="center"/>
            </w:pPr>
            <w:r/>
            <w:r>
              <w:rPr>
                <w:b w:val="0"/>
                <w:sz w:val="22"/>
              </w:rPr>
              <w:t>89</w:t>
            </w:r>
          </w:p>
        </w:tc>
        <w:tc>
          <w:tcPr>
            <w:tcW w:type="dxa" w:w="1440"/>
          </w:tcPr>
          <w:p>
            <w:pPr>
              <w:jc w:val="center"/>
            </w:pPr>
            <w:r/>
            <w:r>
              <w:rPr>
                <w:b w:val="0"/>
                <w:sz w:val="22"/>
              </w:rPr>
              <w:t>114</w:t>
            </w:r>
          </w:p>
        </w:tc>
      </w:tr>
      <w:tr>
        <w:tc>
          <w:tcPr>
            <w:tcW w:type="dxa" w:w="2736"/>
          </w:tcPr>
          <w:p>
            <w:pPr>
              <w:jc w:val="left"/>
            </w:pPr>
            <w:r/>
            <w:r>
              <w:rPr>
                <w:b/>
                <w:sz w:val="22"/>
              </w:rPr>
              <w:t>Total</w:t>
            </w:r>
          </w:p>
        </w:tc>
        <w:tc>
          <w:tcPr>
            <w:tcW w:type="dxa" w:w="2304"/>
          </w:tcPr>
          <w:p>
            <w:pPr>
              <w:jc w:val="center"/>
            </w:pPr>
            <w:r/>
            <w:r>
              <w:rPr>
                <w:b/>
                <w:sz w:val="22"/>
              </w:rPr>
              <w:t>146</w:t>
            </w:r>
          </w:p>
        </w:tc>
        <w:tc>
          <w:tcPr>
            <w:tcW w:type="dxa" w:w="2304"/>
          </w:tcPr>
          <w:p>
            <w:pPr>
              <w:jc w:val="center"/>
            </w:pPr>
            <w:r/>
            <w:r>
              <w:rPr>
                <w:b/>
                <w:sz w:val="22"/>
              </w:rPr>
              <w:t>104</w:t>
            </w:r>
          </w:p>
        </w:tc>
        <w:tc>
          <w:tcPr>
            <w:tcW w:type="dxa" w:w="1440"/>
          </w:tcPr>
          <w:p>
            <w:pPr>
              <w:jc w:val="center"/>
            </w:pPr>
            <w:r/>
            <w:r>
              <w:rPr>
                <w:b/>
                <w:sz w:val="22"/>
              </w:rPr>
              <w:t>250</w:t>
            </w:r>
          </w:p>
        </w:tc>
      </w:tr>
    </w:tbl>
    <w:p>
      <w:pPr>
        <w:spacing w:after="80"/>
      </w:pPr>
    </w:p>
    <w:p>
      <w:pPr>
        <w:spacing w:line="480" w:lineRule="auto" w:after="120"/>
        <w:ind w:firstLine="720"/>
        <w:jc w:val="both"/>
      </w:pPr>
      <w:r>
        <w:t>Derived performance measures are reported in Table 2, with 95% confidence intervals computed by the Wilson method.</w:t>
      </w:r>
    </w:p>
    <w:p>
      <w:pPr>
        <w:spacing w:before="240" w:after="80"/>
      </w:pPr>
      <w:r>
        <w:rPr>
          <w:b/>
          <w:sz w:val="22"/>
        </w:rPr>
        <w:t>Table 2. Identification scoring performance</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312"/>
            <w:shd w:val="clear" w:fill="D9D9D9"/>
          </w:tcPr>
          <w:p>
            <w:pPr>
              <w:jc w:val="left"/>
            </w:pPr>
            <w:r/>
            <w:r>
              <w:rPr>
                <w:b/>
                <w:sz w:val="22"/>
              </w:rPr>
              <w:t>Measure</w:t>
            </w:r>
          </w:p>
        </w:tc>
        <w:tc>
          <w:tcPr>
            <w:tcW w:type="dxa" w:w="2880"/>
            <w:shd w:val="clear" w:fill="D9D9D9"/>
          </w:tcPr>
          <w:p>
            <w:pPr>
              <w:jc w:val="center"/>
            </w:pPr>
            <w:r/>
            <w:r>
              <w:rPr>
                <w:b/>
                <w:sz w:val="22"/>
              </w:rPr>
              <w:t>Value</w:t>
            </w:r>
          </w:p>
        </w:tc>
        <w:tc>
          <w:tcPr>
            <w:tcW w:type="dxa" w:w="2592"/>
            <w:shd w:val="clear" w:fill="D9D9D9"/>
          </w:tcPr>
          <w:p>
            <w:pPr>
              <w:jc w:val="center"/>
            </w:pPr>
            <w:r/>
            <w:r>
              <w:rPr>
                <w:b/>
                <w:sz w:val="22"/>
              </w:rPr>
              <w:t>95% CI (Wilson)</w:t>
            </w:r>
          </w:p>
        </w:tc>
      </w:tr>
      <w:tr>
        <w:tc>
          <w:tcPr>
            <w:tcW w:type="dxa" w:w="3312"/>
          </w:tcPr>
          <w:p>
            <w:pPr>
              <w:jc w:val="left"/>
            </w:pPr>
            <w:r/>
            <w:r>
              <w:rPr>
                <w:b w:val="0"/>
                <w:sz w:val="22"/>
              </w:rPr>
              <w:t>Accuracy</w:t>
            </w:r>
          </w:p>
        </w:tc>
        <w:tc>
          <w:tcPr>
            <w:tcW w:type="dxa" w:w="2880"/>
          </w:tcPr>
          <w:p>
            <w:pPr>
              <w:jc w:val="center"/>
            </w:pPr>
            <w:r/>
            <w:r>
              <w:rPr>
                <w:b w:val="0"/>
                <w:sz w:val="22"/>
              </w:rPr>
              <w:t>84.0% (210/250)</w:t>
            </w:r>
          </w:p>
        </w:tc>
        <w:tc>
          <w:tcPr>
            <w:tcW w:type="dxa" w:w="2592"/>
          </w:tcPr>
          <w:p>
            <w:pPr>
              <w:jc w:val="center"/>
            </w:pPr>
            <w:r/>
            <w:r>
              <w:rPr>
                <w:b w:val="0"/>
                <w:sz w:val="22"/>
              </w:rPr>
              <w:t>78.9 – 88.0</w:t>
            </w:r>
          </w:p>
        </w:tc>
      </w:tr>
      <w:tr>
        <w:tc>
          <w:tcPr>
            <w:tcW w:type="dxa" w:w="3312"/>
          </w:tcPr>
          <w:p>
            <w:pPr>
              <w:jc w:val="left"/>
            </w:pPr>
            <w:r/>
            <w:r>
              <w:rPr>
                <w:b w:val="0"/>
                <w:sz w:val="22"/>
              </w:rPr>
              <w:t>False reject rate</w:t>
            </w:r>
          </w:p>
        </w:tc>
        <w:tc>
          <w:tcPr>
            <w:tcW w:type="dxa" w:w="2880"/>
          </w:tcPr>
          <w:p>
            <w:pPr>
              <w:jc w:val="center"/>
            </w:pPr>
            <w:r/>
            <w:r>
              <w:rPr>
                <w:b w:val="0"/>
                <w:sz w:val="22"/>
              </w:rPr>
              <w:t>17.1% (25/146)</w:t>
            </w:r>
          </w:p>
        </w:tc>
        <w:tc>
          <w:tcPr>
            <w:tcW w:type="dxa" w:w="2592"/>
          </w:tcPr>
          <w:p>
            <w:pPr>
              <w:jc w:val="center"/>
            </w:pPr>
            <w:r/>
            <w:r>
              <w:rPr>
                <w:b w:val="0"/>
                <w:sz w:val="22"/>
              </w:rPr>
              <w:t>11.9 – 24.1</w:t>
            </w:r>
          </w:p>
        </w:tc>
      </w:tr>
      <w:tr>
        <w:tc>
          <w:tcPr>
            <w:tcW w:type="dxa" w:w="3312"/>
          </w:tcPr>
          <w:p>
            <w:pPr>
              <w:jc w:val="left"/>
            </w:pPr>
            <w:r/>
            <w:r>
              <w:rPr>
                <w:b w:val="0"/>
                <w:sz w:val="22"/>
              </w:rPr>
              <w:t>False accept rate</w:t>
            </w:r>
          </w:p>
        </w:tc>
        <w:tc>
          <w:tcPr>
            <w:tcW w:type="dxa" w:w="2880"/>
          </w:tcPr>
          <w:p>
            <w:pPr>
              <w:jc w:val="center"/>
            </w:pPr>
            <w:r/>
            <w:r>
              <w:rPr>
                <w:b w:val="0"/>
                <w:sz w:val="22"/>
              </w:rPr>
              <w:t>14.4% (15/104)</w:t>
            </w:r>
          </w:p>
        </w:tc>
        <w:tc>
          <w:tcPr>
            <w:tcW w:type="dxa" w:w="2592"/>
          </w:tcPr>
          <w:p>
            <w:pPr>
              <w:jc w:val="center"/>
            </w:pPr>
            <w:r/>
            <w:r>
              <w:rPr>
                <w:b w:val="0"/>
                <w:sz w:val="22"/>
              </w:rPr>
              <w:t>8.9 – 22.4</w:t>
            </w:r>
          </w:p>
        </w:tc>
      </w:tr>
    </w:tbl>
    <w:p>
      <w:pPr>
        <w:spacing w:after="80"/>
      </w:pPr>
    </w:p>
    <w:p>
      <w:pPr>
        <w:spacing w:line="480" w:lineRule="auto" w:after="120"/>
        <w:ind w:firstLine="720"/>
        <w:jc w:val="both"/>
      </w:pPr>
      <w:r>
        <w:t>GrAId therefore reproduced the professor’s scoring decision on 84.0% of identification answers. Errors were approximately balanced in direction, with the system rejecting 17.1% of answers the professor considered correct and crediting 14.4% of answers the professor considered incorrect.</w:t>
      </w:r>
    </w:p>
    <w:p>
      <w:pPr>
        <w:pStyle w:val="Heading3"/>
        <w:spacing w:before="320" w:after="160"/>
      </w:pPr>
      <w:r>
        <w:rPr>
          <w:rFonts w:ascii="Times New Roman" w:hAnsi="Times New Roman"/>
          <w:b/>
          <w:color w:val="000000"/>
          <w:sz w:val="24"/>
        </w:rPr>
        <w:t>Reliability of the Reference Standard</w:t>
      </w:r>
    </w:p>
    <w:p>
      <w:pPr>
        <w:spacing w:line="480" w:lineRule="auto" w:after="120"/>
        <w:ind w:firstLine="720"/>
        <w:jc w:val="both"/>
      </w:pPr>
      <w:r>
        <w:t>To establish how much of the observed disagreement reflected instability in the reference standard itself, the professor re-judged a subset of 80 answers under blind conditions. The subset comprised all 40 answers on which the professor and GrAId had disagreed, together with 40 answers on which they had agreed, sampled to match the disagreements item-for-item so that the distribution of questions provided no indication of group membership. The professor was not informed that the answers had been judged previously, nor which of them had disagreed with the system.</w:t>
      </w:r>
    </w:p>
    <w:p>
      <w:pPr>
        <w:spacing w:line="480" w:lineRule="auto" w:after="120"/>
        <w:ind w:firstLine="720"/>
        <w:jc w:val="both"/>
      </w:pPr>
      <w:r>
        <w:t>The two sets of judgments coincided on 59 of 80 answers (73.8%; 95% CI 63.2 – 82.1), yielding a Cohen’s kappa of 0.432. Reversal rates differed substantially between subgroups, as shown in Table 3.</w:t>
      </w:r>
    </w:p>
    <w:p>
      <w:pPr>
        <w:spacing w:before="240" w:after="80"/>
      </w:pPr>
      <w:r>
        <w:rPr>
          <w:b/>
          <w:sz w:val="22"/>
        </w:rPr>
        <w:t>Table 3. Reversal of the professor’s own judgments on blind re-assessment</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3744"/>
            <w:shd w:val="clear" w:fill="D9D9D9"/>
          </w:tcPr>
          <w:p>
            <w:pPr>
              <w:jc w:val="left"/>
            </w:pPr>
            <w:r/>
            <w:r>
              <w:rPr>
                <w:b/>
                <w:sz w:val="22"/>
              </w:rPr>
              <w:t>Subgroup</w:t>
            </w:r>
          </w:p>
        </w:tc>
        <w:tc>
          <w:tcPr>
            <w:tcW w:type="dxa" w:w="1872"/>
            <w:shd w:val="clear" w:fill="D9D9D9"/>
          </w:tcPr>
          <w:p>
            <w:pPr>
              <w:jc w:val="center"/>
            </w:pPr>
            <w:r/>
            <w:r>
              <w:rPr>
                <w:b/>
                <w:sz w:val="22"/>
              </w:rPr>
              <w:t>Re-judged</w:t>
            </w:r>
          </w:p>
        </w:tc>
        <w:tc>
          <w:tcPr>
            <w:tcW w:type="dxa" w:w="1872"/>
            <w:shd w:val="clear" w:fill="D9D9D9"/>
          </w:tcPr>
          <w:p>
            <w:pPr>
              <w:jc w:val="center"/>
            </w:pPr>
            <w:r/>
            <w:r>
              <w:rPr>
                <w:b/>
                <w:sz w:val="22"/>
              </w:rPr>
              <w:t>Reversed</w:t>
            </w:r>
          </w:p>
        </w:tc>
        <w:tc>
          <w:tcPr>
            <w:tcW w:type="dxa" w:w="1872"/>
            <w:shd w:val="clear" w:fill="D9D9D9"/>
          </w:tcPr>
          <w:p>
            <w:pPr>
              <w:jc w:val="center"/>
            </w:pPr>
            <w:r/>
            <w:r>
              <w:rPr>
                <w:b/>
                <w:sz w:val="22"/>
              </w:rPr>
              <w:t>Reversal rate</w:t>
            </w:r>
          </w:p>
        </w:tc>
      </w:tr>
      <w:tr>
        <w:tc>
          <w:tcPr>
            <w:tcW w:type="dxa" w:w="3744"/>
          </w:tcPr>
          <w:p>
            <w:pPr>
              <w:jc w:val="left"/>
            </w:pPr>
            <w:r/>
            <w:r>
              <w:rPr>
                <w:b w:val="0"/>
                <w:sz w:val="22"/>
              </w:rPr>
              <w:t>Previously agreed with GrAId</w:t>
            </w:r>
          </w:p>
        </w:tc>
        <w:tc>
          <w:tcPr>
            <w:tcW w:type="dxa" w:w="1872"/>
          </w:tcPr>
          <w:p>
            <w:pPr>
              <w:jc w:val="center"/>
            </w:pPr>
            <w:r/>
            <w:r>
              <w:rPr>
                <w:b w:val="0"/>
                <w:sz w:val="22"/>
              </w:rPr>
              <w:t>40</w:t>
            </w:r>
          </w:p>
        </w:tc>
        <w:tc>
          <w:tcPr>
            <w:tcW w:type="dxa" w:w="1872"/>
          </w:tcPr>
          <w:p>
            <w:pPr>
              <w:jc w:val="center"/>
            </w:pPr>
            <w:r/>
            <w:r>
              <w:rPr>
                <w:b w:val="0"/>
                <w:sz w:val="22"/>
              </w:rPr>
              <w:t>4</w:t>
            </w:r>
          </w:p>
        </w:tc>
        <w:tc>
          <w:tcPr>
            <w:tcW w:type="dxa" w:w="1872"/>
          </w:tcPr>
          <w:p>
            <w:pPr>
              <w:jc w:val="center"/>
            </w:pPr>
            <w:r/>
            <w:r>
              <w:rPr>
                <w:b w:val="0"/>
                <w:sz w:val="22"/>
              </w:rPr>
              <w:t>10.0%</w:t>
            </w:r>
          </w:p>
        </w:tc>
      </w:tr>
      <w:tr>
        <w:tc>
          <w:tcPr>
            <w:tcW w:type="dxa" w:w="3744"/>
          </w:tcPr>
          <w:p>
            <w:pPr>
              <w:jc w:val="left"/>
            </w:pPr>
            <w:r/>
            <w:r>
              <w:rPr>
                <w:b w:val="0"/>
                <w:sz w:val="22"/>
              </w:rPr>
              <w:t>Previously disagreed with GrAId</w:t>
            </w:r>
          </w:p>
        </w:tc>
        <w:tc>
          <w:tcPr>
            <w:tcW w:type="dxa" w:w="1872"/>
          </w:tcPr>
          <w:p>
            <w:pPr>
              <w:jc w:val="center"/>
            </w:pPr>
            <w:r/>
            <w:r>
              <w:rPr>
                <w:b w:val="0"/>
                <w:sz w:val="22"/>
              </w:rPr>
              <w:t>40</w:t>
            </w:r>
          </w:p>
        </w:tc>
        <w:tc>
          <w:tcPr>
            <w:tcW w:type="dxa" w:w="1872"/>
          </w:tcPr>
          <w:p>
            <w:pPr>
              <w:jc w:val="center"/>
            </w:pPr>
            <w:r/>
            <w:r>
              <w:rPr>
                <w:b w:val="0"/>
                <w:sz w:val="22"/>
              </w:rPr>
              <w:t>17</w:t>
            </w:r>
          </w:p>
        </w:tc>
        <w:tc>
          <w:tcPr>
            <w:tcW w:type="dxa" w:w="1872"/>
          </w:tcPr>
          <w:p>
            <w:pPr>
              <w:jc w:val="center"/>
            </w:pPr>
            <w:r/>
            <w:r>
              <w:rPr>
                <w:b w:val="0"/>
                <w:sz w:val="22"/>
              </w:rPr>
              <w:t>42.5%</w:t>
            </w:r>
          </w:p>
        </w:tc>
      </w:tr>
      <w:tr>
        <w:tc>
          <w:tcPr>
            <w:tcW w:type="dxa" w:w="3744"/>
          </w:tcPr>
          <w:p>
            <w:pPr>
              <w:jc w:val="left"/>
            </w:pPr>
            <w:r/>
            <w:r>
              <w:rPr>
                <w:b/>
                <w:sz w:val="22"/>
              </w:rPr>
              <w:t>All re-judged answers</w:t>
            </w:r>
          </w:p>
        </w:tc>
        <w:tc>
          <w:tcPr>
            <w:tcW w:type="dxa" w:w="1872"/>
          </w:tcPr>
          <w:p>
            <w:pPr>
              <w:jc w:val="center"/>
            </w:pPr>
            <w:r/>
            <w:r>
              <w:rPr>
                <w:b/>
                <w:sz w:val="22"/>
              </w:rPr>
              <w:t>80</w:t>
            </w:r>
          </w:p>
        </w:tc>
        <w:tc>
          <w:tcPr>
            <w:tcW w:type="dxa" w:w="1872"/>
          </w:tcPr>
          <w:p>
            <w:pPr>
              <w:jc w:val="center"/>
            </w:pPr>
            <w:r/>
            <w:r>
              <w:rPr>
                <w:b/>
                <w:sz w:val="22"/>
              </w:rPr>
              <w:t>21</w:t>
            </w:r>
          </w:p>
        </w:tc>
        <w:tc>
          <w:tcPr>
            <w:tcW w:type="dxa" w:w="1872"/>
          </w:tcPr>
          <w:p>
            <w:pPr>
              <w:jc w:val="center"/>
            </w:pPr>
            <w:r/>
            <w:r>
              <w:rPr>
                <w:b/>
                <w:sz w:val="22"/>
              </w:rPr>
              <w:t>26.3%</w:t>
            </w:r>
          </w:p>
        </w:tc>
      </w:tr>
    </w:tbl>
    <w:p>
      <w:pPr>
        <w:spacing w:after="80"/>
      </w:pPr>
    </w:p>
    <w:p>
      <w:pPr>
        <w:spacing w:after="240"/>
      </w:pPr>
      <w:r>
        <w:rPr>
          <w:i/>
          <w:sz w:val="20"/>
        </w:rPr>
        <w:t>Note. The re-judged subset deliberately over-represents disputed answers; its overall reversal rate is therefore not directly comparable to the full set.</w:t>
      </w:r>
    </w:p>
    <w:p>
      <w:pPr>
        <w:spacing w:line="480" w:lineRule="auto" w:after="120"/>
        <w:ind w:firstLine="720"/>
        <w:jc w:val="both"/>
      </w:pPr>
      <w:r>
        <w:t>Weighting the subgroup reversal rates by their prevalence in the full set yields an estimated self-agreement of approximately 84.8% across all 250 answers. This figure provides the appropriate benchmark against which system performance should be interpreted: GrAId agreed with the professor on 84.0% of answers, while the professor agreed with their own prior judgment on an estimated 84.8%. The system’s agreement with the human marker is thus comparable to the human marker’s agreement with themselves, indicating that the measured accuracy approaches the reliability ceiling of the reference standard rather than the limits of the system.</w:t>
      </w:r>
    </w:p>
    <w:p>
      <w:pPr>
        <w:spacing w:line="480" w:lineRule="auto" w:after="120"/>
        <w:ind w:firstLine="720"/>
        <w:jc w:val="both"/>
      </w:pPr>
      <w:r>
        <w:t>Substituting the second-pass judgments for the 80 re-assessed answers yields an accuracy of 89.2% (223/250; 95% CI 84.7 – 92.5), a false reject rate of 14.4% and a false accept rate of 5.2%. This is reported as a sensitivity analysis rather than as a primary result, as it combines judgments collected under two instruction conditions.</w:t>
      </w:r>
    </w:p>
    <w:p>
      <w:pPr>
        <w:pStyle w:val="Heading3"/>
        <w:spacing w:before="320" w:after="160"/>
      </w:pPr>
      <w:r>
        <w:rPr>
          <w:rFonts w:ascii="Times New Roman" w:hAnsi="Times New Roman"/>
          <w:b/>
          <w:color w:val="000000"/>
          <w:sz w:val="24"/>
        </w:rPr>
        <w:t>Attribution of Disagreements</w:t>
      </w:r>
    </w:p>
    <w:p>
      <w:pPr>
        <w:spacing w:line="480" w:lineRule="auto" w:after="120"/>
        <w:ind w:firstLine="720"/>
        <w:jc w:val="both"/>
      </w:pPr>
      <w:r>
        <w:t>Each of the 40 disagreements was classified by comparing GrAId’s transcription with the answer key and with the keys of the remaining items. The distribution of causes is given in Table 4.</w:t>
      </w:r>
    </w:p>
    <w:p>
      <w:pPr>
        <w:spacing w:before="240" w:after="80"/>
      </w:pPr>
      <w:r>
        <w:rPr>
          <w:b/>
          <w:sz w:val="22"/>
        </w:rPr>
        <w:t>Table 4. Attributed causes of disagreement (n = 40)</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5616"/>
            <w:shd w:val="clear" w:fill="D9D9D9"/>
          </w:tcPr>
          <w:p>
            <w:pPr>
              <w:jc w:val="left"/>
            </w:pPr>
            <w:r/>
            <w:r>
              <w:rPr>
                <w:b/>
                <w:sz w:val="22"/>
              </w:rPr>
              <w:t>Attributed cause</w:t>
            </w:r>
          </w:p>
        </w:tc>
        <w:tc>
          <w:tcPr>
            <w:tcW w:type="dxa" w:w="1584"/>
            <w:shd w:val="clear" w:fill="D9D9D9"/>
          </w:tcPr>
          <w:p>
            <w:pPr>
              <w:jc w:val="center"/>
            </w:pPr>
            <w:r/>
            <w:r>
              <w:rPr>
                <w:b/>
                <w:sz w:val="22"/>
              </w:rPr>
              <w:t>n</w:t>
            </w:r>
          </w:p>
        </w:tc>
        <w:tc>
          <w:tcPr>
            <w:tcW w:type="dxa" w:w="2160"/>
            <w:shd w:val="clear" w:fill="D9D9D9"/>
          </w:tcPr>
          <w:p>
            <w:pPr>
              <w:jc w:val="center"/>
            </w:pPr>
            <w:r/>
            <w:r>
              <w:rPr>
                <w:b/>
                <w:sz w:val="22"/>
              </w:rPr>
              <w:t>Share</w:t>
            </w:r>
          </w:p>
        </w:tc>
      </w:tr>
      <w:tr>
        <w:tc>
          <w:tcPr>
            <w:tcW w:type="dxa" w:w="5616"/>
          </w:tcPr>
          <w:p>
            <w:pPr>
              <w:jc w:val="left"/>
            </w:pPr>
            <w:r/>
            <w:r>
              <w:rPr>
                <w:b w:val="0"/>
                <w:sz w:val="22"/>
              </w:rPr>
              <w:t>Transcription matched the answer key exactly (marking error)</w:t>
            </w:r>
          </w:p>
        </w:tc>
        <w:tc>
          <w:tcPr>
            <w:tcW w:type="dxa" w:w="1584"/>
          </w:tcPr>
          <w:p>
            <w:pPr>
              <w:jc w:val="center"/>
            </w:pPr>
            <w:r/>
            <w:r>
              <w:rPr>
                <w:b w:val="0"/>
                <w:sz w:val="22"/>
              </w:rPr>
              <w:t>15</w:t>
            </w:r>
          </w:p>
        </w:tc>
        <w:tc>
          <w:tcPr>
            <w:tcW w:type="dxa" w:w="2160"/>
          </w:tcPr>
          <w:p>
            <w:pPr>
              <w:jc w:val="center"/>
            </w:pPr>
            <w:r/>
            <w:r>
              <w:rPr>
                <w:b w:val="0"/>
                <w:sz w:val="22"/>
              </w:rPr>
              <w:t>37.5%</w:t>
            </w:r>
          </w:p>
        </w:tc>
      </w:tr>
      <w:tr>
        <w:tc>
          <w:tcPr>
            <w:tcW w:type="dxa" w:w="5616"/>
          </w:tcPr>
          <w:p>
            <w:pPr>
              <w:jc w:val="left"/>
            </w:pPr>
            <w:r/>
            <w:r>
              <w:rPr>
                <w:b w:val="0"/>
                <w:sz w:val="22"/>
              </w:rPr>
              <w:t>Spacing or hyphenation only; variant absent from key</w:t>
            </w:r>
          </w:p>
        </w:tc>
        <w:tc>
          <w:tcPr>
            <w:tcW w:type="dxa" w:w="1584"/>
          </w:tcPr>
          <w:p>
            <w:pPr>
              <w:jc w:val="center"/>
            </w:pPr>
            <w:r/>
            <w:r>
              <w:rPr>
                <w:b w:val="0"/>
                <w:sz w:val="22"/>
              </w:rPr>
              <w:t>11</w:t>
            </w:r>
          </w:p>
        </w:tc>
        <w:tc>
          <w:tcPr>
            <w:tcW w:type="dxa" w:w="2160"/>
          </w:tcPr>
          <w:p>
            <w:pPr>
              <w:jc w:val="center"/>
            </w:pPr>
            <w:r/>
            <w:r>
              <w:rPr>
                <w:b w:val="0"/>
                <w:sz w:val="22"/>
              </w:rPr>
              <w:t>27.5%</w:t>
            </w:r>
          </w:p>
        </w:tc>
      </w:tr>
      <w:tr>
        <w:tc>
          <w:tcPr>
            <w:tcW w:type="dxa" w:w="5616"/>
          </w:tcPr>
          <w:p>
            <w:pPr>
              <w:jc w:val="left"/>
            </w:pPr>
            <w:r/>
            <w:r>
              <w:rPr>
                <w:b w:val="0"/>
                <w:sz w:val="22"/>
              </w:rPr>
              <w:t>Transcription differs from key (recognition or student error)</w:t>
            </w:r>
          </w:p>
        </w:tc>
        <w:tc>
          <w:tcPr>
            <w:tcW w:type="dxa" w:w="1584"/>
          </w:tcPr>
          <w:p>
            <w:pPr>
              <w:jc w:val="center"/>
            </w:pPr>
            <w:r/>
            <w:r>
              <w:rPr>
                <w:b w:val="0"/>
                <w:sz w:val="22"/>
              </w:rPr>
              <w:t>11</w:t>
            </w:r>
          </w:p>
        </w:tc>
        <w:tc>
          <w:tcPr>
            <w:tcW w:type="dxa" w:w="2160"/>
          </w:tcPr>
          <w:p>
            <w:pPr>
              <w:jc w:val="center"/>
            </w:pPr>
            <w:r/>
            <w:r>
              <w:rPr>
                <w:b w:val="0"/>
                <w:sz w:val="22"/>
              </w:rPr>
              <w:t>27.5%</w:t>
            </w:r>
          </w:p>
        </w:tc>
      </w:tr>
      <w:tr>
        <w:tc>
          <w:tcPr>
            <w:tcW w:type="dxa" w:w="5616"/>
          </w:tcPr>
          <w:p>
            <w:pPr>
              <w:jc w:val="left"/>
            </w:pPr>
            <w:r/>
            <w:r>
              <w:rPr>
                <w:b w:val="0"/>
                <w:sz w:val="22"/>
              </w:rPr>
              <w:t>Student supplied another item’s answer (marking error)</w:t>
            </w:r>
          </w:p>
        </w:tc>
        <w:tc>
          <w:tcPr>
            <w:tcW w:type="dxa" w:w="1584"/>
          </w:tcPr>
          <w:p>
            <w:pPr>
              <w:jc w:val="center"/>
            </w:pPr>
            <w:r/>
            <w:r>
              <w:rPr>
                <w:b w:val="0"/>
                <w:sz w:val="22"/>
              </w:rPr>
              <w:t>3</w:t>
            </w:r>
          </w:p>
        </w:tc>
        <w:tc>
          <w:tcPr>
            <w:tcW w:type="dxa" w:w="2160"/>
          </w:tcPr>
          <w:p>
            <w:pPr>
              <w:jc w:val="center"/>
            </w:pPr>
            <w:r/>
            <w:r>
              <w:rPr>
                <w:b w:val="0"/>
                <w:sz w:val="22"/>
              </w:rPr>
              <w:t>7.5%</w:t>
            </w:r>
          </w:p>
        </w:tc>
      </w:tr>
      <w:tr>
        <w:tc>
          <w:tcPr>
            <w:tcW w:type="dxa" w:w="5616"/>
          </w:tcPr>
          <w:p>
            <w:pPr>
              <w:jc w:val="left"/>
            </w:pPr>
            <w:r/>
            <w:r>
              <w:rPr>
                <w:b/>
                <w:sz w:val="22"/>
              </w:rPr>
              <w:t>Total</w:t>
            </w:r>
          </w:p>
        </w:tc>
        <w:tc>
          <w:tcPr>
            <w:tcW w:type="dxa" w:w="1584"/>
          </w:tcPr>
          <w:p>
            <w:pPr>
              <w:jc w:val="center"/>
            </w:pPr>
            <w:r/>
            <w:r>
              <w:rPr>
                <w:b/>
                <w:sz w:val="22"/>
              </w:rPr>
              <w:t>40</w:t>
            </w:r>
          </w:p>
        </w:tc>
        <w:tc>
          <w:tcPr>
            <w:tcW w:type="dxa" w:w="2160"/>
          </w:tcPr>
          <w:p>
            <w:pPr>
              <w:jc w:val="center"/>
            </w:pPr>
            <w:r/>
            <w:r>
              <w:rPr>
                <w:b/>
                <w:sz w:val="22"/>
              </w:rPr>
              <w:t>100.0%</w:t>
            </w:r>
          </w:p>
        </w:tc>
      </w:tr>
    </w:tbl>
    <w:p>
      <w:pPr>
        <w:spacing w:after="80"/>
      </w:pPr>
    </w:p>
    <w:p>
      <w:pPr>
        <w:spacing w:line="480" w:lineRule="auto" w:after="120"/>
        <w:ind w:firstLine="720"/>
        <w:jc w:val="both"/>
      </w:pPr>
      <w:r>
        <w:t>Eighteen of the 40 disagreements (45.0%) are attributable to marking error rather than system error. In fifteen cases GrAId’s transcription was character-identical to the answer key, and in three the student had supplied a term belonging to a different item on the same examination. The blind re-assessment described above independently reversed thirteen of these eighteen judgments, corroborating the classification.</w:t>
      </w:r>
    </w:p>
    <w:p>
      <w:pPr>
        <w:spacing w:line="480" w:lineRule="auto" w:after="120"/>
        <w:ind w:firstLine="720"/>
        <w:jc w:val="both"/>
      </w:pPr>
      <w:r>
        <w:t>A further eleven disagreements (27.5%) arose from orthographic variation alone. Six students rendered “Nonviolent Resistance” as “Non violent Resistance”, and five rendered “Military-Industrial Complex” without the hyphen or with surrounding spaces. The professor accepted all eleven; the exact-match rule rejected all eleven. Strict matching therefore carried a measurable cost of 4.4% of all answers on orthographic variation alone, recoverable by populating each item’s accepted-variants list.</w:t>
      </w:r>
    </w:p>
    <w:p>
      <w:pPr>
        <w:spacing w:line="480" w:lineRule="auto" w:after="120"/>
        <w:ind w:firstLine="720"/>
        <w:jc w:val="both"/>
      </w:pPr>
      <w:r>
        <w:t>The remaining eleven disagreements involve transcriptions differing substantively from the answer key. Separating recognition error from student error within this group requires independent reference transcriptions, which were not collected.</w:t>
      </w:r>
    </w:p>
    <w:p>
      <w:pPr>
        <w:pStyle w:val="Heading3"/>
        <w:spacing w:before="320" w:after="160"/>
      </w:pPr>
      <w:r>
        <w:rPr>
          <w:rFonts w:ascii="Times New Roman" w:hAnsi="Times New Roman"/>
          <w:b/>
          <w:color w:val="000000"/>
          <w:sz w:val="24"/>
        </w:rPr>
        <w:t>Automatic Flagging and Human Review</w:t>
      </w:r>
    </w:p>
    <w:p>
      <w:pPr>
        <w:spacing w:line="480" w:lineRule="auto" w:after="120"/>
        <w:ind w:firstLine="720"/>
        <w:jc w:val="both"/>
      </w:pPr>
      <w:r>
        <w:t>GrAId routes an answer to mandatory teacher review when its transcription is empty, spans multiple lines, or exhibits patterns characteristic of misrecognition. Across the 250 answers, three were routed to mandatory review, and none of the twenty-five false rejects was among them (0/25; 95% CI 0.0 – 13.3). Automatic flagging as presently configured therefore did not recover scoring errors. It should be noted that every zero-scored answer receives a non-matching flag and remains visible to the teacher in the review interface; the null result above concerns only the narrower mandatory-review pathway.</w:t>
      </w:r>
    </w:p>
    <w:p>
      <w:pPr>
        <w:spacing w:line="480" w:lineRule="auto" w:after="120"/>
        <w:ind w:firstLine="720"/>
        <w:jc w:val="both"/>
      </w:pPr>
      <w:r>
        <w:t>A related defect was observed. Four answers (1.6%) received no score at all. The blank-box detector, which suppresses recognition on answer boxes containing less than 0.4% ink in order to prevent fabricated transcriptions, incorrectly classified four short handwritten answers as unanswered. Inspection of the source images confirmed visible handwriting in all four. All four were judged incorrect by the professor and consequently did not affect the measured accuracy, but the threshold requires recalibration for short answers.</w:t>
      </w:r>
    </w:p>
    <w:p>
      <w:pPr>
        <w:pStyle w:val="Heading3"/>
        <w:spacing w:before="320" w:after="160"/>
      </w:pPr>
      <w:r>
        <w:rPr>
          <w:rFonts w:ascii="Times New Roman" w:hAnsi="Times New Roman"/>
          <w:b/>
          <w:color w:val="000000"/>
          <w:sz w:val="24"/>
        </w:rPr>
        <w:t>Limitations</w:t>
      </w:r>
    </w:p>
    <w:p>
      <w:pPr>
        <w:spacing w:line="480" w:lineRule="auto" w:after="120"/>
        <w:ind w:firstLine="720"/>
        <w:jc w:val="both"/>
      </w:pPr>
      <w:r>
        <w:t>Three limitations qualify these results. First, transcription accuracy was not measured independently: character and word error rates require reference transcriptions produced without reference to the system, which were not collected. In consequence, eleven disagreements could not be separated into recognition error and student error. Second, the reference standard was provided by a single marker, whose self-agreement of approximately 84.8% bounds the precision with which system accuracy can be estimated; a second independent marker would permit inter-rater as well as intra-rater comparison. Third, the blind re-assessment employed clarified instructions, so the two passes do not constitute strictly identical conditions, and the reported kappa should be read with that qualification.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