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DOHODA O NAROVNÁNÍ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both"/>
      </w:pPr>
      <w:r>
        <w:rPr>
          <w:rFonts w:ascii="Tahoma" w:hAnsi="Tahoma"/>
          <w:b w:val="0"/>
          <w:sz w:val="21"/>
        </w:rPr>
        <w:t>(dále jen „</w:t>
      </w:r>
      <w:r>
        <w:rPr>
          <w:rFonts w:ascii="Tahoma" w:hAnsi="Tahoma"/>
          <w:b/>
          <w:sz w:val="21"/>
        </w:rPr>
        <w:t>Dohoda</w:t>
      </w:r>
      <w:r>
        <w:rPr>
          <w:rFonts w:ascii="Tahoma" w:hAnsi="Tahoma"/>
          <w:b w:val="0"/>
          <w:sz w:val="21"/>
        </w:rPr>
        <w:t>“) uzavřená podle § 1903 a násl. zákona č. 89/2012 Sb., občanský zákoník (dále jen „OZ“), mezi smluvními stranami: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  <w:r>
        <w:rPr>
          <w:rFonts w:ascii="Tahoma" w:hAnsi="Tahoma"/>
          <w:b/>
          <w:sz w:val="21"/>
        </w:rPr>
        <w:t>{{ strana1.radek1 | e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strana1.radek2 | e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strana1.radek3 %}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strana1.radek3 | e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strana1.radek4 %}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strana1.radek4 | e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strana1.radek5 %}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strana1.radek5 | e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(dále jen „</w:t>
      </w:r>
      <w:r>
        <w:rPr>
          <w:rFonts w:ascii="Tahoma" w:hAnsi="Tahoma"/>
          <w:b/>
          <w:sz w:val="21"/>
        </w:rPr>
        <w:t>První strana</w:t>
      </w:r>
      <w:r>
        <w:rPr>
          <w:rFonts w:ascii="Tahoma" w:hAnsi="Tahoma"/>
          <w:b w:val="0"/>
          <w:sz w:val="21"/>
        </w:rPr>
        <w:t>“)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  <w:r>
        <w:rPr>
          <w:rFonts w:ascii="Tahoma" w:hAnsi="Tahoma"/>
          <w:b/>
          <w:sz w:val="21"/>
        </w:rPr>
        <w:t>a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  <w:r>
        <w:rPr>
          <w:rFonts w:ascii="Tahoma" w:hAnsi="Tahoma"/>
          <w:b/>
          <w:sz w:val="21"/>
        </w:rPr>
        <w:t>{{ strana2.radek1 | e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strana2.radek2 | e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strana2.radek3 %}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strana2.radek3 | e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strana2.radek4 %}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strana2.radek4 | e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strana2.radek5 %}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strana2.radek5 | e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(dále jen „</w:t>
      </w:r>
      <w:r>
        <w:rPr>
          <w:rFonts w:ascii="Tahoma" w:hAnsi="Tahoma"/>
          <w:b/>
          <w:sz w:val="21"/>
        </w:rPr>
        <w:t>Druhá strana</w:t>
      </w:r>
      <w:r>
        <w:rPr>
          <w:rFonts w:ascii="Tahoma" w:hAnsi="Tahoma"/>
          <w:b w:val="0"/>
          <w:sz w:val="21"/>
        </w:rPr>
        <w:t>“)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 w:val="0"/>
          <w:sz w:val="21"/>
        </w:rPr>
        <w:t>v tomto znění: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I.</w:t>
      </w: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Sporná nebo pochybná práva</w:t>
      </w:r>
    </w:p>
    <w:p>
      <w:pPr>
        <w:pStyle w:val="Bezmezer"/>
        <w:spacing w:after="0" w:before="0" w:line="240" w:lineRule="auto"/>
        <w:jc w:val="both"/>
        <w:numPr>
          <w:ilvl w:val="0"/>
          <w:numId w:val="7"/>
        </w:numPr>
      </w:pPr>
      <w:r>
        <w:rPr>
          <w:rFonts w:ascii="Tahoma" w:hAnsi="Tahoma"/>
          <w:b w:val="0"/>
          <w:sz w:val="21"/>
        </w:rPr>
        <w:t>Strany považují za sporná nebo pochybná následující práva a povinnosti a v dále vymezeném rozsahu je narovnávají: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for pravo in sporna_prava %}</w:t>
      </w:r>
    </w:p>
    <w:p>
      <w:pPr>
        <w:pStyle w:val="Bezmezer"/>
        <w:spacing w:after="0" w:before="0" w:line="240" w:lineRule="auto"/>
        <w:jc w:val="both"/>
        <w:numPr>
          <w:ilvl w:val="0"/>
          <w:numId w:val="7"/>
        </w:numPr>
      </w:pPr>
      <w:r>
        <w:rPr>
          <w:rFonts w:ascii="Tahoma" w:hAnsi="Tahoma"/>
          <w:b w:val="0"/>
          <w:sz w:val="21"/>
        </w:rPr>
        <w:t>{{ pravo | trim | e }}{% if (pravo | trim)[-1:] not in ['.', '!', '?', ':', ';'] %}.{% endif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endfor %}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II.</w:t>
      </w: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Vzájemné ústupky</w:t>
      </w:r>
    </w:p>
    <w:p>
      <w:pPr>
        <w:pStyle w:val="Bezmezer"/>
        <w:spacing w:after="0" w:before="0" w:line="240" w:lineRule="auto"/>
        <w:jc w:val="both"/>
        <w:numPr>
          <w:ilvl w:val="0"/>
          <w:numId w:val="8"/>
        </w:numPr>
      </w:pPr>
      <w:r>
        <w:rPr>
          <w:rFonts w:ascii="Tahoma" w:hAnsi="Tahoma"/>
          <w:b w:val="0"/>
          <w:sz w:val="21"/>
        </w:rPr>
        <w:t>První strana v rámci narovnání činí tento ústupek: {{ ustupky_strana1 | trim | e }}{% if (ustupky_strana1 | trim)[-1:] not in ['.', '!', '?', ':', ';'] %}.{% endif %}</w:t>
      </w:r>
    </w:p>
    <w:p>
      <w:pPr>
        <w:pStyle w:val="Bezmezer"/>
        <w:spacing w:after="0" w:before="0" w:line="240" w:lineRule="auto"/>
        <w:jc w:val="both"/>
        <w:numPr>
          <w:ilvl w:val="0"/>
          <w:numId w:val="8"/>
        </w:numPr>
      </w:pPr>
      <w:r>
        <w:rPr>
          <w:rFonts w:ascii="Tahoma" w:hAnsi="Tahoma"/>
          <w:b w:val="0"/>
          <w:sz w:val="21"/>
        </w:rPr>
        <w:t>Druhá strana v rámci narovnání činí tento ústupek: {{ ustupky_strana2 | trim | e }}{% if (ustupky_strana2 | trim)[-1:] not in ['.', '!', '?', ':', ';'] %}.{% endif %}</w:t>
      </w:r>
    </w:p>
    <w:p>
      <w:pPr>
        <w:pStyle w:val="Bezmezer"/>
        <w:spacing w:after="0" w:before="0" w:line="240" w:lineRule="auto"/>
        <w:jc w:val="both"/>
        <w:numPr>
          <w:ilvl w:val="0"/>
          <w:numId w:val="8"/>
        </w:numPr>
      </w:pPr>
      <w:r>
        <w:rPr>
          <w:rFonts w:ascii="Tahoma" w:hAnsi="Tahoma"/>
          <w:b w:val="0"/>
          <w:sz w:val="21"/>
        </w:rPr>
        <w:t>Strany přijímají nové uspořádání bez potřeby určit, která z nich měla v dosavadním sporu pravdu.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III.</w:t>
      </w: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Nové uspořádání práv a povinností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for polozka in plneni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polozka.typ == 'penezite' %}</w:t>
      </w:r>
    </w:p>
    <w:p>
      <w:pPr>
        <w:pStyle w:val="Bezmezer"/>
        <w:spacing w:after="0" w:before="0" w:line="240" w:lineRule="auto"/>
        <w:jc w:val="both"/>
        <w:numPr>
          <w:ilvl w:val="0"/>
          <w:numId w:val="9"/>
        </w:numPr>
      </w:pPr>
      <w:r>
        <w:rPr>
          <w:rFonts w:ascii="Tahoma" w:hAnsi="Tahoma"/>
          <w:b w:val="0"/>
          <w:sz w:val="21"/>
        </w:rPr>
        <w:t xml:space="preserve">{% if polozka.povinna_strana == 'strana1' %}První strana se zavazuje zaplatit Druhé straně{% else %}Druhá strana se zavazuje zaplatit První straně{% endif %} částku </w:t>
      </w:r>
      <w:r>
        <w:rPr>
          <w:rFonts w:ascii="Tahoma" w:hAnsi="Tahoma"/>
          <w:b/>
          <w:sz w:val="21"/>
        </w:rPr>
        <w:t>{{ polozka.castka | e }} Kč</w:t>
      </w:r>
      <w:r>
        <w:rPr>
          <w:rFonts w:ascii="Tahoma" w:hAnsi="Tahoma"/>
          <w:b w:val="0"/>
          <w:sz w:val="21"/>
        </w:rPr>
        <w:t xml:space="preserve">, splatnou dne </w:t>
      </w:r>
      <w:r>
        <w:rPr>
          <w:rFonts w:ascii="Tahoma" w:hAnsi="Tahoma"/>
          <w:b/>
          <w:sz w:val="21"/>
        </w:rPr>
        <w:t>{{ polozka.splatnost | e }}</w:t>
      </w:r>
      <w:r>
        <w:rPr>
          <w:rFonts w:ascii="Tahoma" w:hAnsi="Tahoma"/>
          <w:b w:val="0"/>
          <w:sz w:val="21"/>
        </w:rPr>
        <w:t xml:space="preserve">, na účet č. </w:t>
      </w:r>
      <w:r>
        <w:rPr>
          <w:rFonts w:ascii="Tahoma" w:hAnsi="Tahoma"/>
          <w:b/>
          <w:sz w:val="21"/>
        </w:rPr>
        <w:t>{{ polozka.ucet | e }}</w:t>
      </w:r>
      <w:r>
        <w:rPr>
          <w:rFonts w:ascii="Tahoma" w:hAnsi="Tahoma"/>
          <w:b w:val="0"/>
          <w:sz w:val="21"/>
        </w:rPr>
        <w:t xml:space="preserve">{% if polozka.vs %}, variabilní symbol </w:t>
      </w:r>
      <w:r>
        <w:rPr>
          <w:rFonts w:ascii="Tahoma" w:hAnsi="Tahoma"/>
          <w:b/>
          <w:sz w:val="21"/>
        </w:rPr>
        <w:t>{{ polozka.vs | e }}</w:t>
      </w:r>
      <w:r>
        <w:rPr>
          <w:rFonts w:ascii="Tahoma" w:hAnsi="Tahoma"/>
          <w:b w:val="0"/>
          <w:sz w:val="21"/>
        </w:rPr>
        <w:t>{% endif %}. Předmět plnění: {{ polozka.popis | trim | e }}{% if (polozka.popis | trim)[-1:] not in ['.', '!', '?', ':', ';'] %}.{% endif %} Pro včasnost úhrady je rozhodující připsání částky na uvedený účet.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else %}</w:t>
      </w:r>
    </w:p>
    <w:p>
      <w:pPr>
        <w:pStyle w:val="Bezmezer"/>
        <w:spacing w:after="0" w:before="0" w:line="240" w:lineRule="auto"/>
        <w:jc w:val="both"/>
        <w:numPr>
          <w:ilvl w:val="0"/>
          <w:numId w:val="9"/>
        </w:numPr>
      </w:pPr>
      <w:r>
        <w:rPr>
          <w:rFonts w:ascii="Tahoma" w:hAnsi="Tahoma"/>
          <w:b w:val="0"/>
          <w:sz w:val="21"/>
        </w:rPr>
        <w:t xml:space="preserve">{% if polozka.povinna_strana == 'strana1' %}První strana se zavazuje poskytnout Druhé straně{% else %}Druhá strana se zavazuje poskytnout První straně{% endif %} toto nepeněžité plnění: {{ polozka.popis | trim | e }}{% if (polozka.popis | trim)[-1:] not in ['.', '!', '?', ':', ';'] %}.{% endif %} Termín splnění je </w:t>
      </w:r>
      <w:r>
        <w:rPr>
          <w:rFonts w:ascii="Tahoma" w:hAnsi="Tahoma"/>
          <w:b/>
          <w:sz w:val="21"/>
        </w:rPr>
        <w:t>{{ polozka.splatnost | e }}</w:t>
      </w:r>
      <w:r>
        <w:rPr>
          <w:rFonts w:ascii="Tahoma" w:hAnsi="Tahoma"/>
          <w:b w:val="0"/>
          <w:sz w:val="21"/>
        </w:rPr>
        <w:t>. Místo a způsob splnění: {{ polozka.zpusob | trim | e }}{% if (polozka.zpusob | trim)[-1:] not in ['.', '!', '?', ':', ';'] %}.{% endif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endfor %}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IV.</w:t>
      </w: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Rozsah a účinky narovnání</w:t>
      </w:r>
    </w:p>
    <w:p>
      <w:pPr>
        <w:pStyle w:val="Bezmezer"/>
        <w:spacing w:after="0" w:before="0" w:line="240" w:lineRule="auto"/>
        <w:jc w:val="both"/>
        <w:numPr>
          <w:ilvl w:val="0"/>
          <w:numId w:val="10"/>
        </w:numPr>
      </w:pPr>
      <w:r>
        <w:rPr>
          <w:rFonts w:ascii="Tahoma" w:hAnsi="Tahoma"/>
          <w:b w:val="0"/>
          <w:sz w:val="21"/>
        </w:rPr>
        <w:t>Dosavadní práva a povinnosti vymezené v článku I. zanikají v tomto rozsahu: {{ rozsah_narovnani | trim | e }}{% if (rozsah_narovnani | trim)[-1:] not in ['.', '!', '?', ':', ';'] %}.{% endif %} V uvedeném rozsahu je nahrazují práva a povinnosti podle této Dohody. Práva a povinnosti mimo tento rozsah zůstávají nedotčena.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prevod_nemovitosti %}</w:t>
      </w:r>
    </w:p>
    <w:p>
      <w:pPr>
        <w:pStyle w:val="Bezmezer"/>
        <w:spacing w:after="0" w:before="0" w:line="240" w:lineRule="auto"/>
        <w:jc w:val="both"/>
        <w:numPr>
          <w:ilvl w:val="0"/>
          <w:numId w:val="10"/>
        </w:numPr>
      </w:pPr>
      <w:r>
        <w:rPr>
          <w:rFonts w:ascii="Tahoma" w:hAnsi="Tahoma"/>
          <w:b w:val="0"/>
          <w:sz w:val="21"/>
        </w:rPr>
        <w:t>Toto narovnání se týká věcného práva k nemovitosti zapsané v katastru nemovitostí. Jeho účinky nastávají podle § 1903 odst. 1 OZ až vkladem do katastru; převáděné vlastnické právo se nabývá vkladem podle § 1105 OZ. Identifikaci nemovitostí, vkladovou listinu, podpisy, postup podání návrhu a návaznost lhůt plnění na účinky vkladu musí před podpisem zkontrolovat advokát.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else %}</w:t>
      </w:r>
    </w:p>
    <w:p>
      <w:pPr>
        <w:pStyle w:val="Bezmezer"/>
        <w:spacing w:after="0" w:before="0" w:line="240" w:lineRule="auto"/>
        <w:jc w:val="both"/>
        <w:numPr>
          <w:ilvl w:val="0"/>
          <w:numId w:val="10"/>
        </w:numPr>
      </w:pPr>
      <w:r>
        <w:rPr>
          <w:rFonts w:ascii="Tahoma" w:hAnsi="Tahoma"/>
          <w:b w:val="0"/>
          <w:sz w:val="21"/>
        </w:rPr>
        <w:t>Nahrazení dosavadních práv a povinností nastává uzavřením této Dohody.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konecne_vyporadani %}</w:t>
      </w:r>
    </w:p>
    <w:p>
      <w:pPr>
        <w:pStyle w:val="Bezmezer"/>
        <w:spacing w:after="0" w:before="0" w:line="240" w:lineRule="auto"/>
        <w:jc w:val="both"/>
        <w:numPr>
          <w:ilvl w:val="0"/>
          <w:numId w:val="10"/>
        </w:numPr>
      </w:pPr>
      <w:r>
        <w:rPr>
          <w:rFonts w:ascii="Tahoma" w:hAnsi="Tahoma"/>
          <w:b w:val="0"/>
          <w:sz w:val="21"/>
        </w:rPr>
        <w:t>Po úplném splnění povinností podle článku III. považují strany své vzájemné nároky za konečně vypořádané výlučně v tomto rozsahu: {{ rozsah_vyporadani | trim | e }}{% if (rozsah_vyporadani | trim)[-1:] not in ['.', '!', '?', ':', ';'] %}.{% endif %} Prohlášení nerozšiřuje rozsah narovnání, nevztahuje se na výslovně vyloučená práva ani na práva, která strany zřejmě nemohly mít na mysli (§ 1905 OZ).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V.</w:t>
      </w: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Závěrečná ustanovení</w:t>
      </w:r>
    </w:p>
    <w:p>
      <w:pPr>
        <w:pStyle w:val="Bezmezer"/>
        <w:spacing w:after="0" w:before="0" w:line="240" w:lineRule="auto"/>
        <w:jc w:val="both"/>
        <w:numPr>
          <w:ilvl w:val="0"/>
          <w:numId w:val="11"/>
        </w:numPr>
      </w:pPr>
      <w:r>
        <w:rPr>
          <w:rFonts w:ascii="Tahoma" w:hAnsi="Tahoma"/>
          <w:b w:val="0"/>
          <w:sz w:val="21"/>
        </w:rPr>
        <w:t>Strany berou na vědomí, že samotný nepoměr vzájemného plnění není důvodem k odporování narovnání (§ 1903 odst. 2 OZ). Omyl v tom, co bylo sporné nebo pochybné, neovlivňuje platnost narovnání, ledaže jej některá strana vyvolala lstí. Při narovnání v dobré víře nezpůsobuje neplatnost ani dodatečné zjištění, že některá strana pohledávku neměla (§ 1904 OZ). Tím nejsou vyloučeny jiné zákonné důvody zpochybnění Dohody.</w:t>
      </w:r>
    </w:p>
    <w:p>
      <w:pPr>
        <w:pStyle w:val="Bezmezer"/>
        <w:spacing w:after="0" w:before="0" w:line="240" w:lineRule="auto"/>
        <w:jc w:val="both"/>
        <w:numPr>
          <w:ilvl w:val="0"/>
          <w:numId w:val="11"/>
        </w:numPr>
      </w:pPr>
      <w:r>
        <w:rPr>
          <w:rFonts w:ascii="Tahoma" w:hAnsi="Tahoma"/>
          <w:b w:val="0"/>
          <w:sz w:val="21"/>
        </w:rPr>
        <w:t>Dohoda je uzavřena podpisem obou stran a její změny budou činěny písemně. Je vyhotovena ve dvou (2) stejnopisech, z nichž každá strana obdrží jeden (1). Strany si Dohodu přečetly, rozumějí jejímu obsahu a podepisují ji na znamení souhlasu.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V ________________ dne ________ {{ rok | e }}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_______________________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/>
                <w:sz w:val="21"/>
              </w:rPr>
              <w:t>{{ strana1.podpis | e }}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{{ strana1.podpis_zastupce | default(' ', true) | e }}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První strana</w:t>
            </w:r>
          </w:p>
        </w:tc>
        <w:tc>
          <w:tcPr>
            <w:tcW w:type="dxa" w:w="4533"/>
          </w:tcPr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_______________________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/>
                <w:sz w:val="21"/>
              </w:rPr>
              <w:t>{{ strana2.podpis | e }}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{{ strana2.podpis_zastupce | default(' ', true) | e }}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Druhá strana</w:t>
            </w:r>
          </w:p>
        </w:tc>
      </w:tr>
    </w:tbl>
    <w:sectPr w:rsidR="0032248A" w:rsidSect="0032248A">
      <w:footerReference w:type="even" r:id="rId5"/>
      <w:footerReference w:type="default" r:id="rId6"/>
      <w:pgSz w:w="11900" w:h="16840"/>
      <w:pgMar w:top="1235" w:right="1417" w:bottom="1392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702252416"/>
    </w:sdtPr>
    <w:sdtContent>
      <w:p w14:paraId="76F9C4E6" w14:textId="77777777" w:rsidR="0032248A" w:rsidRDefault="0032248A">
        <w:pPr>
          <w:pStyle w:val="Zpat"/>
          <w:framePr w:wrap="auto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end"/>
        </w:r>
      </w:p>
    </w:sdtContent>
  </w:sdt>
  <w:p w14:paraId="6703A550" w14:textId="77777777" w:rsidR="0032248A" w:rsidRDefault="0032248A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  <w:rFonts w:ascii="Tahoma" w:hAnsi="Tahoma" w:cs="Tahoma"/>
        <w:sz w:val="20"/>
        <w:szCs w:val="20"/>
      </w:rPr>
      <w:id w:val="1882289275"/>
    </w:sdtPr>
    <w:sdtContent>
      <w:p w14:paraId="519DEF78" w14:textId="77777777" w:rsidR="0032248A" w:rsidRPr="00722CAC" w:rsidRDefault="0032248A">
        <w:pPr>
          <w:pStyle w:val="Zpat"/>
          <w:framePr w:wrap="auto" w:vAnchor="text" w:hAnchor="margin" w:xAlign="right" w:y="1"/>
          <w:rPr>
            <w:rStyle w:val="slostrnky"/>
            <w:rFonts w:ascii="Tahoma" w:hAnsi="Tahoma" w:cs="Tahoma"/>
            <w:sz w:val="20"/>
            <w:szCs w:val="20"/>
          </w:rPr>
        </w:pPr>
        <w:r w:rsidRPr="00722CAC">
          <w:rPr>
            <w:rStyle w:val="slostrnky"/>
            <w:rFonts w:ascii="Tahoma" w:hAnsi="Tahoma" w:cs="Tahoma"/>
            <w:sz w:val="20"/>
            <w:szCs w:val="20"/>
          </w:rPr>
          <w:fldChar w:fldCharType="begin"/>
        </w:r>
        <w:r w:rsidRPr="00722CAC">
          <w:rPr>
            <w:rStyle w:val="slostrnky"/>
            <w:rFonts w:ascii="Tahoma" w:hAnsi="Tahoma" w:cs="Tahoma"/>
            <w:sz w:val="20"/>
            <w:szCs w:val="20"/>
          </w:rPr>
          <w:instrText xml:space="preserve"> PAGE </w:instrText>
        </w:r>
        <w:r w:rsidRPr="00722CAC">
          <w:rPr>
            <w:rStyle w:val="slostrnky"/>
            <w:rFonts w:ascii="Tahoma" w:hAnsi="Tahoma" w:cs="Tahoma"/>
            <w:sz w:val="20"/>
            <w:szCs w:val="20"/>
          </w:rPr>
          <w:fldChar w:fldCharType="separate"/>
        </w:r>
        <w:r w:rsidRPr="00722CAC">
          <w:rPr>
            <w:rStyle w:val="slostrnky"/>
            <w:rFonts w:ascii="Tahoma" w:hAnsi="Tahoma" w:cs="Tahoma"/>
            <w:sz w:val="20"/>
            <w:szCs w:val="20"/>
          </w:rPr>
          <w:t>1</w:t>
        </w:r>
        <w:r w:rsidRPr="00722CAC">
          <w:rPr>
            <w:rStyle w:val="slostrnky"/>
            <w:rFonts w:ascii="Tahoma" w:hAnsi="Tahoma" w:cs="Tahoma"/>
            <w:sz w:val="20"/>
            <w:szCs w:val="20"/>
          </w:rPr>
          <w:fldChar w:fldCharType="end"/>
        </w:r>
      </w:p>
    </w:sdtContent>
  </w:sdt>
  <w:p w14:paraId="32F89ED8" w14:textId="77777777" w:rsidR="0032248A" w:rsidRPr="00722CAC" w:rsidRDefault="0032248A">
    <w:pPr>
      <w:pStyle w:val="Zpat"/>
      <w:ind w:right="360"/>
      <w:rPr>
        <w:rFonts w:ascii="Tahoma" w:hAnsi="Tahoma" w:cs="Tahoma"/>
        <w:sz w:val="20"/>
        <w:szCs w:val="20"/>
      </w:rPr>
    </w:pPr>
    <w:r w:rsidRPr="00722CAC">
      <w:rPr>
        <w:rFonts w:ascii="Tahoma" w:hAnsi="Tahoma" w:cs="Tahoma"/>
        <w:sz w:val="20"/>
        <w:szCs w:val="20"/>
      </w:rPr>
      <w:t xml:space="preserve">Dohoda o narovnání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10993"/>
    <w:multiLevelType w:val="multilevel"/>
    <w:tmpl w:val="0D11099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412EA3"/>
    <w:multiLevelType w:val="multilevel"/>
    <w:tmpl w:val="BB36BD0E"/>
    <w:lvl w:ilvl="0">
      <w:start w:val="1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b w:val="0"/>
        <w:bCs/>
        <w:sz w:val="20"/>
        <w:szCs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C4A690F"/>
    <w:multiLevelType w:val="multilevel"/>
    <w:tmpl w:val="4C4A690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CD1509"/>
    <w:multiLevelType w:val="hybridMultilevel"/>
    <w:tmpl w:val="12FCB92E"/>
    <w:lvl w:ilvl="0" w:tplc="85BC0910">
      <w:start w:val="312"/>
      <w:numFmt w:val="bullet"/>
      <w:lvlText w:val="-"/>
      <w:lvlJc w:val="left"/>
      <w:pPr>
        <w:ind w:left="360" w:hanging="360"/>
      </w:pPr>
      <w:rPr>
        <w:rFonts w:ascii="Tahoma" w:eastAsiaTheme="minorHAnsi" w:hAnsi="Tahoma" w:cs="Tahoma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2097C13"/>
    <w:multiLevelType w:val="multilevel"/>
    <w:tmpl w:val="2BCC9C96"/>
    <w:lvl w:ilvl="0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>
      <w:start w:val="1"/>
      <w:numFmt w:val="lowerLetter"/>
      <w:lvlText w:val="%2)"/>
      <w:lvlJc w:val="left"/>
      <w:pPr>
        <w:ind w:left="785" w:hanging="360"/>
      </w:pPr>
      <w:rPr>
        <w:b w:val="0"/>
        <w:bCs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20149E"/>
    <w:multiLevelType w:val="multilevel"/>
    <w:tmpl w:val="53821472"/>
    <w:lvl w:ilvl="0">
      <w:start w:val="1"/>
      <w:numFmt w:val="decimal"/>
      <w:lvlText w:val="%1."/>
      <w:lvlJc w:val="left"/>
      <w:pPr>
        <w:ind w:left="720" w:hanging="360"/>
      </w:pPr>
      <w:rPr>
        <w:rFonts w:ascii="Tahoma" w:eastAsia="Calibri" w:hAnsi="Tahoma" w:cs="Tahoma"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0">
    <w:multiLevelType w:val="singleLevel"/>
    <w:lvl w:ilvl="0">
      <w:start w:val="1"/>
      <w:numFmt w:val="decimal"/>
      <w:lvlText w:val="%1."/>
      <w:lvlJc w:val="left"/>
      <w:pPr>
        <w:ind w:left="360" w:hanging="360"/>
      </w:pPr>
      <w:rPr>
        <w:rFonts w:ascii="Tahoma" w:hAnsi="Tahoma"/>
        <w:sz w:val="21"/>
        <w:szCs w:val="21"/>
      </w:rPr>
    </w:lvl>
  </w:abstractNum>
  <w:num w:numId="1" w16cid:durableId="165421384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97161364">
    <w:abstractNumId w:val="1"/>
  </w:num>
  <w:num w:numId="3" w16cid:durableId="120209176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977499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027563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37349162">
    <w:abstractNumId w:val="3"/>
  </w:num>
  <w:num w:numId="7">
    <w:abstractNumId w:val="100"/>
    <w:lvlOverride w:ilvl="0">
      <w:startOverride w:val="1"/>
    </w:lvlOverride>
  </w:num>
  <w:num w:numId="8">
    <w:abstractNumId w:val="100"/>
    <w:lvlOverride w:ilvl="0">
      <w:startOverride w:val="1"/>
    </w:lvlOverride>
  </w:num>
  <w:num w:numId="9">
    <w:abstractNumId w:val="100"/>
    <w:lvlOverride w:ilvl="0">
      <w:startOverride w:val="1"/>
    </w:lvlOverride>
  </w:num>
  <w:num w:numId="10">
    <w:abstractNumId w:val="100"/>
    <w:lvlOverride w:ilvl="0">
      <w:startOverride w:val="1"/>
    </w:lvlOverride>
  </w:num>
  <w:num w:numId="11">
    <w:abstractNumId w:val="10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48A"/>
    <w:rsid w:val="001F270E"/>
    <w:rsid w:val="0032248A"/>
    <w:rsid w:val="00595736"/>
    <w:rsid w:val="00740AE3"/>
    <w:rsid w:val="00AF1A2B"/>
    <w:rsid w:val="00E31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437730"/>
  <w15:chartTrackingRefBased/>
  <w15:docId w15:val="{A8EA0C90-AEEF-CE4F-8266-BD4232C7A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32248A"/>
    <w:pPr>
      <w:spacing w:after="200" w:line="276" w:lineRule="auto"/>
    </w:pPr>
    <w:rPr>
      <w:rFonts w:ascii="Calibri" w:eastAsia="Arial Unicode MS" w:hAnsi="Calibri" w:cs="Arial Unicode MS"/>
      <w:color w:val="000000"/>
      <w:kern w:val="0"/>
      <w:sz w:val="22"/>
      <w:szCs w:val="22"/>
      <w:u w:color="000000"/>
      <w:lang w:eastAsia="cs-CZ"/>
      <w14:ligatures w14:val="none"/>
    </w:rPr>
  </w:style>
  <w:style w:type="paragraph" w:styleId="Nadpis1">
    <w:name w:val="heading 1"/>
    <w:basedOn w:val="Normln"/>
    <w:next w:val="Normln"/>
    <w:link w:val="Nadpis1Char"/>
    <w:uiPriority w:val="9"/>
    <w:qFormat/>
    <w:rsid w:val="00322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22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22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22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22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22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22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22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22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22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22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22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2248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2248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2248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2248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2248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2248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22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22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22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22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22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2248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2248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2248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22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2248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2248A"/>
    <w:rPr>
      <w:b/>
      <w:bCs/>
      <w:smallCaps/>
      <w:color w:val="0F4761" w:themeColor="accent1" w:themeShade="BF"/>
      <w:spacing w:val="5"/>
    </w:rPr>
  </w:style>
  <w:style w:type="paragraph" w:styleId="Zpat">
    <w:name w:val="footer"/>
    <w:basedOn w:val="Normln"/>
    <w:link w:val="ZpatChar"/>
    <w:uiPriority w:val="99"/>
    <w:unhideWhenUsed/>
    <w:qFormat/>
    <w:rsid w:val="003224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32248A"/>
    <w:rPr>
      <w:rFonts w:ascii="Calibri" w:eastAsia="Arial Unicode MS" w:hAnsi="Calibri" w:cs="Arial Unicode MS"/>
      <w:color w:val="000000"/>
      <w:kern w:val="0"/>
      <w:sz w:val="22"/>
      <w:szCs w:val="22"/>
      <w:u w:color="000000"/>
      <w:lang w:eastAsia="cs-CZ"/>
      <w14:ligatures w14:val="none"/>
    </w:rPr>
  </w:style>
  <w:style w:type="character" w:styleId="slostrnky">
    <w:name w:val="page number"/>
    <w:basedOn w:val="Standardnpsmoodstavce"/>
    <w:uiPriority w:val="99"/>
    <w:semiHidden/>
    <w:unhideWhenUsed/>
    <w:qFormat/>
    <w:rsid w:val="0032248A"/>
  </w:style>
  <w:style w:type="paragraph" w:styleId="Bezmezer">
    <w:name w:val="No Spacing"/>
    <w:aliases w:val="Calibri"/>
    <w:uiPriority w:val="1"/>
    <w:qFormat/>
    <w:rsid w:val="0032248A"/>
    <w:pPr>
      <w:spacing w:after="0" w:line="240" w:lineRule="auto"/>
    </w:pPr>
    <w:rPr>
      <w:kern w:val="0"/>
      <w14:ligatures w14:val="none"/>
    </w:rPr>
  </w:style>
  <w:style w:type="character" w:customStyle="1" w:styleId="FontStyle16">
    <w:name w:val="Font Style16"/>
    <w:qFormat/>
    <w:rsid w:val="0032248A"/>
    <w:rPr>
      <w:rFonts w:ascii="Tahoma" w:hAnsi="Tahoma" w:cs="Tahoma" w:hint="default"/>
      <w:sz w:val="20"/>
      <w:szCs w:val="20"/>
    </w:rPr>
  </w:style>
  <w:style w:type="character" w:customStyle="1" w:styleId="FontStyle17">
    <w:name w:val="Font Style17"/>
    <w:uiPriority w:val="99"/>
    <w:qFormat/>
    <w:rsid w:val="0032248A"/>
    <w:rPr>
      <w:rFonts w:ascii="Tahoma" w:hAnsi="Tahoma" w:cs="Tahoma" w:hint="default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2.xml"/><Relationship Id="rId11" Type="http://schemas.openxmlformats.org/officeDocument/2006/relationships/customXml" Target="../customXml/item3.xml"/><Relationship Id="rId5" Type="http://schemas.openxmlformats.org/officeDocument/2006/relationships/footer" Target="footer1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99F8EA0AD483446896792C40E20C67F" ma:contentTypeVersion="11" ma:contentTypeDescription="Vytvoří nový dokument" ma:contentTypeScope="" ma:versionID="2c2aff6ff58304068def092aca0dc118">
  <xsd:schema xmlns:xsd="http://www.w3.org/2001/XMLSchema" xmlns:xs="http://www.w3.org/2001/XMLSchema" xmlns:p="http://schemas.microsoft.com/office/2006/metadata/properties" xmlns:ns2="2a8ad10b-3a60-48bf-8d36-f47e2c737a73" xmlns:ns3="82998af8-ed20-48be-8e74-45cf1506079b" targetNamespace="http://schemas.microsoft.com/office/2006/metadata/properties" ma:root="true" ma:fieldsID="01ff3aeeaf91c685d8c583a91e1f2b2c" ns2:_="" ns3:_="">
    <xsd:import namespace="2a8ad10b-3a60-48bf-8d36-f47e2c737a73"/>
    <xsd:import namespace="82998af8-ed20-48be-8e74-45cf150607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8ad10b-3a60-48bf-8d36-f47e2c737a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ac6c8a1f-75f2-4df2-b456-a8fbe191a5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998af8-ed20-48be-8e74-45cf1506079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5861728-8ae0-4fb0-85a2-a4746c650072}" ma:internalName="TaxCatchAll" ma:showField="CatchAllData" ma:web="82998af8-ed20-48be-8e74-45cf150607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a8ad10b-3a60-48bf-8d36-f47e2c737a73">
      <Terms xmlns="http://schemas.microsoft.com/office/infopath/2007/PartnerControls"/>
    </lcf76f155ced4ddcb4097134ff3c332f>
    <TaxCatchAll xmlns="82998af8-ed20-48be-8e74-45cf1506079b" xsi:nil="true"/>
  </documentManagement>
</p:properties>
</file>

<file path=customXml/itemProps1.xml><?xml version="1.0" encoding="utf-8"?>
<ds:datastoreItem xmlns:ds="http://schemas.openxmlformats.org/officeDocument/2006/customXml" ds:itemID="{4B9D192B-2845-43B3-977C-536DDE3EEB6A}"/>
</file>

<file path=customXml/itemProps2.xml><?xml version="1.0" encoding="utf-8"?>
<ds:datastoreItem xmlns:ds="http://schemas.openxmlformats.org/officeDocument/2006/customXml" ds:itemID="{32AB82A5-3B5A-45EA-851D-F20BC76CB03A}"/>
</file>

<file path=customXml/itemProps3.xml><?xml version="1.0" encoding="utf-8"?>
<ds:datastoreItem xmlns:ds="http://schemas.openxmlformats.org/officeDocument/2006/customXml" ds:itemID="{A4D59949-2255-4013-B6AB-834BE456E96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1426</Words>
  <Characters>8419</Characters>
  <Application>Microsoft Office Word</Application>
  <DocSecurity>0</DocSecurity>
  <Lines>70</Lines>
  <Paragraphs>19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 Hanousková</dc:creator>
  <cp:keywords/>
  <dc:description/>
  <cp:lastModifiedBy>Nikola Hanousková</cp:lastModifiedBy>
  <cp:revision>3</cp:revision>
  <dcterms:created xsi:type="dcterms:W3CDTF">2026-06-18T20:24:00Z</dcterms:created>
  <dcterms:modified xsi:type="dcterms:W3CDTF">2026-06-18T20:47:00Z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0x010100699F8EA0AD483446896792C40E20C67F</vt:lpwstr>
  </property>
</Properties>
</file>