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NÁJEMNÍ SMLOUVA K BYTU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uzavřená podle § 2235 a násl. zákona č. 89/2012 Sb., občanský zákoník (dále jen „OZ“),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pronajimatel.radek1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Pronajímatel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najemce.radek1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Nájemce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Předmět nájmu a účel užívání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Pronajímatel přenechává Nájemci k bydlení byt: {{ byt.popis | e }}, v domě {{ byt.dum | e }}, zapsaném na listu vlastnictví {{ byt.lv | e }}, katastrální území a obec {{ byt.katastralni_uzemi | e }} (dále jen „Byt“). Nájemce Byt přijímá do nájmu a zavazuje se hradit sjednané nájemné a zálohy na služby.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S Bytem se přenechává k užívání toto příslušenství a tyto další prostory: {{ byt.prislusenstvi | e }}. Vybavení Bytu: {{ byt.vybaveni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Byt slouží k zajištění bytových potřeb Nájemce a jeho domácnosti. Další členové domácnosti při uzavření smlouvy: {% if domacnost %}{{ domacnost | join('; ') | e }}{% else %}žádné další osoby{% endif %}. Nájemce oznámí změnu počtu osob bez zbytečného odkladu. Práva a povinnosti při přijímání členů domácnosti se řídí § 2272 a § 2273 OZ.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Doba nájmu a předání Bytu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doba.typ == 'urcita'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Nájem se sjednává na dobu určitou od {{ doba.zacatek | e }} do {{ doba.konec | e }} včetně.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Nájem se sjednává na dobu neurčitou od {{ doba.zacatek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Pronajímatel předá Nájemci Byt dne {{ predani | e }} ve stavu způsobilém k nastěhování a obývání. Strany při předání potvrdí stav Bytu, vybavení, měřidel a klíčů v předávacím protokolu tvořícím přílohu této smlouvy.</w:t>
      </w:r>
    </w:p>
    <w:p>
      <w:pPr>
        <w:pStyle w:val="Bezmezer"/>
        <w:spacing w:after="0" w:before="0" w:line="240" w:lineRule="auto"/>
      </w:pPr>
      <w:r>
        <w:br w:type="page"/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Nájemné a služby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Nájemné činí </w:t>
      </w:r>
      <w:r>
        <w:rPr>
          <w:rFonts w:ascii="Tahoma" w:hAnsi="Tahoma"/>
          <w:b/>
          <w:sz w:val="21"/>
        </w:rPr>
        <w:t>{{ najemne | e }} Kč</w:t>
      </w:r>
      <w:r>
        <w:rPr>
          <w:rFonts w:ascii="Tahoma" w:hAnsi="Tahoma"/>
          <w:b w:val="0"/>
          <w:sz w:val="21"/>
        </w:rPr>
        <w:t xml:space="preserve"> měsíčně. Nájemné a zálohy na služby jsou splatné předem na příslušný měsíc, nejpozději do {{ splatnost_slovy | e }} ({{ splatnost_den | e }}.) dne tohoto měsíce, na účet č. {{ ucet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Pronajímatel zajišťuje níže uvedené služby. Měsíční zálohy a pravidla rozúčtování se sjednávají takto: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sluzba in sluzby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sluzba.nazev | e }}: záloha {{ sluzba.zaloha | e }} Kč; rozúčtování: {{ sluzba.rozuctovani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Celková měsíční záloha na služby činí </w:t>
      </w:r>
      <w:r>
        <w:rPr>
          <w:rFonts w:ascii="Tahoma" w:hAnsi="Tahoma"/>
          <w:b/>
          <w:sz w:val="21"/>
        </w:rPr>
        <w:t>{{ zalohy_celkem | e }} Kč</w:t>
      </w:r>
      <w:r>
        <w:rPr>
          <w:rFonts w:ascii="Tahoma" w:hAnsi="Tahoma"/>
          <w:b w:val="0"/>
          <w:sz w:val="21"/>
        </w:rPr>
        <w:t>. Zúčtovací období: {{ zuctovaci_obdobi | e }}. Dodávky, které si Nájemce zajišťuje přímo: {{ prime_dodavky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Služby se vyúčtují podle zákona č. 67/2013 Sb. Pronajímatel doručí vyúčtování nejpozději do čtyř (4) měsíců od skončení zúčtovacího období. Přeplatek i nedoplatek se vypořádají do čtyř (4) měsíců ode dne doručení vyúčtování. Vady vyúčtování neovlivňují splatnost přeplatku; splatnost nedoplatku neovlivňují vady bez vlivu na jeho vypočtenou výši (§ 7 uvedeného zákona). Právo Nájemce na doložení podkladů a uplatnění námitek podle § 8 téhož zákona zůstává zachováno.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Jistota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slozit_jistotu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 xml:space="preserve">Nájemce složí na účet Pronajímatele uvedený v čl. III nejpozději dne {{ splatnost_jistoty | e }} peněžitou jistotu ve výši </w:t>
      </w:r>
      <w:r>
        <w:rPr>
          <w:rFonts w:ascii="Tahoma" w:hAnsi="Tahoma"/>
          <w:b/>
          <w:sz w:val="21"/>
        </w:rPr>
        <w:t>{{ jistota | e }} Kč</w:t>
      </w:r>
      <w:r>
        <w:rPr>
          <w:rFonts w:ascii="Tahoma" w:hAnsi="Tahoma"/>
          <w:b w:val="0"/>
          <w:sz w:val="21"/>
        </w:rPr>
        <w:t xml:space="preserve"> k zajištění povinností z nájmu. Při skončení nájmu Pronajímatel jistotu vrátí a započte si, co mu Nájemce případně z nájmu dluží. Nájemce má právo na úroky z jistoty od jejího poskytnutí alespoň ve výši zákonné sazby podle § 2254 odst. 2 OZ.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Peněžitá jistota se nesjednává.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Smluvní pokuta se touto smlouvou nesjednává.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Údržba, opravy a užívání Bytu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Pronajímatel udržuje Byt a dům ve stavu způsobilém k užívání. Nájemce provádí a hradí pouze běžnou údržbu a drobné opravy ve smyslu § 2257 OZ a nařízení vlády č. 308/2015 Sb., v účinném znění, včetně pravidel pro související opravy a ročního limitu nákladů. Náklady nad zákonný rozsah se na Nájemce nepřenášejí.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Nájemce může přenechat část Bytu do podnájmu bez souhlasu Pronajímatele, pokud v Bytě sám trvale bydlí; § 2272 OZ se použije přiměřeně. Pokud v Bytě sám trvale nebydlí, potřebuje k podnájmu Bytu nebo jeho části písemný souhlas Pronajímatele. Žádost musí být písemná; nevyjádří-li se Pronajímatel do jednoho (1) měsíce, považuje se souhlas za daný. Zákaz podnájmu se touto smlouvou nesjednává (§ 2274 a § 2275 OZ).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Úpravy, přestavby a jiné změny provádí Nájemce se souhlasem Pronajímatele; právo na nahrazení souhlasu soudem v případě podle § 2263 odst. 1 OZ zůstává zachováno. U změny schválené Pronajímatelem strany současně ujednají vypořádání nákladů a požadavek na uvedení do původního stavu při skončení nájmu. Změny Bytu nebo domu prováděné Pronajímatelem se řídí § 2259 OZ.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zvirata %}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Nájemce může v Bytě chovat zvíře, nepůsobí-li chov obtíže nepřiměřené poměrům v domě. Zvýšené náklady na údržbu společných částí domu vyvolané chovem nahradí Pronajímateli (§ 2258 OZ).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br w:type="page"/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Skončení nájmu a odevzdání Bytu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Nájem skončí uplynutím sjednané doby, jde-li o nájem na dobu určitou, dohodou nebo jiným zákonným způsobem. Případné obnovení nájmu se řídí § 2285 OZ. Výpověď musí být písemná a dojít druhé straně; u výpovědi Pronajímatele musí být splněny zákonné podmínky včetně poučení podle § 2286 odst. 2 OZ.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Nájemce při skončení nájmu odevzdá Byt s klíči a umožní Pronajímateli přístup a užívání podle § 2292 OZ; zvláštní lhůta podle § 2291 odst. 1 OZ tím není dotčena. Byt se vrací ve stavu při převzetí s přihlédnutím k běžnému opotřebení a vadám, které má odstranit Pronajímatel; odstranění změn se řídí § 2293 OZ. O stavu Bytu, klíčích a měřidlech strany sepíší protokol.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Nedílnou přílohou je předávací protokol. Změny smlouvy budou zachyceny písemně. Smlouva je vyhotovena ve dvou (2) stejnopisech, po jednom pro každou stranu. Strany potvrzují, že si smlouvu přečetly a souhlasí s jejím obsahem.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pronajimatel.podpis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pronajimatel.podpis_zastupce %}{{ pronajimatel.podpis_zastupce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Pronajímatel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najemce.podpis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najemce.podpis_zastupce %}{{ najemce.podpis_zastupce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Nájemce</w:t>
            </w:r>
          </w:p>
        </w:tc>
      </w:tr>
    </w:tbl>
    <w:p>
      <w:pPr>
        <w:pStyle w:val="Bezmezer"/>
        <w:spacing w:after="0" w:before="0" w:line="240" w:lineRule="auto"/>
      </w:pPr>
      <w:r>
        <w:br w:type="page"/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PŘEDÁVACÍ PROTOKOL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Příloha č. 1 k nájemní smlouvě k Bytu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Pronajímatel: {{ pronajimatel.radek1 | e }}. Nájemce: {{ najemce.radek1 | e }}.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Byt: {{ byt.popis | e }}, dům {{ byt.dum | e }}. Datum předání: {{ protokol.datum | e }}.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Stav a vybavení při předání</w:t>
      </w:r>
    </w:p>
    <w:p>
      <w:pPr>
        <w:pStyle w:val="Bezmezer"/>
        <w:spacing w:after="0" w:before="0" w:line="240" w:lineRule="auto"/>
        <w:jc w:val="both"/>
        <w:numPr>
          <w:ilvl w:val="0"/>
          <w:numId w:val="14"/>
        </w:numPr>
      </w:pPr>
      <w:r>
        <w:rPr>
          <w:rFonts w:ascii="Tahoma" w:hAnsi="Tahoma"/>
          <w:b w:val="0"/>
          <w:sz w:val="21"/>
        </w:rPr>
        <w:t>Stav Bytu: {{ protokol.stav | e }}. Předané vybavení: {{ byt.vybaveni | e }}. Příslušenství: {{ byt.prislusenstvi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14"/>
        </w:numPr>
      </w:pPr>
      <w:r>
        <w:rPr>
          <w:rFonts w:ascii="Tahoma" w:hAnsi="Tahoma"/>
          <w:b w:val="0"/>
          <w:sz w:val="21"/>
        </w:rPr>
        <w:t>Klíče: {{ protokol.klice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meridlo in protokol.meridla %}</w:t>
      </w:r>
    </w:p>
    <w:p>
      <w:pPr>
        <w:pStyle w:val="Bezmezer"/>
        <w:spacing w:after="0" w:before="0" w:line="240" w:lineRule="auto"/>
        <w:jc w:val="both"/>
        <w:numPr>
          <w:ilvl w:val="0"/>
          <w:numId w:val="14"/>
        </w:numPr>
      </w:pPr>
      <w:r>
        <w:rPr>
          <w:rFonts w:ascii="Tahoma" w:hAnsi="Tahoma"/>
          <w:b w:val="0"/>
          <w:sz w:val="21"/>
        </w:rPr>
        <w:t>Měřidlo: {{ meridlo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  <w:numPr>
          <w:ilvl w:val="0"/>
          <w:numId w:val="14"/>
        </w:numPr>
      </w:pPr>
      <w:r>
        <w:rPr>
          <w:rFonts w:ascii="Tahoma" w:hAnsi="Tahoma"/>
          <w:b w:val="0"/>
          <w:sz w:val="21"/>
        </w:rPr>
        <w:t>Zjištěné vady a jejich náprava: {{ protokol.nedostatky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14"/>
        </w:numPr>
      </w:pPr>
      <w:r>
        <w:rPr>
          <w:rFonts w:ascii="Tahoma" w:hAnsi="Tahoma"/>
          <w:b w:val="0"/>
          <w:sz w:val="21"/>
        </w:rPr>
        <w:t>Strany podpisem tohoto protokolu potvrzují předání a převzetí Bytu ve výše popsaném stavu.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rok_predani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pronajimatel.podpis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pronajimatel.podpis_zastupce %}{{ pronajimatel.podpis_zastupce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Pronajímatel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najemce.podpis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najemce.podpis_zastupce %}{{ najemce.podpis_zastupce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Nájemce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Nájemní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  <w:num w:numId="12">
    <w:abstractNumId w:val="100"/>
    <w:lvlOverride w:ilvl="0">
      <w:startOverride w:val="1"/>
    </w:lvlOverride>
  </w:num>
  <w:num w:numId="13">
    <w:abstractNumId w:val="100"/>
    <w:lvlOverride w:ilvl="0">
      <w:startOverride w:val="1"/>
    </w:lvlOverride>
  </w:num>
  <w:num w:numId="14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