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REZERVAČNÍ SMLOUVA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Smlouva</w:t>
      </w:r>
      <w:r>
        <w:rPr>
          <w:rFonts w:ascii="Tahoma" w:hAnsi="Tahoma"/>
          <w:b w:val="0"/>
          <w:sz w:val="21"/>
        </w:rPr>
        <w:t>“) uzavřená podle § 1746 odst. 2 zákona č. 89/2012 Sb., občanský zákoník (dále jen „</w:t>
      </w:r>
      <w:r>
        <w:rPr>
          <w:rFonts w:ascii="Tahoma" w:hAnsi="Tahoma"/>
          <w:b/>
          <w:sz w:val="21"/>
        </w:rPr>
        <w:t>OZ</w:t>
      </w:r>
      <w:r>
        <w:rPr>
          <w:rFonts w:ascii="Tahoma" w:hAnsi="Tahoma"/>
          <w:b w:val="0"/>
          <w:sz w:val="21"/>
        </w:rPr>
        <w:t>“), mezi smluvními stranami: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vlastnik.radek1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vlastnik.radek2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vlastnik.radek3 %}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vlastnik.radek3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vlastnik.radek4 %}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vlastnik.radek4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vlastnik.radek5 %}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vlastnik.radek5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Vlastník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a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zajemce.radek1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zajemce.radek2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zajemce.radek3 %}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zajemce.radek3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zajemce.radek4 %}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zajemce.radek4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zajemce.radek5 %}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zajemce.radek5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Zájemce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 w:val="0"/>
          <w:sz w:val="21"/>
        </w:rPr>
        <w:t>v tomto znění: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Předmět rezervace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Vlastník prohlašuje, že je vlastníkem následující nemovité věci, případně souboru nemovitých věcí nebo podílů vymezených podle listu vlastnictví: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for pol in nemovitost.polozky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pol.odrazka %}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• {{ pol.text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else %}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{{ pol.text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endfor %}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vše {{ nemovitost.ku_text }}, zapsáno u Katastrálního úřadu {{ nemovitost.urad_kraj }}, Katastrální pracoviště {{ nemovitost.pracoviste }} (dále jen „</w:t>
      </w:r>
      <w:r>
        <w:rPr>
          <w:rFonts w:ascii="Tahoma" w:hAnsi="Tahoma"/>
          <w:b/>
          <w:sz w:val="21"/>
        </w:rPr>
        <w:t>Nemovitost</w:t>
      </w:r>
      <w:r>
        <w:rPr>
          <w:rFonts w:ascii="Tahoma" w:hAnsi="Tahoma"/>
          <w:b w:val="0"/>
          <w:sz w:val="21"/>
        </w:rPr>
        <w:t>“).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 xml:space="preserve">Vlastník rezervuje Nemovitost pro jednání se Zájemcem o její koupi za nabídkovou cenu </w:t>
      </w:r>
      <w:r>
        <w:rPr>
          <w:rFonts w:ascii="Tahoma" w:hAnsi="Tahoma"/>
          <w:b/>
          <w:sz w:val="21"/>
        </w:rPr>
        <w:t>{{ rezervace.nabidkova_cena }} Kč</w:t>
      </w:r>
      <w:r>
        <w:rPr>
          <w:rFonts w:ascii="Tahoma" w:hAnsi="Tahoma"/>
          <w:b w:val="0"/>
          <w:sz w:val="21"/>
        </w:rPr>
        <w:t>. Tato Smlouva sama nezakládá povinnost Zájemce ani Vlastníka uzavřít kupní smlouvu nebo smlouvu o smlouvě budoucí kupní.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Doba rezervace a součinnost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Rezervace trvá od {{ rezervace.od }} do {{ rezervace.do }} včetně, nejdříve však od uzavření této Smlouvy. Skončí dřívějším uzavřením kupní smlouvy, písemnou dohodou stran nebo uplynutím sjednané doby. Prodloužení vyžaduje písemnou dohodu stran.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Vlastník po dobu rezervace neuzavře s třetí osobou smlouvu o převodu Nemovitosti ani smlouvu o budoucím převodu či jinou rezervaci a Nemovitost nově nezatíží bez písemného souhlasu Zájemce. Zajistí pozastavení aktivního nabízení Nemovitosti dalším zájemcům.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Vlastník umožní po dohodě prohlídku, poskytne aktuální list vlastnictví a dostupné podklady k právnímu i faktickému stavu Nemovitosti a sdělí známé vady a omezení. Zájemce poskytne pravdivé identifikační údaje a součinnost k prověření Nemovitosti a možností financování. Strany oznámí bez zbytečného odkladu, že v jednání nehodlají pokračovat; tím se nezakládá povinnost Nemovitost koupit.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Rezervační poplatek a jeho vypořádání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 xml:space="preserve">Zájemce uhradí rezervační poplatek ve výši </w:t>
      </w:r>
      <w:r>
        <w:rPr>
          <w:rFonts w:ascii="Tahoma" w:hAnsi="Tahoma"/>
          <w:b/>
          <w:sz w:val="21"/>
        </w:rPr>
        <w:t>{{ poplatek.castka }} Kč</w:t>
      </w:r>
      <w:r>
        <w:rPr>
          <w:rFonts w:ascii="Tahoma" w:hAnsi="Tahoma"/>
          <w:b w:val="0"/>
          <w:sz w:val="21"/>
        </w:rPr>
        <w:t xml:space="preserve"> na účet č. {{ poplatek.ucet }}, příjemce {{ poplatek.prijemce }}, nejpozději dne {{ poplatek.splatnost }}. Příjemcem je Vlastník, který odpovídá za vypořádání poplatku. Poplatek není provizí realitního zprostředkovatele ani závdavkem.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poplatek.osud == "vraceni" %}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Poplatek se nezapočítává na kupní cenu. Vlastník jej vrátí Zájemci v plné výši do sedmi (7) kalendářních dnů od skončení rezervace, a to i tehdy, skončí-li rezervace uzavřením kupní smlouvy.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else %}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Při uzavření kupní smlouvy se poplatek započte na kupní cenu a kupní smlouva jej zohlední jako již uhrazenou část ceny. Nebude-li kupní smlouva uzavřena, Vlastník vrátí poplatek do sedmi (7) kalendářních dnů od skončení rezervace, s výjimkou výslovně sjednané smluvní pokuty v této Smlouvě.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poplatek.osud == "propadnuti" %}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Uvede-li Zájemce úmyslně nepravdivé údaje o své totožnosti nebo oprávnění jednat a tím zmaří účel rezervace, zaplatí Vlastníkovi jednorázovou smluvní pokutu ve výši rezervačního poplatku. Pouhé neuzavření kupní smlouvy, odmítnutí navržených podmínek koupě ani nezískání úvěru nejsou porušením takto utvrzené povinnosti a nezakládají právo ponechat si poplatek.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Poruší-li Vlastník svůj závazek nezcizit, nezatížit nebo nerezervovat Nemovitost třetí osobě podle článku II., zaplatí Zájemci jednorázovou smluvní pokutu ve výši rezervačního poplatku a poplatek vrátí. Smluvní pokuta každé strany je splatná do deseti (10) kalendářních dnů od doručení písemné výzvy popisující porušení. Náhrada škody za totéž porušení se řídí § 2050 OZ; nepřiměřenou pokutu může soud na návrh dlužníka snížit podle § 2051 OZ.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Vlastník může poplatek použít k úhradě smluvní pokuty Zájemce pouze při prokázaném vzniku nároku a po jeho splatnosti, písemným započtením za zákonných podmínek. Poplatek nepropadá automaticky. Není-li nárok na smluvní pokutu dán nebo nejsou-li splněny podmínky započtení, platí povinnost vrátit poplatek v plné výši.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Vrácení poplatku se provede na účet Zájemce č. {{ poplatek.ucet_vraceni }}. Pokud Zájemce poplatek neuhradí ani do pěti (5) kalendářních dnů po doručení písemné výzvy Vlastníka, může Vlastník rezervaci písemně ukončit; později přijatou platbu vrátí do sedmi (7) kalendářních dnů od přijetí.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Vazba na realitní zprostředkování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zprostredkovani.pouzito %}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Při jednání o koupi působí {{ zprostredkovani.zprostredkovatel }}, na základě samostatné smlouvy: {{ zprostredkovani.smlouva }}. Tato Smlouva smlouvu o realitním zprostředkování nenahrazuje, nesjednává provizi ani neopravňuje zprostředkovatele převzít poplatek. Zprostředkovatel není stranou této Smlouvy.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Je-li zájemce o realitní zprostředkování spotřebitelem, nelze mu ve smlouvě o realitním zprostředkování uložit povinnost uzavřít realitní smlouvu ani smlouvu o budoucí realitní smlouvě (§ 14 zákona č. 39/2020 Sb.). Touto rezervací se taková povinnost nesjednává.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else %}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Tato Smlouva upravuje přímou rezervaci mezi Vlastníkem a Zájemcem. Není smlouvou o realitním zprostředkování a nezakládá nárok třetí osoby na provizi nebo na rezervační poplatek.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Závěrečná ustanovení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Změny této Smlouvy vyžadují písemnou dohodu stran. Smlouva je vyhotovena ve dvou (2) stejnopisech, po jednom (1) pro každou stranu. Strany potvrzují, že jejímu obsahu rozumějí a souhlasí s ním, a připojují své podpisy.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V ________________ dne ________ {{ rok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vlastnik.podpis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 if vlastnik.podpis_zastupce %}{{ vlastnik.podpis_zastupce }}{% endif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Vlastník</w:t>
            </w:r>
          </w:p>
        </w:tc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zajemce.podpis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 if zajemce.podpis_zastupce %}{{ zajemce.podpis_zastupce }}{% endif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Zájemce</w:t>
            </w:r>
          </w:p>
        </w:tc>
      </w:tr>
    </w:tbl>
    <w:sectPr w:rsidR="0032248A" w:rsidSect="0032248A">
      <w:footerReference w:type="even" r:id="rId5"/>
      <w:footerReference w:type="default" r:id="rId6"/>
      <w:pgSz w:w="11900" w:h="16840"/>
      <w:pgMar w:top="1235" w:right="1417" w:bottom="139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702252416"/>
    </w:sdtPr>
    <w:sdtContent>
      <w:p w14:paraId="76F9C4E6" w14:textId="77777777" w:rsidR="0032248A" w:rsidRDefault="0032248A">
        <w:pPr>
          <w:pStyle w:val="Zpat"/>
          <w:framePr w:wrap="auto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703A550" w14:textId="77777777" w:rsidR="0032248A" w:rsidRDefault="0032248A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  <w:rFonts w:ascii="Tahoma" w:hAnsi="Tahoma" w:cs="Tahoma"/>
        <w:sz w:val="20"/>
        <w:szCs w:val="20"/>
      </w:rPr>
      <w:id w:val="1882289275"/>
    </w:sdtPr>
    <w:sdtContent>
      <w:p w14:paraId="519DEF78" w14:textId="77777777" w:rsidR="0032248A" w:rsidRPr="00722CAC" w:rsidRDefault="0032248A">
        <w:pPr>
          <w:pStyle w:val="Zpat"/>
          <w:framePr w:wrap="auto" w:vAnchor="text" w:hAnchor="margin" w:xAlign="right" w:y="1"/>
          <w:rPr>
            <w:rStyle w:val="slostrnky"/>
            <w:rFonts w:ascii="Tahoma" w:hAnsi="Tahoma" w:cs="Tahoma"/>
            <w:sz w:val="20"/>
            <w:szCs w:val="20"/>
          </w:rPr>
        </w:pP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begin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instrText xml:space="preserve"> PAGE </w:instrTex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separate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t>1</w: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32F89ED8" w14:textId="77777777" w:rsidR="0032248A" w:rsidRPr="00722CAC" w:rsidRDefault="0032248A">
    <w:pPr>
      <w:pStyle w:val="Zpat"/>
      <w:ind w:right="360"/>
      <w:rPr>
        <w:rFonts w:ascii="Tahoma" w:hAnsi="Tahoma" w:cs="Tahoma"/>
        <w:sz w:val="20"/>
        <w:szCs w:val="20"/>
      </w:rPr>
    </w:pPr>
    <w:r w:rsidRPr="00722CAC">
      <w:rPr>
        <w:rFonts w:ascii="Tahoma" w:hAnsi="Tahoma" w:cs="Tahoma"/>
        <w:sz w:val="20"/>
        <w:szCs w:val="20"/>
      </w:rPr>
      <w:t xml:space="preserve">Rezervační smlouva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993"/>
    <w:multiLevelType w:val="multilevel"/>
    <w:tmpl w:val="0D110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2EA3"/>
    <w:multiLevelType w:val="multilevel"/>
    <w:tmpl w:val="BB36BD0E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 w:val="0"/>
        <w:bCs/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4A690F"/>
    <w:multiLevelType w:val="multilevel"/>
    <w:tmpl w:val="4C4A69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1509"/>
    <w:multiLevelType w:val="hybridMultilevel"/>
    <w:tmpl w:val="12FCB92E"/>
    <w:lvl w:ilvl="0" w:tplc="85BC0910">
      <w:start w:val="312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97C13"/>
    <w:multiLevelType w:val="multilevel"/>
    <w:tmpl w:val="2BCC9C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85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0149E"/>
    <w:multiLevelType w:val="multilevel"/>
    <w:tmpl w:val="53821472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Calibri" w:hAnsi="Tahoma" w:cs="Tahoma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multiLevelType w:val="singleLevel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/>
        <w:sz w:val="21"/>
        <w:szCs w:val="21"/>
      </w:rPr>
    </w:lvl>
  </w:abstractNum>
  <w:num w:numId="1" w16cid:durableId="1654213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161364">
    <w:abstractNumId w:val="1"/>
  </w:num>
  <w:num w:numId="3" w16cid:durableId="120209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7749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2756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9162">
    <w:abstractNumId w:val="3"/>
  </w:num>
  <w:num w:numId="7">
    <w:abstractNumId w:val="100"/>
    <w:lvlOverride w:ilvl="0">
      <w:startOverride w:val="1"/>
    </w:lvlOverride>
  </w:num>
  <w:num w:numId="8">
    <w:abstractNumId w:val="100"/>
    <w:lvlOverride w:ilvl="0">
      <w:startOverride w:val="1"/>
    </w:lvlOverride>
  </w:num>
  <w:num w:numId="9">
    <w:abstractNumId w:val="100"/>
    <w:lvlOverride w:ilvl="0">
      <w:startOverride w:val="1"/>
    </w:lvlOverride>
  </w:num>
  <w:num w:numId="10">
    <w:abstractNumId w:val="100"/>
    <w:lvlOverride w:ilvl="0">
      <w:startOverride w:val="1"/>
    </w:lvlOverride>
  </w:num>
  <w:num w:numId="11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8A"/>
    <w:rsid w:val="001F270E"/>
    <w:rsid w:val="0032248A"/>
    <w:rsid w:val="00595736"/>
    <w:rsid w:val="00740AE3"/>
    <w:rsid w:val="00AF1A2B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37730"/>
  <w15:chartTrackingRefBased/>
  <w15:docId w15:val="{A8EA0C90-AEEF-CE4F-8266-BD4232C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248A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2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2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2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2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2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2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2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2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248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qFormat/>
    <w:rsid w:val="0032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2248A"/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qFormat/>
    <w:rsid w:val="0032248A"/>
  </w:style>
  <w:style w:type="paragraph" w:styleId="Bezmezer">
    <w:name w:val="No Spacing"/>
    <w:aliases w:val="Calibri"/>
    <w:uiPriority w:val="1"/>
    <w:qFormat/>
    <w:rsid w:val="0032248A"/>
    <w:pPr>
      <w:spacing w:after="0" w:line="240" w:lineRule="auto"/>
    </w:pPr>
    <w:rPr>
      <w:kern w:val="0"/>
      <w14:ligatures w14:val="none"/>
    </w:rPr>
  </w:style>
  <w:style w:type="character" w:customStyle="1" w:styleId="FontStyle16">
    <w:name w:val="Font Style16"/>
    <w:qFormat/>
    <w:rsid w:val="0032248A"/>
    <w:rPr>
      <w:rFonts w:ascii="Tahoma" w:hAnsi="Tahoma" w:cs="Tahoma" w:hint="default"/>
      <w:sz w:val="20"/>
      <w:szCs w:val="20"/>
    </w:rPr>
  </w:style>
  <w:style w:type="character" w:customStyle="1" w:styleId="FontStyle17">
    <w:name w:val="Font Style17"/>
    <w:uiPriority w:val="99"/>
    <w:qFormat/>
    <w:rsid w:val="0032248A"/>
    <w:rPr>
      <w:rFonts w:ascii="Tahoma" w:hAnsi="Tahoma" w:cs="Tahoma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9F8EA0AD483446896792C40E20C67F" ma:contentTypeVersion="11" ma:contentTypeDescription="Vytvoří nový dokument" ma:contentTypeScope="" ma:versionID="2c2aff6ff58304068def092aca0dc118">
  <xsd:schema xmlns:xsd="http://www.w3.org/2001/XMLSchema" xmlns:xs="http://www.w3.org/2001/XMLSchema" xmlns:p="http://schemas.microsoft.com/office/2006/metadata/properties" xmlns:ns2="2a8ad10b-3a60-48bf-8d36-f47e2c737a73" xmlns:ns3="82998af8-ed20-48be-8e74-45cf1506079b" targetNamespace="http://schemas.microsoft.com/office/2006/metadata/properties" ma:root="true" ma:fieldsID="01ff3aeeaf91c685d8c583a91e1f2b2c" ns2:_="" ns3:_="">
    <xsd:import namespace="2a8ad10b-3a60-48bf-8d36-f47e2c737a73"/>
    <xsd:import namespace="82998af8-ed20-48be-8e74-45cf15060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ad10b-3a60-48bf-8d36-f47e2c737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c6c8a1f-75f2-4df2-b456-a8fbe191a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8af8-ed20-48be-8e74-45cf150607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861728-8ae0-4fb0-85a2-a4746c650072}" ma:internalName="TaxCatchAll" ma:showField="CatchAllData" ma:web="82998af8-ed20-48be-8e74-45cf15060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ad10b-3a60-48bf-8d36-f47e2c737a73">
      <Terms xmlns="http://schemas.microsoft.com/office/infopath/2007/PartnerControls"/>
    </lcf76f155ced4ddcb4097134ff3c332f>
    <TaxCatchAll xmlns="82998af8-ed20-48be-8e74-45cf1506079b" xsi:nil="true"/>
  </documentManagement>
</p:properties>
</file>

<file path=customXml/itemProps1.xml><?xml version="1.0" encoding="utf-8"?>
<ds:datastoreItem xmlns:ds="http://schemas.openxmlformats.org/officeDocument/2006/customXml" ds:itemID="{4B9D192B-2845-43B3-977C-536DDE3EEB6A}"/>
</file>

<file path=customXml/itemProps2.xml><?xml version="1.0" encoding="utf-8"?>
<ds:datastoreItem xmlns:ds="http://schemas.openxmlformats.org/officeDocument/2006/customXml" ds:itemID="{32AB82A5-3B5A-45EA-851D-F20BC76CB03A}"/>
</file>

<file path=customXml/itemProps3.xml><?xml version="1.0" encoding="utf-8"?>
<ds:datastoreItem xmlns:ds="http://schemas.openxmlformats.org/officeDocument/2006/customXml" ds:itemID="{A4D59949-2255-4013-B6AB-834BE456E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1426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Hanousková</dc:creator>
  <cp:keywords/>
  <dc:description/>
  <cp:lastModifiedBy>Nikola Hanousková</cp:lastModifiedBy>
  <cp:revision>3</cp:revision>
  <dcterms:created xsi:type="dcterms:W3CDTF">2026-06-18T20:24:00Z</dcterms:created>
  <dcterms:modified xsi:type="dcterms:W3CDTF">2026-06-18T20:47:00Z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0x010100699F8EA0AD483446896792C40E20C67F</vt:lpwstr>
  </property>
</Properties>
</file>