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SMLOUVA O POSKYTOVÁNÍ PRÁVNÍCH SLUŽEB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both"/>
      </w:pPr>
      <w:r>
        <w:rPr>
          <w:rFonts w:ascii="Tahoma" w:hAnsi="Tahoma"/>
          <w:b w:val="0"/>
          <w:sz w:val="21"/>
        </w:rPr>
        <w:t>(dále jen „</w:t>
      </w:r>
      <w:r>
        <w:rPr>
          <w:rFonts w:ascii="Tahoma" w:hAnsi="Tahoma"/>
          <w:b/>
          <w:sz w:val="21"/>
        </w:rPr>
        <w:t>Smlouva</w:t>
      </w:r>
      <w:r>
        <w:rPr>
          <w:rFonts w:ascii="Tahoma" w:hAnsi="Tahoma"/>
          <w:b w:val="0"/>
          <w:sz w:val="21"/>
        </w:rPr>
        <w:t>“) uzavřená podle zákona č. 85/1996 Sb., o advokacii (dále jen „ZA“), a podpůrně podle § 2430 a násl. zákona č. 89/2012 Sb., občanského zákoníku, mezi smluvními stranami: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/>
          <w:sz w:val="21"/>
        </w:rPr>
        <w:t>{{ advokat.jmeno }}, advokát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ev. č. ČAK {{ advokat.cak }}, IČO: {{ advokat.ico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se sídlem {{ advokat.sidlo }}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(dále jen „</w:t>
      </w:r>
      <w:r>
        <w:rPr>
          <w:rFonts w:ascii="Tahoma" w:hAnsi="Tahoma"/>
          <w:b/>
          <w:sz w:val="21"/>
        </w:rPr>
        <w:t>Advokát</w:t>
      </w:r>
      <w:r>
        <w:rPr>
          <w:rFonts w:ascii="Tahoma" w:hAnsi="Tahoma"/>
          <w:b w:val="0"/>
          <w:sz w:val="21"/>
        </w:rPr>
        <w:t>“)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/>
          <w:sz w:val="21"/>
        </w:rPr>
        <w:t>a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/>
          <w:sz w:val="21"/>
        </w:rPr>
        <w:t>{{ klient.radek1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klient.radek2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klient.radek3 %}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klient.radek3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klient.radek4 %}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klient.radek4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klient.radek5 %}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klient.radek5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(dále jen „</w:t>
      </w:r>
      <w:r>
        <w:rPr>
          <w:rFonts w:ascii="Tahoma" w:hAnsi="Tahoma"/>
          <w:b/>
          <w:sz w:val="21"/>
        </w:rPr>
        <w:t>Klient</w:t>
      </w:r>
      <w:r>
        <w:rPr>
          <w:rFonts w:ascii="Tahoma" w:hAnsi="Tahoma"/>
          <w:b w:val="0"/>
          <w:sz w:val="21"/>
        </w:rPr>
        <w:t>“)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 w:val="0"/>
          <w:sz w:val="21"/>
        </w:rPr>
        <w:t>v tomto znění: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I.</w:t>
      </w: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Předmět právních služeb</w:t>
      </w:r>
    </w:p>
    <w:p>
      <w:pPr>
        <w:pStyle w:val="Bezmezer"/>
        <w:spacing w:after="0" w:before="0" w:line="240" w:lineRule="auto"/>
        <w:jc w:val="both"/>
        <w:numPr>
          <w:ilvl w:val="0"/>
          <w:numId w:val="7"/>
        </w:numPr>
      </w:pPr>
      <w:r>
        <w:rPr>
          <w:rFonts w:ascii="Tahoma" w:hAnsi="Tahoma"/>
          <w:b w:val="0"/>
          <w:sz w:val="21"/>
        </w:rPr>
        <w:t>Advokát se zavazuje poskytovat Klientovi právní služby v tomto rozsahu: {{ predmet_sluzeb }}. Další služby vyžadují dohodu stran o jejich rozsahu a odměně.</w:t>
      </w:r>
    </w:p>
    <w:p>
      <w:pPr>
        <w:pStyle w:val="Bezmezer"/>
        <w:spacing w:after="0" w:before="0" w:line="240" w:lineRule="auto"/>
        <w:jc w:val="both"/>
        <w:numPr>
          <w:ilvl w:val="0"/>
          <w:numId w:val="7"/>
        </w:numPr>
      </w:pPr>
      <w:r>
        <w:rPr>
          <w:rFonts w:ascii="Tahoma" w:hAnsi="Tahoma"/>
          <w:b w:val="0"/>
          <w:sz w:val="21"/>
        </w:rPr>
        <w:t>Advokát postupuje odborně a svědomitě, chrání oprávněné zájmy Klienta a informuje jej o podstatném vývoji věci. Klient poskytne včas úplné podklady, sdělí známé lhůty a poskytne potřebnou součinnost. Je-li k zastupování potřebná plná moc, udělí ji samostatně.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II.</w:t>
      </w: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Odměna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odmena.zpusob == "hodinova" %}</w:t>
      </w:r>
    </w:p>
    <w:p>
      <w:pPr>
        <w:pStyle w:val="Bezmezer"/>
        <w:spacing w:after="0" w:before="0" w:line="240" w:lineRule="auto"/>
        <w:jc w:val="both"/>
        <w:numPr>
          <w:ilvl w:val="0"/>
          <w:numId w:val="8"/>
        </w:numPr>
      </w:pPr>
      <w:r>
        <w:rPr>
          <w:rFonts w:ascii="Tahoma" w:hAnsi="Tahoma"/>
          <w:b w:val="0"/>
          <w:sz w:val="21"/>
        </w:rPr>
        <w:t xml:space="preserve">Smluvní odměna činí </w:t>
      </w:r>
      <w:r>
        <w:rPr>
          <w:rFonts w:ascii="Tahoma" w:hAnsi="Tahoma"/>
          <w:b/>
          <w:sz w:val="21"/>
        </w:rPr>
        <w:t>{{ odmena.vyse }} Kč</w:t>
      </w:r>
      <w:r>
        <w:rPr>
          <w:rFonts w:ascii="Tahoma" w:hAnsi="Tahoma"/>
          <w:b w:val="0"/>
          <w:sz w:val="21"/>
        </w:rPr>
        <w:t xml:space="preserve"> za jednu (1) hodinu právní práce. Účtuje se podle skutečně odpracovaného času po minutách jako poměrná část hodinové sazby. Advokát přiloží k vyúčtování časovou specifikaci. Na podstatné překročení případného odhadu celkové odměny předem písemně upozorní Klienta (§ 4 advokátního tarifu).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odmena.zpusob == "pausalni" %}</w:t>
      </w:r>
    </w:p>
    <w:p>
      <w:pPr>
        <w:pStyle w:val="Bezmezer"/>
        <w:spacing w:after="0" w:before="0" w:line="240" w:lineRule="auto"/>
        <w:jc w:val="both"/>
        <w:numPr>
          <w:ilvl w:val="0"/>
          <w:numId w:val="8"/>
        </w:numPr>
      </w:pPr>
      <w:r>
        <w:rPr>
          <w:rFonts w:ascii="Tahoma" w:hAnsi="Tahoma"/>
          <w:b w:val="0"/>
          <w:sz w:val="21"/>
        </w:rPr>
        <w:t xml:space="preserve">Smluvní paušální odměna činí </w:t>
      </w:r>
      <w:r>
        <w:rPr>
          <w:rFonts w:ascii="Tahoma" w:hAnsi="Tahoma"/>
          <w:b/>
          <w:sz w:val="21"/>
        </w:rPr>
        <w:t>{{ odmena.vyse }} Kč</w:t>
      </w:r>
      <w:r>
        <w:rPr>
          <w:rFonts w:ascii="Tahoma" w:hAnsi="Tahoma"/>
          <w:b w:val="0"/>
          <w:sz w:val="21"/>
        </w:rPr>
        <w:t xml:space="preserve"> za celý rozsah služeb uvedený v článku I. Nejde o pravidelný měsíční paušál; práce mimo sjednaný rozsah vyžaduje předchozí dohodu stran o odměně.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odmena.zpusob == "ukonova" %}</w:t>
      </w:r>
    </w:p>
    <w:p>
      <w:pPr>
        <w:pStyle w:val="Bezmezer"/>
        <w:spacing w:after="0" w:before="0" w:line="240" w:lineRule="auto"/>
        <w:jc w:val="both"/>
        <w:numPr>
          <w:ilvl w:val="0"/>
          <w:numId w:val="8"/>
        </w:numPr>
      </w:pPr>
      <w:r>
        <w:rPr>
          <w:rFonts w:ascii="Tahoma" w:hAnsi="Tahoma"/>
          <w:b w:val="0"/>
          <w:sz w:val="21"/>
        </w:rPr>
        <w:t xml:space="preserve">Odměna se určuje podle pravidel pro mimosmluvní odměnu dle vyhlášky č. 177/1996 Sb., advokátního tarifu, zejména § 6 a § 11. Sazba za jeden celý úkon při uzavření Smlouvy činí </w:t>
      </w:r>
      <w:r>
        <w:rPr>
          <w:rFonts w:ascii="Tahoma" w:hAnsi="Tahoma"/>
          <w:b/>
          <w:sz w:val="21"/>
        </w:rPr>
        <w:t>{{ odmena.vyse }} Kč</w:t>
      </w:r>
      <w:r>
        <w:rPr>
          <w:rFonts w:ascii="Tahoma" w:hAnsi="Tahoma"/>
          <w:b w:val="0"/>
          <w:sz w:val="21"/>
        </w:rPr>
        <w:t>. Podklad a výpočet sazby: {{ odmena.tarifni_zaklad }}. Rozhoduje počet a druh skutečně provedených úkonů, včetně případných polovičních úkonů; změnu rozhodných tarifních okolností a její dopad na odměnu Advokát Klientovi vysvětlí před dalším úkonem, dovoluje-li to jeho neodkladnost.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  <w:jc w:val="both"/>
        <w:numPr>
          <w:ilvl w:val="0"/>
          <w:numId w:val="8"/>
        </w:numPr>
      </w:pPr>
      <w:r>
        <w:rPr>
          <w:rFonts w:ascii="Tahoma" w:hAnsi="Tahoma"/>
          <w:b w:val="0"/>
          <w:sz w:val="21"/>
        </w:rPr>
        <w:t>Daňový režim sjednaných částek a způsob určení konečné ceny: {{ odmena.dph_text }}. Advokát vyúčtuje odměnu {{ odmena.fakturace }}. Splatnost vyúčtování je čtrnáct (14) dnů od jeho doručení; platební údaje uvede Advokát ve vyúčtování.</w:t>
      </w:r>
    </w:p>
    <w:p>
      <w:pPr>
        <w:pStyle w:val="Bezmezer"/>
        <w:spacing w:after="0" w:before="0" w:line="240" w:lineRule="auto"/>
        <w:jc w:val="both"/>
        <w:numPr>
          <w:ilvl w:val="0"/>
          <w:numId w:val="8"/>
        </w:numPr>
      </w:pPr>
      <w:r>
        <w:rPr>
          <w:rFonts w:ascii="Tahoma" w:hAnsi="Tahoma"/>
          <w:b w:val="0"/>
          <w:sz w:val="21"/>
        </w:rPr>
        <w:t>Náhrada nákladů řízení přiznaná soudem nebo jiným orgánem se určuje podle příslušných pravidel, zpravidla podle mimosmluvní odměny advokátního tarifu. Nemusí odpovídat částce, kterou Klient hradí podle této Smlouvy (§ 1 odst. 2 advokátního tarifu).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III.</w:t>
      </w: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Zálohy a hotové výdaje</w:t>
      </w:r>
    </w:p>
    <w:p>
      <w:pPr>
        <w:pStyle w:val="Bezmezer"/>
        <w:spacing w:after="0" w:before="0" w:line="240" w:lineRule="auto"/>
        <w:jc w:val="both"/>
        <w:numPr>
          <w:ilvl w:val="0"/>
          <w:numId w:val="9"/>
        </w:numPr>
      </w:pPr>
      <w:r>
        <w:rPr>
          <w:rFonts w:ascii="Tahoma" w:hAnsi="Tahoma"/>
          <w:b w:val="0"/>
          <w:sz w:val="21"/>
        </w:rPr>
        <w:t xml:space="preserve">Počáteční záloha na odměnu činí </w:t>
      </w:r>
      <w:r>
        <w:rPr>
          <w:rFonts w:ascii="Tahoma" w:hAnsi="Tahoma"/>
          <w:b/>
          <w:sz w:val="21"/>
        </w:rPr>
        <w:t>{{ zaloha }} Kč</w:t>
      </w:r>
      <w:r>
        <w:rPr>
          <w:rFonts w:ascii="Tahoma" w:hAnsi="Tahoma"/>
          <w:b w:val="0"/>
          <w:sz w:val="21"/>
        </w:rPr>
        <w:t>; je-li nulová, při uzavření Smlouvy se neskládá. Jinak ji Klient uhradí do sedmi (7) dnů od doručení výzvy s platebními údaji. Advokát může požádat o další přiměřenou zálohu podle § 22 ZA. Přijaté zálohy zúčtuje a nevyčerpaný zůstatek vrátí při konečném vyúčtování.</w:t>
      </w:r>
    </w:p>
    <w:p>
      <w:pPr>
        <w:pStyle w:val="Bezmezer"/>
        <w:spacing w:after="0" w:before="0" w:line="240" w:lineRule="auto"/>
        <w:jc w:val="both"/>
        <w:numPr>
          <w:ilvl w:val="0"/>
          <w:numId w:val="9"/>
        </w:numPr>
      </w:pPr>
      <w:r>
        <w:rPr>
          <w:rFonts w:ascii="Tahoma" w:hAnsi="Tahoma"/>
          <w:b w:val="0"/>
          <w:sz w:val="21"/>
        </w:rPr>
        <w:t>Klient vedle odměny nahradí účelně vynaložené a doložené hotové výdaje, zejména soudní a správní poplatky, cestovné a náklady překladů či znaleckých posudků. Strany sjednávají skutečnou náhradu také u výdajů jinak krytých paušálem podle § 13 odst. 4 advokátního tarifu; za stejné výdaje nebude současně účtován paušál. Běžná administrativa je zahrnuta v odměně. Samostatná náhrada za promeškaný čas se nesjednává a Advokát ji nebude účtovat.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IV.</w:t>
      </w: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Mlčenlivost a osobní údaje</w:t>
      </w:r>
    </w:p>
    <w:p>
      <w:pPr>
        <w:pStyle w:val="Bezmezer"/>
        <w:spacing w:after="0" w:before="0" w:line="240" w:lineRule="auto"/>
        <w:jc w:val="both"/>
        <w:numPr>
          <w:ilvl w:val="0"/>
          <w:numId w:val="10"/>
        </w:numPr>
      </w:pPr>
      <w:r>
        <w:rPr>
          <w:rFonts w:ascii="Tahoma" w:hAnsi="Tahoma"/>
          <w:b w:val="0"/>
          <w:sz w:val="21"/>
        </w:rPr>
        <w:t>Advokát zachovává mlčenlivost o skutečnostech zjištěných v souvislosti s právními službami podle § 21 ZA, včetně doby po skončení zastoupení. Zákonné výjimky z mlčenlivosti tím nejsou dotčeny.</w:t>
      </w:r>
    </w:p>
    <w:p>
      <w:pPr>
        <w:pStyle w:val="Bezmezer"/>
        <w:spacing w:after="0" w:before="0" w:line="240" w:lineRule="auto"/>
        <w:jc w:val="both"/>
        <w:numPr>
          <w:ilvl w:val="0"/>
          <w:numId w:val="10"/>
        </w:numPr>
      </w:pPr>
      <w:r>
        <w:rPr>
          <w:rFonts w:ascii="Tahoma" w:hAnsi="Tahoma"/>
          <w:b w:val="0"/>
          <w:sz w:val="21"/>
        </w:rPr>
        <w:t>Advokát zpracovává osobní údaje v nezbytném rozsahu pro poskytování právních služeb, plnění zákonných povinností a ochranu práv, v souladu s nařízením (EU) 2016/679 (GDPR). Informace o účelech, právních základech, příjemcích, době uchování a právech subjektů údajů jsou Klientovi poskytnuty tímto způsobem: {{ gdpr_informace }}. Smlouva nezakládá souhlas s marketingem.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ai_dolozka %}</w:t>
      </w:r>
    </w:p>
    <w:p>
      <w:pPr>
        <w:pStyle w:val="Bezmezer"/>
        <w:spacing w:after="0" w:before="0" w:line="240" w:lineRule="auto"/>
        <w:jc w:val="both"/>
        <w:numPr>
          <w:ilvl w:val="0"/>
          <w:numId w:val="10"/>
        </w:numPr>
      </w:pPr>
      <w:r>
        <w:rPr>
          <w:rFonts w:ascii="Tahoma" w:hAnsi="Tahoma"/>
          <w:b w:val="0"/>
          <w:sz w:val="21"/>
        </w:rPr>
        <w:t>Advokát smí při přípravě dokumentů používat nástroje umělé inteligence pod svým dohledem. Výstupy ověří a za obsah poskytnuté právní služby odpovídá Advokát. Údaje Klienta zpracuje v souladu s GDPR a povinností mlčenlivosti; před použitím konkrétního nástroje posoudí jeho podmínky a ochranu údajů a použije jen nezbytné údaje, přednostně anonymizované. Toto ujednání není zproštěním mlčenlivosti ani obecným souhlasem k předávání údajů libovolnému poskytovateli AI.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V.</w:t>
      </w: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Ukončení právních služeb</w:t>
      </w:r>
    </w:p>
    <w:p>
      <w:pPr>
        <w:pStyle w:val="Bezmezer"/>
        <w:spacing w:after="0" w:before="0" w:line="240" w:lineRule="auto"/>
        <w:jc w:val="both"/>
        <w:numPr>
          <w:ilvl w:val="0"/>
          <w:numId w:val="11"/>
        </w:numPr>
      </w:pPr>
      <w:r>
        <w:rPr>
          <w:rFonts w:ascii="Tahoma" w:hAnsi="Tahoma"/>
          <w:b w:val="0"/>
          <w:sz w:val="21"/>
        </w:rPr>
        <w:t>Klient může Smlouvu kdykoliv vypovědět i bez uvedení důvodu. Advokát Smlouvu vypoví nebo může vypovědět pouze za podmínek § 20 ZA. Strany nesjednávají výpovědní dobu; výpověď je účinná jejím doručením druhé straně.</w:t>
      </w:r>
    </w:p>
    <w:p>
      <w:pPr>
        <w:pStyle w:val="Bezmezer"/>
        <w:spacing w:after="0" w:before="0" w:line="240" w:lineRule="auto"/>
        <w:jc w:val="both"/>
        <w:numPr>
          <w:ilvl w:val="0"/>
          <w:numId w:val="11"/>
        </w:numPr>
      </w:pPr>
      <w:r>
        <w:rPr>
          <w:rFonts w:ascii="Tahoma" w:hAnsi="Tahoma"/>
          <w:b w:val="0"/>
          <w:sz w:val="21"/>
        </w:rPr>
        <w:t>Po skončení Smlouvy činí Advokát po dobu patnácti (15) dnů neodkladné úkony k ochraně práv a oprávněných zájmů Klienta podle § 20 odst. 6 ZA. Tato povinnost se neuplatní v rozsahu jiné dohody s Klientem, jiného opatření Klienta nebo jeho sdělení, že na ní netrvá.</w:t>
      </w:r>
    </w:p>
    <w:p>
      <w:pPr>
        <w:pStyle w:val="Bezmezer"/>
        <w:spacing w:after="0" w:before="0" w:line="240" w:lineRule="auto"/>
        <w:jc w:val="both"/>
        <w:numPr>
          <w:ilvl w:val="0"/>
          <w:numId w:val="11"/>
        </w:numPr>
      </w:pPr>
      <w:r>
        <w:rPr>
          <w:rFonts w:ascii="Tahoma" w:hAnsi="Tahoma"/>
          <w:b w:val="0"/>
          <w:sz w:val="21"/>
        </w:rPr>
        <w:t>Advokát vyúčtuje dosavadní služby a výdaje a na žádost předá Klientovi nebo jeho zástupci bez zbytečného odkladu pro věc významné písemnosti; jejich vydání nepodmíní zaplacením odměny nebo výdajů.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VI.</w:t>
      </w: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Mimosoudní řešení spotřebitelských sporů</w:t>
      </w:r>
    </w:p>
    <w:p>
      <w:pPr>
        <w:pStyle w:val="Bezmezer"/>
        <w:spacing w:after="0" w:before="0" w:line="240" w:lineRule="auto"/>
        <w:jc w:val="both"/>
        <w:numPr>
          <w:ilvl w:val="0"/>
          <w:numId w:val="12"/>
        </w:numPr>
      </w:pPr>
      <w:r>
        <w:rPr>
          <w:rFonts w:ascii="Tahoma" w:hAnsi="Tahoma"/>
          <w:b w:val="0"/>
          <w:sz w:val="21"/>
        </w:rPr>
        <w:t>Je-li Klient spotřebitelem, může se při sporu ze Smlouvy, který se nepodařilo urovnat přímo s Advokátem, obrátit s návrhem na mimosoudní řešení na Českou advokátní komoru, Národní 16, 110 00 Praha 1, internetová adresa https://www.cak.cz. Informace a formulář jsou na https://www.cak.cz/pro-verejnost-detail?section=mimosoudni-reseni-spotrebitelskych-sporu. ČAK je pověřeným subjektem podle § 20e písm. d) zákona č. 634/1992 Sb., o ochraně spotřebitele; tato informace se poskytuje podle § 14 téhož zákona.</w:t>
      </w:r>
    </w:p>
    <w:p>
      <w:pPr>
        <w:pStyle w:val="Bezmezer"/>
        <w:spacing w:after="0" w:before="0" w:line="240" w:lineRule="auto"/>
        <w:jc w:val="both"/>
        <w:numPr>
          <w:ilvl w:val="0"/>
          <w:numId w:val="12"/>
        </w:numPr>
      </w:pPr>
      <w:r>
        <w:rPr>
          <w:rFonts w:ascii="Tahoma" w:hAnsi="Tahoma"/>
          <w:b w:val="0"/>
          <w:sz w:val="21"/>
        </w:rPr>
        <w:t>Využitím mimosoudního postupu není dotčeno právo Klienta obrátit se na soud. Při neúspěšném přímém řešení sporu poskytne Advokát spotřebiteli informaci o příslušném subjektu též v listinné podobě nebo na jiném trvalém nosiči dat.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VII.</w:t>
      </w: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Závěrečná ustanovení</w:t>
      </w:r>
    </w:p>
    <w:p>
      <w:pPr>
        <w:pStyle w:val="Bezmezer"/>
        <w:spacing w:after="0" w:before="0" w:line="240" w:lineRule="auto"/>
        <w:jc w:val="both"/>
        <w:numPr>
          <w:ilvl w:val="0"/>
          <w:numId w:val="13"/>
        </w:numPr>
      </w:pPr>
      <w:r>
        <w:rPr>
          <w:rFonts w:ascii="Tahoma" w:hAnsi="Tahoma"/>
          <w:b w:val="0"/>
          <w:sz w:val="21"/>
        </w:rPr>
        <w:t>Smlouva nabývá účinnosti podpisem obou stran. Změny rozsahu služeb a odměny strany potvrdí písemně. Smlouva je vyhotovena ve dvou (2) stejnopisech, po jednom pro každou stranu. Strany si ji přečetly, rozumějí jejímu obsahu a souhlas stvrzují podpisy.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V ________________ dne ________ {{ rok }}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_______________________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/>
                <w:sz w:val="21"/>
              </w:rPr>
              <w:t>{{ advokat.jmeno }}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Advokát</w:t>
            </w:r>
          </w:p>
        </w:tc>
        <w:tc>
          <w:tcPr>
            <w:tcW w:type="dxa" w:w="4533"/>
          </w:tcPr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_______________________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/>
                <w:sz w:val="21"/>
              </w:rPr>
              <w:t>{{ klient.podpis }}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{%p if klient.podpis_zastupce %}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{{ klient.podpis_zastupce }}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{%p endif %}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Klient</w:t>
            </w:r>
          </w:p>
        </w:tc>
      </w:tr>
    </w:tbl>
    <w:sectPr w:rsidR="0032248A" w:rsidSect="0032248A">
      <w:footerReference w:type="even" r:id="rId5"/>
      <w:footerReference w:type="default" r:id="rId6"/>
      <w:pgSz w:w="11900" w:h="16840"/>
      <w:pgMar w:top="1235" w:right="1417" w:bottom="1392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702252416"/>
    </w:sdtPr>
    <w:sdtContent>
      <w:p w14:paraId="76F9C4E6" w14:textId="77777777" w:rsidR="0032248A" w:rsidRDefault="0032248A">
        <w:pPr>
          <w:pStyle w:val="Zpat"/>
          <w:framePr w:wrap="auto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end"/>
        </w:r>
      </w:p>
    </w:sdtContent>
  </w:sdt>
  <w:p w14:paraId="6703A550" w14:textId="77777777" w:rsidR="0032248A" w:rsidRDefault="0032248A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  <w:rFonts w:ascii="Tahoma" w:hAnsi="Tahoma" w:cs="Tahoma"/>
        <w:sz w:val="20"/>
        <w:szCs w:val="20"/>
      </w:rPr>
      <w:id w:val="1882289275"/>
    </w:sdtPr>
    <w:sdtContent>
      <w:p w14:paraId="519DEF78" w14:textId="77777777" w:rsidR="0032248A" w:rsidRPr="00722CAC" w:rsidRDefault="0032248A">
        <w:pPr>
          <w:pStyle w:val="Zpat"/>
          <w:framePr w:wrap="auto" w:vAnchor="text" w:hAnchor="margin" w:xAlign="right" w:y="1"/>
          <w:rPr>
            <w:rStyle w:val="slostrnky"/>
            <w:rFonts w:ascii="Tahoma" w:hAnsi="Tahoma" w:cs="Tahoma"/>
            <w:sz w:val="20"/>
            <w:szCs w:val="20"/>
          </w:rPr>
        </w:pPr>
        <w:r w:rsidRPr="00722CAC">
          <w:rPr>
            <w:rStyle w:val="slostrnky"/>
            <w:rFonts w:ascii="Tahoma" w:hAnsi="Tahoma" w:cs="Tahoma"/>
            <w:sz w:val="20"/>
            <w:szCs w:val="20"/>
          </w:rPr>
          <w:fldChar w:fldCharType="begin"/>
        </w:r>
        <w:r w:rsidRPr="00722CAC">
          <w:rPr>
            <w:rStyle w:val="slostrnky"/>
            <w:rFonts w:ascii="Tahoma" w:hAnsi="Tahoma" w:cs="Tahoma"/>
            <w:sz w:val="20"/>
            <w:szCs w:val="20"/>
          </w:rPr>
          <w:instrText xml:space="preserve"> PAGE </w:instrText>
        </w:r>
        <w:r w:rsidRPr="00722CAC">
          <w:rPr>
            <w:rStyle w:val="slostrnky"/>
            <w:rFonts w:ascii="Tahoma" w:hAnsi="Tahoma" w:cs="Tahoma"/>
            <w:sz w:val="20"/>
            <w:szCs w:val="20"/>
          </w:rPr>
          <w:fldChar w:fldCharType="separate"/>
        </w:r>
        <w:r w:rsidRPr="00722CAC">
          <w:rPr>
            <w:rStyle w:val="slostrnky"/>
            <w:rFonts w:ascii="Tahoma" w:hAnsi="Tahoma" w:cs="Tahoma"/>
            <w:sz w:val="20"/>
            <w:szCs w:val="20"/>
          </w:rPr>
          <w:t>1</w:t>
        </w:r>
        <w:r w:rsidRPr="00722CAC">
          <w:rPr>
            <w:rStyle w:val="slostrnky"/>
            <w:rFonts w:ascii="Tahoma" w:hAnsi="Tahoma" w:cs="Tahoma"/>
            <w:sz w:val="20"/>
            <w:szCs w:val="20"/>
          </w:rPr>
          <w:fldChar w:fldCharType="end"/>
        </w:r>
      </w:p>
    </w:sdtContent>
  </w:sdt>
  <w:p w14:paraId="32F89ED8" w14:textId="77777777" w:rsidR="0032248A" w:rsidRPr="00722CAC" w:rsidRDefault="0032248A">
    <w:pPr>
      <w:pStyle w:val="Zpat"/>
      <w:ind w:right="360"/>
      <w:rPr>
        <w:rFonts w:ascii="Tahoma" w:hAnsi="Tahoma" w:cs="Tahoma"/>
        <w:sz w:val="20"/>
        <w:szCs w:val="20"/>
      </w:rPr>
    </w:pPr>
    <w:r w:rsidRPr="00722CAC">
      <w:rPr>
        <w:rFonts w:ascii="Tahoma" w:hAnsi="Tahoma" w:cs="Tahoma"/>
        <w:sz w:val="20"/>
        <w:szCs w:val="20"/>
      </w:rPr>
      <w:t xml:space="preserve">Smlouva o poskytování právních služeb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10993"/>
    <w:multiLevelType w:val="multilevel"/>
    <w:tmpl w:val="0D11099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412EA3"/>
    <w:multiLevelType w:val="multilevel"/>
    <w:tmpl w:val="BB36BD0E"/>
    <w:lvl w:ilvl="0">
      <w:start w:val="1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b w:val="0"/>
        <w:bCs/>
        <w:sz w:val="20"/>
        <w:szCs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C4A690F"/>
    <w:multiLevelType w:val="multilevel"/>
    <w:tmpl w:val="4C4A690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CD1509"/>
    <w:multiLevelType w:val="hybridMultilevel"/>
    <w:tmpl w:val="12FCB92E"/>
    <w:lvl w:ilvl="0" w:tplc="85BC0910">
      <w:start w:val="312"/>
      <w:numFmt w:val="bullet"/>
      <w:lvlText w:val="-"/>
      <w:lvlJc w:val="left"/>
      <w:pPr>
        <w:ind w:left="360" w:hanging="360"/>
      </w:pPr>
      <w:rPr>
        <w:rFonts w:ascii="Tahoma" w:eastAsiaTheme="minorHAnsi" w:hAnsi="Tahoma" w:cs="Tahoma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2097C13"/>
    <w:multiLevelType w:val="multilevel"/>
    <w:tmpl w:val="2BCC9C96"/>
    <w:lvl w:ilvl="0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>
      <w:start w:val="1"/>
      <w:numFmt w:val="lowerLetter"/>
      <w:lvlText w:val="%2)"/>
      <w:lvlJc w:val="left"/>
      <w:pPr>
        <w:ind w:left="785" w:hanging="360"/>
      </w:pPr>
      <w:rPr>
        <w:b w:val="0"/>
        <w:bCs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20149E"/>
    <w:multiLevelType w:val="multilevel"/>
    <w:tmpl w:val="53821472"/>
    <w:lvl w:ilvl="0">
      <w:start w:val="1"/>
      <w:numFmt w:val="decimal"/>
      <w:lvlText w:val="%1."/>
      <w:lvlJc w:val="left"/>
      <w:pPr>
        <w:ind w:left="720" w:hanging="360"/>
      </w:pPr>
      <w:rPr>
        <w:rFonts w:ascii="Tahoma" w:eastAsia="Calibri" w:hAnsi="Tahoma" w:cs="Tahoma"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0">
    <w:multiLevelType w:val="singleLevel"/>
    <w:lvl w:ilvl="0">
      <w:start w:val="1"/>
      <w:numFmt w:val="decimal"/>
      <w:lvlText w:val="%1."/>
      <w:lvlJc w:val="left"/>
      <w:pPr>
        <w:ind w:left="360" w:hanging="360"/>
      </w:pPr>
      <w:rPr>
        <w:rFonts w:ascii="Tahoma" w:hAnsi="Tahoma"/>
        <w:sz w:val="21"/>
        <w:szCs w:val="21"/>
      </w:rPr>
    </w:lvl>
  </w:abstractNum>
  <w:num w:numId="1" w16cid:durableId="165421384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97161364">
    <w:abstractNumId w:val="1"/>
  </w:num>
  <w:num w:numId="3" w16cid:durableId="120209176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977499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027563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37349162">
    <w:abstractNumId w:val="3"/>
  </w:num>
  <w:num w:numId="7">
    <w:abstractNumId w:val="100"/>
    <w:lvlOverride w:ilvl="0">
      <w:startOverride w:val="1"/>
    </w:lvlOverride>
  </w:num>
  <w:num w:numId="8">
    <w:abstractNumId w:val="100"/>
    <w:lvlOverride w:ilvl="0">
      <w:startOverride w:val="1"/>
    </w:lvlOverride>
  </w:num>
  <w:num w:numId="9">
    <w:abstractNumId w:val="100"/>
    <w:lvlOverride w:ilvl="0">
      <w:startOverride w:val="1"/>
    </w:lvlOverride>
  </w:num>
  <w:num w:numId="10">
    <w:abstractNumId w:val="100"/>
    <w:lvlOverride w:ilvl="0">
      <w:startOverride w:val="1"/>
    </w:lvlOverride>
  </w:num>
  <w:num w:numId="11">
    <w:abstractNumId w:val="100"/>
    <w:lvlOverride w:ilvl="0">
      <w:startOverride w:val="1"/>
    </w:lvlOverride>
  </w:num>
  <w:num w:numId="12">
    <w:abstractNumId w:val="100"/>
    <w:lvlOverride w:ilvl="0">
      <w:startOverride w:val="1"/>
    </w:lvlOverride>
  </w:num>
  <w:num w:numId="13">
    <w:abstractNumId w:val="1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48A"/>
    <w:rsid w:val="001F270E"/>
    <w:rsid w:val="0032248A"/>
    <w:rsid w:val="00595736"/>
    <w:rsid w:val="00740AE3"/>
    <w:rsid w:val="00AF1A2B"/>
    <w:rsid w:val="00E31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437730"/>
  <w15:chartTrackingRefBased/>
  <w15:docId w15:val="{A8EA0C90-AEEF-CE4F-8266-BD4232C7A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32248A"/>
    <w:pPr>
      <w:spacing w:after="200" w:line="276" w:lineRule="auto"/>
    </w:pPr>
    <w:rPr>
      <w:rFonts w:ascii="Calibri" w:eastAsia="Arial Unicode MS" w:hAnsi="Calibri" w:cs="Arial Unicode MS"/>
      <w:color w:val="000000"/>
      <w:kern w:val="0"/>
      <w:sz w:val="22"/>
      <w:szCs w:val="22"/>
      <w:u w:color="000000"/>
      <w:lang w:eastAsia="cs-CZ"/>
      <w14:ligatures w14:val="none"/>
    </w:rPr>
  </w:style>
  <w:style w:type="paragraph" w:styleId="Nadpis1">
    <w:name w:val="heading 1"/>
    <w:basedOn w:val="Normln"/>
    <w:next w:val="Normln"/>
    <w:link w:val="Nadpis1Char"/>
    <w:uiPriority w:val="9"/>
    <w:qFormat/>
    <w:rsid w:val="00322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22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22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22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22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22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22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22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22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22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22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22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2248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2248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2248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2248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2248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2248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22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22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22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22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22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2248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2248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2248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22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2248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2248A"/>
    <w:rPr>
      <w:b/>
      <w:bCs/>
      <w:smallCaps/>
      <w:color w:val="0F4761" w:themeColor="accent1" w:themeShade="BF"/>
      <w:spacing w:val="5"/>
    </w:rPr>
  </w:style>
  <w:style w:type="paragraph" w:styleId="Zpat">
    <w:name w:val="footer"/>
    <w:basedOn w:val="Normln"/>
    <w:link w:val="ZpatChar"/>
    <w:uiPriority w:val="99"/>
    <w:unhideWhenUsed/>
    <w:qFormat/>
    <w:rsid w:val="003224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32248A"/>
    <w:rPr>
      <w:rFonts w:ascii="Calibri" w:eastAsia="Arial Unicode MS" w:hAnsi="Calibri" w:cs="Arial Unicode MS"/>
      <w:color w:val="000000"/>
      <w:kern w:val="0"/>
      <w:sz w:val="22"/>
      <w:szCs w:val="22"/>
      <w:u w:color="000000"/>
      <w:lang w:eastAsia="cs-CZ"/>
      <w14:ligatures w14:val="none"/>
    </w:rPr>
  </w:style>
  <w:style w:type="character" w:styleId="slostrnky">
    <w:name w:val="page number"/>
    <w:basedOn w:val="Standardnpsmoodstavce"/>
    <w:uiPriority w:val="99"/>
    <w:semiHidden/>
    <w:unhideWhenUsed/>
    <w:qFormat/>
    <w:rsid w:val="0032248A"/>
  </w:style>
  <w:style w:type="paragraph" w:styleId="Bezmezer">
    <w:name w:val="No Spacing"/>
    <w:aliases w:val="Calibri"/>
    <w:uiPriority w:val="1"/>
    <w:qFormat/>
    <w:rsid w:val="0032248A"/>
    <w:pPr>
      <w:spacing w:after="0" w:line="240" w:lineRule="auto"/>
    </w:pPr>
    <w:rPr>
      <w:kern w:val="0"/>
      <w14:ligatures w14:val="none"/>
    </w:rPr>
  </w:style>
  <w:style w:type="character" w:customStyle="1" w:styleId="FontStyle16">
    <w:name w:val="Font Style16"/>
    <w:qFormat/>
    <w:rsid w:val="0032248A"/>
    <w:rPr>
      <w:rFonts w:ascii="Tahoma" w:hAnsi="Tahoma" w:cs="Tahoma" w:hint="default"/>
      <w:sz w:val="20"/>
      <w:szCs w:val="20"/>
    </w:rPr>
  </w:style>
  <w:style w:type="character" w:customStyle="1" w:styleId="FontStyle17">
    <w:name w:val="Font Style17"/>
    <w:uiPriority w:val="99"/>
    <w:qFormat/>
    <w:rsid w:val="0032248A"/>
    <w:rPr>
      <w:rFonts w:ascii="Tahoma" w:hAnsi="Tahoma" w:cs="Tahoma" w:hint="default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11" Type="http://schemas.openxmlformats.org/officeDocument/2006/relationships/customXml" Target="../customXml/item3.xml"/><Relationship Id="rId5" Type="http://schemas.openxmlformats.org/officeDocument/2006/relationships/footer" Target="footer1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99F8EA0AD483446896792C40E20C67F" ma:contentTypeVersion="11" ma:contentTypeDescription="Vytvoří nový dokument" ma:contentTypeScope="" ma:versionID="2c2aff6ff58304068def092aca0dc118">
  <xsd:schema xmlns:xsd="http://www.w3.org/2001/XMLSchema" xmlns:xs="http://www.w3.org/2001/XMLSchema" xmlns:p="http://schemas.microsoft.com/office/2006/metadata/properties" xmlns:ns2="2a8ad10b-3a60-48bf-8d36-f47e2c737a73" xmlns:ns3="82998af8-ed20-48be-8e74-45cf1506079b" targetNamespace="http://schemas.microsoft.com/office/2006/metadata/properties" ma:root="true" ma:fieldsID="01ff3aeeaf91c685d8c583a91e1f2b2c" ns2:_="" ns3:_="">
    <xsd:import namespace="2a8ad10b-3a60-48bf-8d36-f47e2c737a73"/>
    <xsd:import namespace="82998af8-ed20-48be-8e74-45cf150607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8ad10b-3a60-48bf-8d36-f47e2c737a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ac6c8a1f-75f2-4df2-b456-a8fbe191a5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998af8-ed20-48be-8e74-45cf1506079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5861728-8ae0-4fb0-85a2-a4746c650072}" ma:internalName="TaxCatchAll" ma:showField="CatchAllData" ma:web="82998af8-ed20-48be-8e74-45cf150607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a8ad10b-3a60-48bf-8d36-f47e2c737a73">
      <Terms xmlns="http://schemas.microsoft.com/office/infopath/2007/PartnerControls"/>
    </lcf76f155ced4ddcb4097134ff3c332f>
    <TaxCatchAll xmlns="82998af8-ed20-48be-8e74-45cf1506079b" xsi:nil="true"/>
  </documentManagement>
</p:properties>
</file>

<file path=customXml/itemProps1.xml><?xml version="1.0" encoding="utf-8"?>
<ds:datastoreItem xmlns:ds="http://schemas.openxmlformats.org/officeDocument/2006/customXml" ds:itemID="{4B9D192B-2845-43B3-977C-536DDE3EEB6A}"/>
</file>

<file path=customXml/itemProps2.xml><?xml version="1.0" encoding="utf-8"?>
<ds:datastoreItem xmlns:ds="http://schemas.openxmlformats.org/officeDocument/2006/customXml" ds:itemID="{32AB82A5-3B5A-45EA-851D-F20BC76CB03A}"/>
</file>

<file path=customXml/itemProps3.xml><?xml version="1.0" encoding="utf-8"?>
<ds:datastoreItem xmlns:ds="http://schemas.openxmlformats.org/officeDocument/2006/customXml" ds:itemID="{A4D59949-2255-4013-B6AB-834BE456E96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1426</Words>
  <Characters>8419</Characters>
  <Application>Microsoft Office Word</Application>
  <DocSecurity>0</DocSecurity>
  <Lines>70</Lines>
  <Paragraphs>19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 Hanousková</dc:creator>
  <cp:keywords/>
  <dc:description/>
  <cp:lastModifiedBy>Nikola Hanousková</cp:lastModifiedBy>
  <cp:revision>3</cp:revision>
  <dcterms:created xsi:type="dcterms:W3CDTF">2026-06-18T20:24:00Z</dcterms:created>
  <dcterms:modified xsi:type="dcterms:W3CDTF">2026-06-18T20:47:00Z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0x010100699F8EA0AD483446896792C40E20C67F</vt:lpwstr>
  </property>
</Properties>
</file>