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ZÁSTAVNÍ SMLOUVA K NEMOVITOSTI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Smlouva</w:t>
      </w:r>
      <w:r>
        <w:rPr>
          <w:rFonts w:ascii="Tahoma" w:hAnsi="Tahoma"/>
          <w:b w:val="0"/>
          <w:sz w:val="21"/>
        </w:rPr>
        <w:t>“) uzavřená podle ustanovení § 1309 a násl. zákona č. 89/2012 Sb., občanského zákoníku (dále jen „OZ“), mezi smluvními stranami: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veritel.radek1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veritel.radek3 %}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veritel.radek4 %}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veritel.radek4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veritel.radek5 %}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veritel.radek5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Zástavní věřitel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a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zastavce.radek1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zastavce.radek2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zastavce.radek3 %}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zastavce.radek3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zastavce.radek4 %}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zastavce.radek4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zastavce.radek5 %}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zastavce.radek5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Zástavce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 w:val="0"/>
          <w:sz w:val="21"/>
        </w:rPr>
        <w:t>v tomto znění: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Zajišťovaný dluh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zastavce_je_dluznik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Osobním dlužníkem zajišťovaného dluhu je Zástavce (dále jen „Dlužník“).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Osobním dlužníkem zajišťovaného dluhu je níže označená osoba (dále jen „Dlužník“). Dlužník není stranou této Smlouvy; Zástavce touto Smlouvou nepřebírá jeho osobní dluh ani ručitelský závazek.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/>
          <w:sz w:val="21"/>
        </w:rPr>
        <w:t>{{ dluznik.radek1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dluznik.radek2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dluznik.radek3 %}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dluznik.radek3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dluznik.radek4 %}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dluznik.radek4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dluznik.radek5 %}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{{ dluznik.radek5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(dále jen „</w:t>
      </w:r>
      <w:r>
        <w:rPr>
          <w:rFonts w:ascii="Tahoma" w:hAnsi="Tahoma"/>
          <w:b/>
          <w:sz w:val="21"/>
        </w:rPr>
        <w:t>Dlužník</w:t>
      </w:r>
      <w:r>
        <w:rPr>
          <w:rFonts w:ascii="Tahoma" w:hAnsi="Tahoma"/>
          <w:b w:val="0"/>
          <w:sz w:val="21"/>
        </w:rPr>
        <w:t>“)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dluh.rezim == "existujici"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Zástavním právem se zajišťuje peněžitý dluh Dlužníka vůči Zástavnímu věřiteli z tohoto právního důvodu: {{ dluh.duvod }}. Jistina činí </w:t>
      </w:r>
      <w:r>
        <w:rPr>
          <w:rFonts w:ascii="Tahoma" w:hAnsi="Tahoma"/>
          <w:b/>
          <w:sz w:val="21"/>
        </w:rPr>
        <w:t>{{ dluh.vyse }} Kč</w:t>
      </w:r>
      <w:r>
        <w:rPr>
          <w:rFonts w:ascii="Tahoma" w:hAnsi="Tahoma"/>
          <w:b w:val="0"/>
          <w:sz w:val="21"/>
        </w:rPr>
        <w:t>. Splatnost: {{ dluh.splatnost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 xml:space="preserve">Zástavním právem se podle § 1311 a § 1312 OZ zajišťují budoucí peněžité dluhy Dlužníka vůči Zástavnímu věřiteli tohoto druhu a z tohoto právního důvodu: {{ dluh.duvod }}. Zajištění zahrnuje pouze dluhy vzniklé od {{ dluh.obdobi_od }} do {{ dluh.obdobi_do }}, do nejvyšší souhrnné výše jistiny </w:t>
      </w:r>
      <w:r>
        <w:rPr>
          <w:rFonts w:ascii="Tahoma" w:hAnsi="Tahoma"/>
          <w:b/>
          <w:sz w:val="21"/>
        </w:rPr>
        <w:t>{{ dluh.nejvyssi_castka }} Kč</w:t>
      </w:r>
      <w:r>
        <w:rPr>
          <w:rFonts w:ascii="Tahoma" w:hAnsi="Tahoma"/>
          <w:b w:val="0"/>
          <w:sz w:val="21"/>
        </w:rPr>
        <w:t>. Splatnost se určí takto: {{ dluh.splatnost }}.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  <w:jc w:val="both"/>
        <w:numPr>
          <w:ilvl w:val="0"/>
          <w:numId w:val="7"/>
        </w:numPr>
      </w:pPr>
      <w:r>
        <w:rPr>
          <w:rFonts w:ascii="Tahoma" w:hAnsi="Tahoma"/>
          <w:b w:val="0"/>
          <w:sz w:val="21"/>
        </w:rPr>
        <w:t>Rozsah zajištěného příslušenství: {{ dluh.prislusenstvi }}. Takto vymezené dluhy a příslušenství se dále označují jako „Zajištěný dluh“.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Zástava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Zástavce prohlašuje, že je vlastníkem níže vymezené nemovitosti, případně výslovně uvedeného spoluvlastnického podílu. Předmětem zástavy jsou tyto nemovité věci a práva označené podle údajů katastru nemovitostí: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for polozka in nemovitost.polozky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polozka.odrazka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• {{ polozka.text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{{ polozka.text }}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endfor %}</w:t>
      </w:r>
    </w:p>
    <w:p>
      <w:pPr>
        <w:pStyle w:val="Bezmezer"/>
        <w:spacing w:after="0" w:before="0" w:line="240" w:lineRule="auto"/>
        <w:jc w:val="both"/>
      </w:pPr>
      <w:r>
        <w:rPr>
          <w:rFonts w:ascii="Tahoma" w:hAnsi="Tahoma"/>
          <w:b w:val="0"/>
          <w:sz w:val="21"/>
        </w:rPr>
        <w:t>vše {{ nemovitost.ku_text }}, na listu vlastnictví č. {{ nemovitost.lv }}, vedeno u Katastrálního úřadu {{ nemovitost.urad_kraj }}, Katastrální pracoviště {{ nemovitost.pracoviste }} (dále jen „</w:t>
      </w:r>
      <w:r>
        <w:rPr>
          <w:rFonts w:ascii="Tahoma" w:hAnsi="Tahoma"/>
          <w:b/>
          <w:sz w:val="21"/>
        </w:rPr>
        <w:t>Zástava</w:t>
      </w:r>
      <w:r>
        <w:rPr>
          <w:rFonts w:ascii="Tahoma" w:hAnsi="Tahoma"/>
          <w:b w:val="0"/>
          <w:sz w:val="21"/>
        </w:rPr>
        <w:t>“).</w:t>
      </w:r>
    </w:p>
    <w:p>
      <w:pPr>
        <w:pStyle w:val="Bezmezer"/>
        <w:spacing w:after="0" w:before="0" w:line="240" w:lineRule="auto"/>
        <w:jc w:val="both"/>
        <w:numPr>
          <w:ilvl w:val="0"/>
          <w:numId w:val="8"/>
        </w:numPr>
      </w:pPr>
      <w:r>
        <w:rPr>
          <w:rFonts w:ascii="Tahoma" w:hAnsi="Tahoma"/>
          <w:b w:val="0"/>
          <w:sz w:val="21"/>
        </w:rPr>
        <w:t>Dosavadní zatížení a omezení Zástavy, včetně probíhajících řízení: {{ nemovitost.zatizeni }}. Zástavce oznámí Zástavnímu věřiteli bez zbytečného odkladu každou změnu těchto skutečností.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Zřízení a vznik zástavního práva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Zástavce zřizuje ve prospěch Zástavního věřitele zástavní právo k Zástavě k zajištění Zajištěného dluhu. Zástavní věřitel toto právo přijímá.</w:t>
      </w:r>
    </w:p>
    <w:p>
      <w:pPr>
        <w:pStyle w:val="Bezmezer"/>
        <w:spacing w:after="0" w:before="0" w:line="240" w:lineRule="auto"/>
        <w:jc w:val="both"/>
        <w:numPr>
          <w:ilvl w:val="0"/>
          <w:numId w:val="9"/>
        </w:numPr>
      </w:pPr>
      <w:r>
        <w:rPr>
          <w:rFonts w:ascii="Tahoma" w:hAnsi="Tahoma"/>
          <w:b w:val="0"/>
          <w:sz w:val="21"/>
        </w:rPr>
        <w:t>Zástavní právo vzniká vkladem do katastru nemovitostí podle § 1316 OZ a § 11 zákona č. 256/2013 Sb. Právní účinky povoleného vkladu nastávají k okamžiku, kdy návrh došel příslušnému katastrálnímu úřadu (§ 10 téhož zákona).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IV.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Povinnosti Zástavce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Zástavce bude Zástavu řádně udržovat a zdrží se jednání snižujícího její hodnotu. Poškození, ohrožení nebo uplatnění práv třetích osob oznámí Zástavnímu věřiteli bez zbytečného odkladu.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Pojištění Zástavy se sjednává takto: {{ pojisteni }}. Je-li pojištění sjednáno jako povinnost, Zástavce je udrží po dobu zajištění a na žádost doloží trvání pojištění a úhradu pojistného.</w:t>
      </w:r>
    </w:p>
    <w:p>
      <w:pPr>
        <w:pStyle w:val="Bezmezer"/>
        <w:spacing w:after="0" w:before="0" w:line="240" w:lineRule="auto"/>
        <w:jc w:val="both"/>
        <w:numPr>
          <w:ilvl w:val="0"/>
          <w:numId w:val="10"/>
        </w:numPr>
      </w:pPr>
      <w:r>
        <w:rPr>
          <w:rFonts w:ascii="Tahoma" w:hAnsi="Tahoma"/>
          <w:b w:val="0"/>
          <w:sz w:val="21"/>
        </w:rPr>
        <w:t>Bez předchozího písemného souhlasu Zástavního věřitele Zástavce nezřídí k Zástavě další zatížení. Věcné účinky samostatného zákazu upravuje článek V; účinky zákazu zřídit zástavní právo vůči třetím osobám se posoudí též podle § 1309 odst. 2 OZ.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Zákaz zcizení a zatížení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if zakaz.zapnut %}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Zástavce zřizuje ve prospěch Zástavního věřitele zákaz zcizení a zatížení Zástavy jako věcné právo podle § 1761 OZ a Zástavní věřitel jej přijímá. Bez předchozího písemného souhlasu Zástavního věřitele Zástavce Zástavu nezcizí ani nezatíží.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Zákaz se sjednává po dobu trvání zajištění, nejdéle do {{ zakaz.do }}. Zájem Zástavního věřitele hodný právní ochrany a důvod přiměřenosti této doby: {{ zakaz.zajem }}.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Strany souhlasí s vkladem zákazu jako věcného práva do katastru nemovitostí podle § 11 odst. 1 písm. n) zákona č. 256/2013 Sb. Účinky vůči třetím osobám jsou spojeny s jeho věcněprávním zřízením a vkladem; samotný smluvní závazek podle § 1761 OZ působí jen mezi stranami.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else %}</w:t>
      </w:r>
    </w:p>
    <w:p>
      <w:pPr>
        <w:pStyle w:val="Bezmezer"/>
        <w:spacing w:after="0" w:before="0" w:line="240" w:lineRule="auto"/>
        <w:jc w:val="both"/>
        <w:numPr>
          <w:ilvl w:val="0"/>
          <w:numId w:val="11"/>
        </w:numPr>
      </w:pPr>
      <w:r>
        <w:rPr>
          <w:rFonts w:ascii="Tahoma" w:hAnsi="Tahoma"/>
          <w:b w:val="0"/>
          <w:sz w:val="21"/>
        </w:rPr>
        <w:t>Samostatný zákaz zcizení a zatížení jako věcné právo se touto Smlouvou nezřizuje.</w:t>
      </w: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{%p endif %}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Výkon zástavního práva</w:t>
      </w:r>
    </w:p>
    <w:p>
      <w:pPr>
        <w:pStyle w:val="Bezmezer"/>
        <w:spacing w:after="0" w:before="0" w:line="240" w:lineRule="auto"/>
        <w:jc w:val="both"/>
        <w:numPr>
          <w:ilvl w:val="0"/>
          <w:numId w:val="12"/>
        </w:numPr>
      </w:pPr>
      <w:r>
        <w:rPr>
          <w:rFonts w:ascii="Tahoma" w:hAnsi="Tahoma"/>
          <w:b w:val="0"/>
          <w:sz w:val="21"/>
        </w:rPr>
        <w:t>Nesplní-li Dlužník Zajištěný dluh řádně a včas, může se Zástavní věřitel uspokojit z výtěžku zpeněžení Zástavy v rozsahu zajištění. Smlouva nesjednává přímý soukromý prodej ani propadnutí Zástavy; použije se veřejná dražba nebo prodej podle jiného zákona ve smyslu § 1359 OZ.</w:t>
      </w:r>
    </w:p>
    <w:p>
      <w:pPr>
        <w:pStyle w:val="Bezmezer"/>
        <w:spacing w:after="0" w:before="0" w:line="240" w:lineRule="auto"/>
        <w:jc w:val="both"/>
        <w:numPr>
          <w:ilvl w:val="0"/>
          <w:numId w:val="12"/>
        </w:numPr>
      </w:pPr>
      <w:r>
        <w:rPr>
          <w:rFonts w:ascii="Tahoma" w:hAnsi="Tahoma"/>
          <w:b w:val="0"/>
          <w:sz w:val="21"/>
        </w:rPr>
        <w:t>Zástavní věřitel písemně oznámí započetí výkonu zástavnímu dlužníkovi a uvede způsob uspokojení; zajistí také zápis započetí výkonu do katastru podle § 1362 OZ. Zástavu lze zpeněžit nejdříve po třiceti (30) dnech od oznámení; byl-li zápis proveden později, běží lhůta od zápisu (§ 1364 OZ).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VII.</w:t>
      </w:r>
    </w:p>
    <w:p>
      <w:pPr>
        <w:pStyle w:val="Bezmezer"/>
        <w:spacing w:after="0" w:before="0" w:line="240" w:lineRule="auto"/>
        <w:jc w:val="center"/>
      </w:pPr>
      <w:r>
        <w:rPr>
          <w:rFonts w:ascii="Tahoma" w:hAnsi="Tahoma"/>
          <w:b/>
          <w:sz w:val="21"/>
        </w:rPr>
        <w:t>Vklad a závěrečná ustanovení</w:t>
      </w:r>
    </w:p>
    <w:p>
      <w:pPr>
        <w:pStyle w:val="Bezmezer"/>
        <w:spacing w:after="0" w:before="0" w:line="240" w:lineRule="auto"/>
        <w:jc w:val="both"/>
        <w:numPr>
          <w:ilvl w:val="0"/>
          <w:numId w:val="13"/>
        </w:numPr>
      </w:pPr>
      <w:r>
        <w:rPr>
          <w:rFonts w:ascii="Tahoma" w:hAnsi="Tahoma"/>
          <w:b w:val="0"/>
          <w:sz w:val="21"/>
        </w:rPr>
        <w:t>Strany souhlasí s podáním návrhu na vklad práv zřízených touto Smlouvou. Podání návrhu a úhradu správního poplatku zajistí: {{ vklad_zajisti }}. Strany poskytnou potřebnou součinnost a na vkladovém vyhotovení opatří své podpisy úředním ověřením.</w:t>
      </w:r>
    </w:p>
    <w:p>
      <w:pPr>
        <w:pStyle w:val="Bezmezer"/>
        <w:spacing w:after="0" w:before="0" w:line="240" w:lineRule="auto"/>
        <w:jc w:val="both"/>
        <w:numPr>
          <w:ilvl w:val="0"/>
          <w:numId w:val="13"/>
        </w:numPr>
      </w:pPr>
      <w:r>
        <w:rPr>
          <w:rFonts w:ascii="Tahoma" w:hAnsi="Tahoma"/>
          <w:b w:val="0"/>
          <w:sz w:val="21"/>
        </w:rPr>
        <w:t>Po zániku zajištění poskytne Zástavní věřitel bez zbytečného odkladu součinnost a listiny potřebné k výmazu zástavního práva a případného zákazu zcizení a zatížení.</w:t>
      </w:r>
    </w:p>
    <w:p>
      <w:pPr>
        <w:pStyle w:val="Bezmezer"/>
        <w:spacing w:after="0" w:before="0" w:line="240" w:lineRule="auto"/>
        <w:jc w:val="both"/>
        <w:numPr>
          <w:ilvl w:val="0"/>
          <w:numId w:val="13"/>
        </w:numPr>
      </w:pPr>
      <w:r>
        <w:rPr>
          <w:rFonts w:ascii="Tahoma" w:hAnsi="Tahoma"/>
          <w:b w:val="0"/>
          <w:sz w:val="21"/>
        </w:rPr>
        <w:t>Smlouva nabývá účinnosti podpisem obou stran; vznik věcných práv se řídí články III a V. Změny Smlouvy vyžadují písemnou formu. Smlouva se vyhotovuje ve třech (3) stejnopisech, po jednom pro každou stranu a jeden pro katastrální řízení.</w:t>
      </w:r>
    </w:p>
    <w:p>
      <w:pPr>
        <w:pStyle w:val="Bezmezer"/>
        <w:spacing w:after="0" w:before="0" w:line="240" w:lineRule="auto"/>
        <w:jc w:val="both"/>
        <w:numPr>
          <w:ilvl w:val="0"/>
          <w:numId w:val="13"/>
        </w:numPr>
      </w:pPr>
      <w:r>
        <w:rPr>
          <w:rFonts w:ascii="Tahoma" w:hAnsi="Tahoma"/>
          <w:b w:val="0"/>
          <w:sz w:val="21"/>
        </w:rPr>
        <w:t>Strany potvrzují, že si Smlouvu přečetly, rozumějí jejímu obsahu a uzavírají ji svobodně a vážně, což stvrzují svými podpisy.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  <w:r>
        <w:rPr>
          <w:rFonts w:ascii="Tahoma" w:hAnsi="Tahoma"/>
          <w:b w:val="0"/>
          <w:sz w:val="21"/>
        </w:rPr>
        <w:t>V ________________ dne ________ {{ rok }}</w:t>
      </w: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p>
      <w:pPr>
        <w:pStyle w:val="Bezmezer"/>
        <w:spacing w:after="0" w:before="0" w:line="240" w:lineRule="auto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veritel.podpis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{%p if veritel.podpis_zastupce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veritel.podpis_zastupce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{%p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Zástavní věřitel</w:t>
            </w:r>
          </w:p>
        </w:tc>
        <w:tc>
          <w:tcPr>
            <w:tcW w:type="dxa" w:w="4533"/>
          </w:tcPr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_______________________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/>
                <w:sz w:val="21"/>
              </w:rPr>
              <w:t>{{ zastavce.podpis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{%p if zastavce.podpis_zastupce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{{ zastavce.podpis_zastupce }}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{%p endif %}</w:t>
            </w:r>
          </w:p>
          <w:p>
            <w:pPr>
              <w:pStyle w:val="Bezmezer"/>
              <w:spacing w:after="0" w:before="0" w:line="240" w:lineRule="auto"/>
            </w:pPr>
            <w:r>
              <w:rPr>
                <w:rFonts w:ascii="Tahoma" w:hAnsi="Tahoma"/>
                <w:b w:val="0"/>
                <w:sz w:val="21"/>
              </w:rPr>
              <w:t>Zástavce</w:t>
            </w:r>
          </w:p>
        </w:tc>
      </w:tr>
    </w:tbl>
    <w:sectPr w:rsidR="0032248A" w:rsidSect="0032248A">
      <w:footerReference w:type="even" r:id="rId5"/>
      <w:footerReference w:type="default" r:id="rId6"/>
      <w:pgSz w:w="11900" w:h="16840"/>
      <w:pgMar w:top="1235" w:right="1417" w:bottom="139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702252416"/>
    </w:sdtPr>
    <w:sdtContent>
      <w:p w14:paraId="76F9C4E6" w14:textId="77777777" w:rsidR="0032248A" w:rsidRDefault="0032248A">
        <w:pPr>
          <w:pStyle w:val="Zpat"/>
          <w:framePr w:wrap="auto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end"/>
        </w:r>
      </w:p>
    </w:sdtContent>
  </w:sdt>
  <w:p w14:paraId="6703A550" w14:textId="77777777" w:rsidR="0032248A" w:rsidRDefault="0032248A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  <w:rFonts w:ascii="Tahoma" w:hAnsi="Tahoma" w:cs="Tahoma"/>
        <w:sz w:val="20"/>
        <w:szCs w:val="20"/>
      </w:rPr>
      <w:id w:val="1882289275"/>
    </w:sdtPr>
    <w:sdtContent>
      <w:p w14:paraId="519DEF78" w14:textId="77777777" w:rsidR="0032248A" w:rsidRPr="00722CAC" w:rsidRDefault="0032248A">
        <w:pPr>
          <w:pStyle w:val="Zpat"/>
          <w:framePr w:wrap="auto" w:vAnchor="text" w:hAnchor="margin" w:xAlign="right" w:y="1"/>
          <w:rPr>
            <w:rStyle w:val="slostrnky"/>
            <w:rFonts w:ascii="Tahoma" w:hAnsi="Tahoma" w:cs="Tahoma"/>
            <w:sz w:val="20"/>
            <w:szCs w:val="20"/>
          </w:rPr>
        </w:pP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begin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instrText xml:space="preserve"> PAGE </w:instrTex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separate"/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t>1</w:t>
        </w:r>
        <w:r w:rsidRPr="00722CAC">
          <w:rPr>
            <w:rStyle w:val="slostrnky"/>
            <w:rFonts w:ascii="Tahoma" w:hAnsi="Tahoma" w:cs="Tahoma"/>
            <w:sz w:val="20"/>
            <w:szCs w:val="20"/>
          </w:rPr>
          <w:fldChar w:fldCharType="end"/>
        </w:r>
      </w:p>
    </w:sdtContent>
  </w:sdt>
  <w:p w14:paraId="32F89ED8" w14:textId="77777777" w:rsidR="0032248A" w:rsidRPr="00722CAC" w:rsidRDefault="0032248A">
    <w:pPr>
      <w:pStyle w:val="Zpat"/>
      <w:ind w:right="360"/>
      <w:rPr>
        <w:rFonts w:ascii="Tahoma" w:hAnsi="Tahoma" w:cs="Tahoma"/>
        <w:sz w:val="20"/>
        <w:szCs w:val="20"/>
      </w:rPr>
    </w:pPr>
    <w:r w:rsidRPr="00722CAC">
      <w:rPr>
        <w:rFonts w:ascii="Tahoma" w:hAnsi="Tahoma" w:cs="Tahoma"/>
        <w:sz w:val="20"/>
        <w:szCs w:val="20"/>
      </w:rPr>
      <w:t xml:space="preserve">Zástavní smlouva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10993"/>
    <w:multiLevelType w:val="multilevel"/>
    <w:tmpl w:val="0D11099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12EA3"/>
    <w:multiLevelType w:val="multilevel"/>
    <w:tmpl w:val="BB36BD0E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b w:val="0"/>
        <w:bCs/>
        <w:sz w:val="20"/>
        <w:szCs w:val="2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C4A690F"/>
    <w:multiLevelType w:val="multilevel"/>
    <w:tmpl w:val="4C4A690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D1509"/>
    <w:multiLevelType w:val="hybridMultilevel"/>
    <w:tmpl w:val="12FCB92E"/>
    <w:lvl w:ilvl="0" w:tplc="85BC0910">
      <w:start w:val="312"/>
      <w:numFmt w:val="bullet"/>
      <w:lvlText w:val="-"/>
      <w:lvlJc w:val="left"/>
      <w:pPr>
        <w:ind w:left="360" w:hanging="360"/>
      </w:pPr>
      <w:rPr>
        <w:rFonts w:ascii="Tahoma" w:eastAsiaTheme="minorHAnsi" w:hAnsi="Tahoma" w:cs="Tahoma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2097C13"/>
    <w:multiLevelType w:val="multilevel"/>
    <w:tmpl w:val="2BCC9C96"/>
    <w:lvl w:ilvl="0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85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0149E"/>
    <w:multiLevelType w:val="multilevel"/>
    <w:tmpl w:val="53821472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Calibri" w:hAnsi="Tahoma" w:cs="Tahoma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multiLevelType w:val="singleLevel"/>
    <w:lvl w:ilvl="0">
      <w:start w:val="1"/>
      <w:numFmt w:val="decimal"/>
      <w:lvlText w:val="%1."/>
      <w:lvlJc w:val="left"/>
      <w:pPr>
        <w:ind w:left="360" w:hanging="360"/>
      </w:pPr>
      <w:rPr>
        <w:rFonts w:ascii="Tahoma" w:hAnsi="Tahoma"/>
        <w:sz w:val="21"/>
        <w:szCs w:val="21"/>
      </w:rPr>
    </w:lvl>
  </w:abstractNum>
  <w:num w:numId="1" w16cid:durableId="16542138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7161364">
    <w:abstractNumId w:val="1"/>
  </w:num>
  <w:num w:numId="3" w16cid:durableId="12020917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7749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27563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7349162">
    <w:abstractNumId w:val="3"/>
  </w:num>
  <w:num w:numId="7">
    <w:abstractNumId w:val="100"/>
    <w:lvlOverride w:ilvl="0">
      <w:startOverride w:val="1"/>
    </w:lvlOverride>
  </w:num>
  <w:num w:numId="8">
    <w:abstractNumId w:val="100"/>
    <w:lvlOverride w:ilvl="0">
      <w:startOverride w:val="1"/>
    </w:lvlOverride>
  </w:num>
  <w:num w:numId="9">
    <w:abstractNumId w:val="100"/>
    <w:lvlOverride w:ilvl="0">
      <w:startOverride w:val="1"/>
    </w:lvlOverride>
  </w:num>
  <w:num w:numId="10">
    <w:abstractNumId w:val="100"/>
    <w:lvlOverride w:ilvl="0">
      <w:startOverride w:val="1"/>
    </w:lvlOverride>
  </w:num>
  <w:num w:numId="11">
    <w:abstractNumId w:val="100"/>
    <w:lvlOverride w:ilvl="0">
      <w:startOverride w:val="1"/>
    </w:lvlOverride>
  </w:num>
  <w:num w:numId="12">
    <w:abstractNumId w:val="100"/>
    <w:lvlOverride w:ilvl="0">
      <w:startOverride w:val="1"/>
    </w:lvlOverride>
  </w:num>
  <w:num w:numId="13">
    <w:abstractNumId w:val="1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8A"/>
    <w:rsid w:val="001F270E"/>
    <w:rsid w:val="0032248A"/>
    <w:rsid w:val="00595736"/>
    <w:rsid w:val="00740AE3"/>
    <w:rsid w:val="00AF1A2B"/>
    <w:rsid w:val="00E3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437730"/>
  <w15:chartTrackingRefBased/>
  <w15:docId w15:val="{A8EA0C90-AEEF-CE4F-8266-BD4232C7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2248A"/>
    <w:pPr>
      <w:spacing w:after="200" w:line="276" w:lineRule="auto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322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22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22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2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2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2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2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2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2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2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22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22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248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248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248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248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248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248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2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2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2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2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2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248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248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248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2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248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248A"/>
    <w:rPr>
      <w:b/>
      <w:bCs/>
      <w:smallCaps/>
      <w:color w:val="0F4761" w:themeColor="accent1" w:themeShade="BF"/>
      <w:spacing w:val="5"/>
    </w:rPr>
  </w:style>
  <w:style w:type="paragraph" w:styleId="Zpat">
    <w:name w:val="footer"/>
    <w:basedOn w:val="Normln"/>
    <w:link w:val="ZpatChar"/>
    <w:uiPriority w:val="99"/>
    <w:unhideWhenUsed/>
    <w:qFormat/>
    <w:rsid w:val="003224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2248A"/>
    <w:rPr>
      <w:rFonts w:ascii="Calibri" w:eastAsia="Arial Unicode MS" w:hAnsi="Calibri" w:cs="Arial Unicode MS"/>
      <w:color w:val="000000"/>
      <w:kern w:val="0"/>
      <w:sz w:val="22"/>
      <w:szCs w:val="22"/>
      <w:u w:color="000000"/>
      <w:lang w:eastAsia="cs-CZ"/>
      <w14:ligatures w14:val="none"/>
    </w:rPr>
  </w:style>
  <w:style w:type="character" w:styleId="slostrnky">
    <w:name w:val="page number"/>
    <w:basedOn w:val="Standardnpsmoodstavce"/>
    <w:uiPriority w:val="99"/>
    <w:semiHidden/>
    <w:unhideWhenUsed/>
    <w:qFormat/>
    <w:rsid w:val="0032248A"/>
  </w:style>
  <w:style w:type="paragraph" w:styleId="Bezmezer">
    <w:name w:val="No Spacing"/>
    <w:aliases w:val="Calibri"/>
    <w:uiPriority w:val="1"/>
    <w:qFormat/>
    <w:rsid w:val="0032248A"/>
    <w:pPr>
      <w:spacing w:after="0" w:line="240" w:lineRule="auto"/>
    </w:pPr>
    <w:rPr>
      <w:kern w:val="0"/>
      <w14:ligatures w14:val="none"/>
    </w:rPr>
  </w:style>
  <w:style w:type="character" w:customStyle="1" w:styleId="FontStyle16">
    <w:name w:val="Font Style16"/>
    <w:qFormat/>
    <w:rsid w:val="0032248A"/>
    <w:rPr>
      <w:rFonts w:ascii="Tahoma" w:hAnsi="Tahoma" w:cs="Tahoma" w:hint="default"/>
      <w:sz w:val="20"/>
      <w:szCs w:val="20"/>
    </w:rPr>
  </w:style>
  <w:style w:type="character" w:customStyle="1" w:styleId="FontStyle17">
    <w:name w:val="Font Style17"/>
    <w:uiPriority w:val="99"/>
    <w:qFormat/>
    <w:rsid w:val="0032248A"/>
    <w:rPr>
      <w:rFonts w:ascii="Tahoma" w:hAnsi="Tahoma" w:cs="Tahoma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11" Type="http://schemas.openxmlformats.org/officeDocument/2006/relationships/customXml" Target="../customXml/item3.xml"/><Relationship Id="rId5" Type="http://schemas.openxmlformats.org/officeDocument/2006/relationships/footer" Target="footer1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99F8EA0AD483446896792C40E20C67F" ma:contentTypeVersion="11" ma:contentTypeDescription="Vytvoří nový dokument" ma:contentTypeScope="" ma:versionID="2c2aff6ff58304068def092aca0dc118">
  <xsd:schema xmlns:xsd="http://www.w3.org/2001/XMLSchema" xmlns:xs="http://www.w3.org/2001/XMLSchema" xmlns:p="http://schemas.microsoft.com/office/2006/metadata/properties" xmlns:ns2="2a8ad10b-3a60-48bf-8d36-f47e2c737a73" xmlns:ns3="82998af8-ed20-48be-8e74-45cf1506079b" targetNamespace="http://schemas.microsoft.com/office/2006/metadata/properties" ma:root="true" ma:fieldsID="01ff3aeeaf91c685d8c583a91e1f2b2c" ns2:_="" ns3:_="">
    <xsd:import namespace="2a8ad10b-3a60-48bf-8d36-f47e2c737a73"/>
    <xsd:import namespace="82998af8-ed20-48be-8e74-45cf150607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ad10b-3a60-48bf-8d36-f47e2c737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ac6c8a1f-75f2-4df2-b456-a8fbe191a5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8af8-ed20-48be-8e74-45cf1506079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861728-8ae0-4fb0-85a2-a4746c650072}" ma:internalName="TaxCatchAll" ma:showField="CatchAllData" ma:web="82998af8-ed20-48be-8e74-45cf150607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8ad10b-3a60-48bf-8d36-f47e2c737a73">
      <Terms xmlns="http://schemas.microsoft.com/office/infopath/2007/PartnerControls"/>
    </lcf76f155ced4ddcb4097134ff3c332f>
    <TaxCatchAll xmlns="82998af8-ed20-48be-8e74-45cf1506079b" xsi:nil="true"/>
  </documentManagement>
</p:properties>
</file>

<file path=customXml/itemProps1.xml><?xml version="1.0" encoding="utf-8"?>
<ds:datastoreItem xmlns:ds="http://schemas.openxmlformats.org/officeDocument/2006/customXml" ds:itemID="{4B9D192B-2845-43B3-977C-536DDE3EEB6A}"/>
</file>

<file path=customXml/itemProps2.xml><?xml version="1.0" encoding="utf-8"?>
<ds:datastoreItem xmlns:ds="http://schemas.openxmlformats.org/officeDocument/2006/customXml" ds:itemID="{32AB82A5-3B5A-45EA-851D-F20BC76CB03A}"/>
</file>

<file path=customXml/itemProps3.xml><?xml version="1.0" encoding="utf-8"?>
<ds:datastoreItem xmlns:ds="http://schemas.openxmlformats.org/officeDocument/2006/customXml" ds:itemID="{A4D59949-2255-4013-B6AB-834BE456E9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1426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Hanousková</dc:creator>
  <cp:keywords/>
  <dc:description/>
  <cp:lastModifiedBy>Nikola Hanousková</cp:lastModifiedBy>
  <cp:revision>3</cp:revision>
  <dcterms:created xsi:type="dcterms:W3CDTF">2026-06-18T20:24:00Z</dcterms:created>
  <dcterms:modified xsi:type="dcterms:W3CDTF">2026-06-18T20:47:00Z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0x010100699F8EA0AD483446896792C40E20C67F</vt:lpwstr>
  </property>
</Properties>
</file>