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left"/>
      </w:pPr>
      <w:r>
        <w:rPr>
          <w:b/>
          <w:bCs/>
          <w:color w:val="1F3A5F"/>
          <w:sz w:val="56"/>
          <w:szCs w:val="56"/>
        </w:rPr>
        <w:t xml:space="preserve">Personal CIO Playbook</w:t>
      </w:r>
    </w:p>
    <w:p>
      <w:pPr>
        <w:spacing w:after="60" w:before="0"/>
      </w:pPr>
      <w:r>
        <w:rPr>
          <w:color w:val="4A5568"/>
          <w:sz w:val="26"/>
          <w:szCs w:val="26"/>
        </w:rPr>
        <w:t xml:space="preserve">Private working document — Part 1 of 3</w:t>
      </w:r>
    </w:p>
    <w:p>
      <w:pPr>
        <w:spacing w:after="360" w:before="0"/>
      </w:pPr>
      <w:r>
        <w:rPr>
          <w:i/>
          <w:iCs/>
          <w:color w:val="718096"/>
          <w:sz w:val="24"/>
          <w:szCs w:val="24"/>
        </w:rPr>
        <w:t xml:space="preserve">The mindset layer underneath the audience posts and the board-ready packet.</w:t>
      </w:r>
    </w:p>
    <w:p>
      <w:pPr>
        <w:pBdr>
          <w:bottom w:val="single" w:color="CBD5E0" w:sz="6" w:space="6"/>
        </w:pBdr>
        <w:spacing w:after="60" w:before="60"/>
      </w:pPr>
      <w:r>
        <w:t xml:space="preserve"/>
      </w:r>
    </w:p>
    <w:p>
      <w:pPr>
        <w:spacing w:after="80" w:before="200"/>
      </w:pPr>
      <w:r>
        <w:rPr>
          <w:b/>
          <w:bCs/>
          <w:sz w:val="28"/>
          <w:szCs w:val="28"/>
        </w:rPr>
        <w:t xml:space="preserve">Geoffrey C. Lyle</w:t>
      </w:r>
    </w:p>
    <w:p>
      <w:pPr>
        <w:spacing w:after="80" w:before="80" w:line="300"/>
      </w:pPr>
      <w:r>
        <w:rPr>
          <w:color w:val="4A5568"/>
        </w:rPr>
        <w:t xml:space="preserve">Founder / CEO, GrowDirect Inc.</w:t>
      </w:r>
    </w:p>
    <w:p>
      <w:pPr>
        <w:spacing w:after="80" w:before="80" w:line="300"/>
      </w:pPr>
      <w:r>
        <w:rPr>
          <w:color w:val="4A5568"/>
        </w:rPr>
        <w:t xml:space="preserve">Rancho Palos Verdes, California</w:t>
      </w:r>
    </w:p>
    <w:p>
      <w:pPr>
        <w:spacing w:after="80" w:before="80" w:line="300"/>
      </w:pPr>
      <w:r>
        <w:rPr>
          <w:color w:val="718096"/>
          <w:sz w:val="20"/>
          <w:szCs w:val="20"/>
        </w:rPr>
        <w:t xml:space="preserve">April 2026 — v1</w:t>
      </w:r>
    </w:p>
    <w:p>
      <w:r>
        <w:br w:type="page"/>
      </w:r>
    </w:p>
    <w:p>
      <w:pPr>
        <w:pStyle w:val="Heading1"/>
        <w:spacing w:after="160" w:before="360"/>
      </w:pPr>
      <w:r>
        <w:t xml:space="preserve">1. Why this document exists</w:t>
      </w:r>
    </w:p>
    <w:p>
      <w:pPr>
        <w:pBdr>
          <w:left w:val="single" w:color="1F3A5F" w:sz="18" w:space="12"/>
        </w:pBdr>
        <w:spacing w:after="160" w:before="120" w:line="300"/>
        <w:ind w:left="360" w:right="360"/>
      </w:pPr>
      <w:r>
        <w:rPr>
          <w:i/>
          <w:iCs/>
          <w:color w:val="4A5568"/>
        </w:rPr>
        <w:t xml:space="preserve">I am documenting like this because it helps me with the narrative. The act of writing it down sharpens the reasoning.</w:t>
      </w:r>
    </w:p>
    <w:p>
      <w:pPr>
        <w:spacing w:after="80" w:before="80" w:line="300"/>
      </w:pPr>
      <w:r>
        <w:t xml:space="preserve">Three reasons this exists:</w:t>
      </w:r>
    </w:p>
    <w:p>
      <w:pPr>
        <w:pStyle w:val="ListParagraph"/>
        <w:numPr>
          <w:ilvl w:val="0"/>
          <w:numId w:val="2"/>
        </w:numPr>
        <w:spacing w:after="40" w:before="40" w:line="280"/>
      </w:pPr>
      <w:r>
        <w:t xml:space="preserve">It is the private mindset layer. The LinkedIn posts and the board packet need a foundation underneath them that is unvarnished. This is that foundation.</w:t>
      </w:r>
    </w:p>
    <w:p>
      <w:pPr>
        <w:pStyle w:val="ListParagraph"/>
        <w:numPr>
          <w:ilvl w:val="0"/>
          <w:numId w:val="2"/>
        </w:numPr>
        <w:spacing w:after="40" w:before="40" w:line="280"/>
      </w:pPr>
      <w:r>
        <w:t xml:space="preserve">It converts the Gartner CIO material (the question banks, the First 100 Days playbook) from abstract framework into something that uses my actual lived material — LaneHawk, the $1B cashierless launch, the Secure platform, the Factory — as its answers.</w:t>
      </w:r>
    </w:p>
    <w:p>
      <w:pPr>
        <w:pStyle w:val="ListParagraph"/>
        <w:numPr>
          <w:ilvl w:val="0"/>
          <w:numId w:val="2"/>
        </w:numPr>
        <w:spacing w:after="40" w:before="40" w:line="280"/>
      </w:pPr>
      <w:r>
        <w:t xml:space="preserve">It is a defense against drift. When the day is hard and the house cracks a little and the IT manager framing creeps back in, this document exists to remind me that what I am already doing every day is the CIO role — just not inside someone else's building yet.</w:t>
      </w:r>
    </w:p>
    <w:p>
      <w:pPr>
        <w:spacing w:after="80" w:before="80" w:line="300"/>
      </w:pPr>
      <w:r>
        <w:t xml:space="preserve"> </w:t>
      </w:r>
    </w:p>
    <w:p>
      <w:pPr>
        <w:pStyle w:val="Heading2"/>
        <w:spacing w:after="120" w:before="280"/>
      </w:pPr>
      <w:r>
        <w:t xml:space="preserve">The thesis of this playbook</w:t>
      </w:r>
    </w:p>
    <w:p>
      <w:pPr>
        <w:pBdr>
          <w:left w:val="single" w:color="1F3A5F" w:sz="18" w:space="12"/>
        </w:pBdr>
        <w:spacing w:after="160" w:before="120" w:line="300"/>
        <w:ind w:left="360" w:right="360"/>
      </w:pPr>
      <w:r>
        <w:rPr>
          <w:i/>
          <w:iCs/>
          <w:color w:val="4A5568"/>
        </w:rPr>
        <w:t xml:space="preserve">The factory I already run IS the CIO credential. The question is not whether I can do the job. The question is which board gets me first.</w:t>
      </w:r>
    </w:p>
    <w:p>
      <w:pPr>
        <w:spacing w:after="80" w:before="80" w:line="300"/>
      </w:pPr>
      <w:r>
        <w:t xml:space="preserve">The 30-year through-line gives me the operator credentials. The current GrowDirect portfolio — five concurrent divisions running on one shared stack under a published factory methodology — gives me the portfolio proof. The LaneHawk incident gives me the defining moment that every CIO search asks about. The Bitcoin work gives me the edge that no other retail-technology executive has. The private file already said it plainly: out-of-work IT manager, retraining with AI, building tools as reinvention. The reframe is not a spin job. It is a clearer look at the same facts.</w:t>
      </w:r>
    </w:p>
    <w:p>
      <w:r>
        <w:br w:type="page"/>
      </w:r>
    </w:p>
    <w:p>
      <w:pPr>
        <w:pStyle w:val="Heading1"/>
        <w:spacing w:after="160" w:before="360"/>
      </w:pPr>
      <w:r>
        <w:t xml:space="preserve">2. The reframe</w:t>
      </w:r>
    </w:p>
    <w:p>
      <w:pPr>
        <w:spacing w:after="80" w:before="80" w:line="300"/>
      </w:pPr>
      <w:r>
        <w:t xml:space="preserve">The three columns below are all descriptions of the same person. The first column is the voice of the inner critic and the gap in the résumé. The second is what the Brain record actually documents. The third is what converts that record into what a board is scanning for when they run a CIO search.</w:t>
      </w:r>
    </w:p>
    <w:p>
      <w:pPr>
        <w:spacing w:after="80" w:before="80" w:line="3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4"/>
              <w:left w:val="single" w:color="CBD5E0" w:sz="4"/>
              <w:bottom w:val="single" w:color="CBD5E0" w:sz="4"/>
              <w:right w:val="single" w:color="CBD5E0" w:sz="4"/>
            </w:tcBorders>
            <w:shd w:fill="1F3A5F" w:val="clear"/>
            <w:tcMar>
              <w:top w:type="dxa" w:w="100"/>
              <w:left w:type="dxa" w:w="140"/>
              <w:bottom w:type="dxa" w:w="100"/>
              <w:right w:type="dxa" w:w="140"/>
            </w:tcMar>
          </w:tcPr>
          <w:p>
            <w:pPr>
              <w:spacing w:after="40" w:before="40"/>
            </w:pPr>
            <w:r>
              <w:rPr>
                <w:b/>
                <w:bCs/>
                <w:color w:val="FFFFFF"/>
              </w:rPr>
              <w:t xml:space="preserve">What the old framing says</w:t>
            </w:r>
          </w:p>
        </w:tc>
        <w:tc>
          <w:tcPr>
            <w:tcW w:type="dxa" w:w="3120"/>
            <w:tcBorders>
              <w:top w:val="single" w:color="CBD5E0" w:sz="4"/>
              <w:left w:val="single" w:color="CBD5E0" w:sz="4"/>
              <w:bottom w:val="single" w:color="CBD5E0" w:sz="4"/>
              <w:right w:val="single" w:color="CBD5E0" w:sz="4"/>
            </w:tcBorders>
            <w:shd w:fill="1F3A5F" w:val="clear"/>
            <w:tcMar>
              <w:top w:type="dxa" w:w="100"/>
              <w:left w:type="dxa" w:w="140"/>
              <w:bottom w:type="dxa" w:w="100"/>
              <w:right w:type="dxa" w:w="140"/>
            </w:tcMar>
          </w:tcPr>
          <w:p>
            <w:pPr>
              <w:spacing w:after="40" w:before="40"/>
            </w:pPr>
            <w:r>
              <w:rPr>
                <w:b/>
                <w:bCs/>
                <w:color w:val="FFFFFF"/>
              </w:rPr>
              <w:t xml:space="preserve">What the Brain actually shows</w:t>
            </w:r>
          </w:p>
        </w:tc>
        <w:tc>
          <w:tcPr>
            <w:tcW w:type="dxa" w:w="3120"/>
            <w:tcBorders>
              <w:top w:val="single" w:color="CBD5E0" w:sz="4"/>
              <w:left w:val="single" w:color="CBD5E0" w:sz="4"/>
              <w:bottom w:val="single" w:color="CBD5E0" w:sz="4"/>
              <w:right w:val="single" w:color="CBD5E0" w:sz="4"/>
            </w:tcBorders>
            <w:shd w:fill="1F3A5F" w:val="clear"/>
            <w:tcMar>
              <w:top w:type="dxa" w:w="100"/>
              <w:left w:type="dxa" w:w="140"/>
              <w:bottom w:type="dxa" w:w="100"/>
              <w:right w:type="dxa" w:w="140"/>
            </w:tcMar>
          </w:tcPr>
          <w:p>
            <w:pPr>
              <w:spacing w:after="40" w:before="40"/>
            </w:pPr>
            <w:r>
              <w:rPr>
                <w:b/>
                <w:bCs/>
                <w:color w:val="FFFFFF"/>
              </w:rPr>
              <w:t xml:space="preserve">What a board needs to see</w:t>
            </w:r>
          </w:p>
        </w:tc>
      </w:tr>
      <w:tr>
        <w:tc>
          <w:tcPr>
            <w:tcW w:type="dxa" w:w="312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color w:val="718096"/>
              </w:rPr>
              <w:t xml:space="preserve">Out-of-work IT Manager</w:t>
            </w:r>
          </w:p>
        </w:tc>
        <w:tc>
          <w:tcPr>
            <w:tcW w:type="dxa" w:w="312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Founder / CEO of GrowDirect Inc.; operating 5 concurrent divisions on a shared infrastructure stack (Postgres 17 + pgvector, Valkey 8, Ollama, single Docker network, Linear as activity layer, Obsidian as graph)</w:t>
            </w:r>
          </w:p>
        </w:tc>
        <w:tc>
          <w:tcPr>
            <w:tcW w:type="dxa" w:w="3120"/>
            <w:tcBorders>
              <w:top w:val="single" w:color="CBD5E0" w:sz="4"/>
              <w:left w:val="single" w:color="CBD5E0" w:sz="4"/>
              <w:bottom w:val="single" w:color="CBD5E0" w:sz="4"/>
              <w:right w:val="single" w:color="CBD5E0" w:sz="4"/>
            </w:tcBorders>
            <w:shd w:fill="EDF2F7" w:val="clear"/>
            <w:tcMar>
              <w:top w:type="dxa" w:w="100"/>
              <w:left w:type="dxa" w:w="140"/>
              <w:bottom w:type="dxa" w:w="100"/>
              <w:right w:type="dxa" w:w="140"/>
            </w:tcMar>
          </w:tcPr>
          <w:p>
            <w:pPr>
              <w:spacing w:after="40" w:before="40" w:line="280"/>
            </w:pPr>
            <w:r>
              <w:rPr>
                <w:b/>
                <w:bCs/>
              </w:rPr>
              <w:t xml:space="preserve">An executive who has shipped at scale and is currently shipping, not waiting.</w:t>
            </w:r>
          </w:p>
        </w:tc>
      </w:tr>
      <w:tr>
        <w:tc>
          <w:tcPr>
            <w:tcW w:type="dxa" w:w="312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color w:val="718096"/>
              </w:rPr>
              <w:t xml:space="preserve">25 years of system implementation</w:t>
            </w:r>
          </w:p>
        </w:tc>
        <w:tc>
          <w:tcPr>
            <w:tcW w:type="dxa" w:w="312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30 years across Big Four consulting, enterprise Oracle retail integration, IBM mainframe, SAP, JDA, Retek — the full evolution of modern retail tech from the 1990s onward</w:t>
            </w:r>
          </w:p>
        </w:tc>
        <w:tc>
          <w:tcPr>
            <w:tcW w:type="dxa" w:w="3120"/>
            <w:tcBorders>
              <w:top w:val="single" w:color="CBD5E0" w:sz="4"/>
              <w:left w:val="single" w:color="CBD5E0" w:sz="4"/>
              <w:bottom w:val="single" w:color="CBD5E0" w:sz="4"/>
              <w:right w:val="single" w:color="CBD5E0" w:sz="4"/>
            </w:tcBorders>
            <w:shd w:fill="EDF2F7" w:val="clear"/>
            <w:tcMar>
              <w:top w:type="dxa" w:w="100"/>
              <w:left w:type="dxa" w:w="140"/>
              <w:bottom w:type="dxa" w:w="100"/>
              <w:right w:type="dxa" w:w="140"/>
            </w:tcMar>
          </w:tcPr>
          <w:p>
            <w:pPr>
              <w:spacing w:after="40" w:before="40" w:line="280"/>
            </w:pPr>
            <w:r>
              <w:rPr>
                <w:b/>
                <w:bCs/>
              </w:rPr>
              <w:t xml:space="preserve">An operator who was there for each generational transition and knows why each one broke.</w:t>
            </w:r>
          </w:p>
        </w:tc>
      </w:tr>
      <w:tr>
        <w:tc>
          <w:tcPr>
            <w:tcW w:type="dxa" w:w="312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color w:val="718096"/>
              </w:rPr>
              <w:t xml:space="preserve">Stressed-out remote lot manager before this chapter</w:t>
            </w:r>
          </w:p>
        </w:tc>
        <w:tc>
          <w:tcPr>
            <w:tcW w:type="dxa" w:w="312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Co-founded the SaaS platform that held one of the largest private retail transaction databases in the industry; deployed across 6,800+ convenience, grocery, mass-merchant, home-improvement, specialty stores; the only person with the top-level global number across both US and international warehouses simultaneously</w:t>
            </w:r>
          </w:p>
        </w:tc>
        <w:tc>
          <w:tcPr>
            <w:tcW w:type="dxa" w:w="3120"/>
            <w:tcBorders>
              <w:top w:val="single" w:color="CBD5E0" w:sz="4"/>
              <w:left w:val="single" w:color="CBD5E0" w:sz="4"/>
              <w:bottom w:val="single" w:color="CBD5E0" w:sz="4"/>
              <w:right w:val="single" w:color="CBD5E0" w:sz="4"/>
            </w:tcBorders>
            <w:shd w:fill="EDF2F7" w:val="clear"/>
            <w:tcMar>
              <w:top w:type="dxa" w:w="100"/>
              <w:left w:type="dxa" w:w="140"/>
              <w:bottom w:type="dxa" w:w="100"/>
              <w:right w:type="dxa" w:w="140"/>
            </w:tcMar>
          </w:tcPr>
          <w:p>
            <w:pPr>
              <w:spacing w:after="40" w:before="40" w:line="280"/>
            </w:pPr>
            <w:r>
              <w:rPr>
                <w:b/>
                <w:bCs/>
              </w:rPr>
              <w:t xml:space="preserve">Fortune-50-grade data scale experience, and the canonical LP data model the industry still runs.</w:t>
            </w:r>
          </w:p>
        </w:tc>
      </w:tr>
      <w:tr>
        <w:tc>
          <w:tcPr>
            <w:tcW w:type="dxa" w:w="312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color w:val="718096"/>
              </w:rPr>
              <w:t xml:space="preserve">Tried Bitcoin in 2014</w:t>
            </w:r>
          </w:p>
        </w:tc>
        <w:tc>
          <w:tcPr>
            <w:tcW w:type="dxa" w:w="312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Miner, infrastructure architect, patent applicant (63/991,596), gLog / elJeffe protocol designer, Genesis Pool holder (10M permanent ordinal slots); earned BTC treasury directly from F2Pool hash</w:t>
            </w:r>
          </w:p>
        </w:tc>
        <w:tc>
          <w:tcPr>
            <w:tcW w:type="dxa" w:w="3120"/>
            <w:tcBorders>
              <w:top w:val="single" w:color="CBD5E0" w:sz="4"/>
              <w:left w:val="single" w:color="CBD5E0" w:sz="4"/>
              <w:bottom w:val="single" w:color="CBD5E0" w:sz="4"/>
              <w:right w:val="single" w:color="CBD5E0" w:sz="4"/>
            </w:tcBorders>
            <w:shd w:fill="EDF2F7" w:val="clear"/>
            <w:tcMar>
              <w:top w:type="dxa" w:w="100"/>
              <w:left w:type="dxa" w:w="140"/>
              <w:bottom w:type="dxa" w:w="100"/>
              <w:right w:type="dxa" w:w="140"/>
            </w:tcMar>
          </w:tcPr>
          <w:p>
            <w:pPr>
              <w:spacing w:after="40" w:before="40" w:line="280"/>
            </w:pPr>
            <w:r>
              <w:rPr>
                <w:b/>
                <w:bCs/>
              </w:rPr>
              <w:t xml:space="preserve">Rare executive combination — enterprise retail depth + Bitcoin-native architecture in the same person.</w:t>
            </w:r>
          </w:p>
        </w:tc>
      </w:tr>
      <w:tr>
        <w:tc>
          <w:tcPr>
            <w:tcW w:type="dxa" w:w="312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color w:val="718096"/>
              </w:rPr>
              <w:t xml:space="preserve">Building tools I thought I could market as reinvention</w:t>
            </w:r>
          </w:p>
        </w:tc>
        <w:tc>
          <w:tcPr>
            <w:tcW w:type="dxa" w:w="312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Canary at near-beta, Cove in early dev, Angel active as Cove module, Seacove as standalone demo, Secure as archival IP reference — all under one codified Factory pipeline (preflight → close, 9 stages)</w:t>
            </w:r>
          </w:p>
        </w:tc>
        <w:tc>
          <w:tcPr>
            <w:tcW w:type="dxa" w:w="3120"/>
            <w:tcBorders>
              <w:top w:val="single" w:color="CBD5E0" w:sz="4"/>
              <w:left w:val="single" w:color="CBD5E0" w:sz="4"/>
              <w:bottom w:val="single" w:color="CBD5E0" w:sz="4"/>
              <w:right w:val="single" w:color="CBD5E0" w:sz="4"/>
            </w:tcBorders>
            <w:shd w:fill="EDF2F7" w:val="clear"/>
            <w:tcMar>
              <w:top w:type="dxa" w:w="100"/>
              <w:left w:type="dxa" w:w="140"/>
              <w:bottom w:type="dxa" w:w="100"/>
              <w:right w:type="dxa" w:w="140"/>
            </w:tcMar>
          </w:tcPr>
          <w:p>
            <w:pPr>
              <w:spacing w:after="40" w:before="40" w:line="280"/>
            </w:pPr>
            <w:r>
              <w:rPr>
                <w:b/>
                <w:bCs/>
              </w:rPr>
              <w:t xml:space="preserve">A portfolio CIO's operating model is what I already use to run my own company.</w:t>
            </w:r>
          </w:p>
        </w:tc>
      </w:tr>
    </w:tbl>
    <w:p>
      <w:pPr>
        <w:spacing w:after="80" w:before="80" w:line="300"/>
      </w:pPr>
      <w:r>
        <w:t xml:space="preserve"> </w:t>
      </w:r>
    </w:p>
    <w:p>
      <w:pPr>
        <w:pBdr>
          <w:left w:val="single" w:color="1F3A5F" w:sz="18" w:space="12"/>
        </w:pBdr>
        <w:spacing w:after="160" w:before="120" w:line="300"/>
        <w:ind w:left="360" w:right="360"/>
      </w:pPr>
      <w:r>
        <w:rPr>
          <w:i/>
          <w:iCs/>
          <w:color w:val="4A5568"/>
        </w:rPr>
        <w:t xml:space="preserve">I am not asking a board to take a flier. I am asking them to recognize that the person who built the canonical LP data model their industry still runs, shipped the first US cashierless chain, ran the largest private retail transaction warehouse, and is currently operating a 5-division Bitcoin-native factory single-handedly — is already doing the job.</w:t>
      </w:r>
    </w:p>
    <w:p>
      <w:r>
        <w:br w:type="page"/>
      </w:r>
    </w:p>
    <w:p>
      <w:pPr>
        <w:pStyle w:val="Heading1"/>
        <w:spacing w:after="160" w:before="360"/>
      </w:pPr>
      <w:r>
        <w:t xml:space="preserve">3. Run / Grow / Transform — already split across my portfolio</w:t>
      </w:r>
    </w:p>
    <w:p>
      <w:pPr>
        <w:spacing w:after="80" w:before="80" w:line="300"/>
      </w:pPr>
      <w:r>
        <w:t xml:space="preserve">Gartner's interview bank asks every candidate: what percent of your current IT spending is for run/maintenance versus grow and transform? Most candidates answer with a one-company number. I answer with a portfolio — because I am already running one.</w:t>
      </w:r>
    </w:p>
    <w:p>
      <w:pPr>
        <w:spacing w:after="80" w:before="80" w:line="3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rPr>
          <w:tblHeader/>
        </w:trPr>
        <w:tc>
          <w:tcPr>
            <w:tcW w:type="dxa" w:w="1600"/>
            <w:tcBorders>
              <w:top w:val="single" w:color="CBD5E0" w:sz="4"/>
              <w:left w:val="single" w:color="CBD5E0" w:sz="4"/>
              <w:bottom w:val="single" w:color="CBD5E0" w:sz="4"/>
              <w:right w:val="single" w:color="CBD5E0" w:sz="4"/>
            </w:tcBorders>
            <w:shd w:fill="1F3A5F" w:val="clear"/>
            <w:tcMar>
              <w:top w:type="dxa" w:w="100"/>
              <w:left w:type="dxa" w:w="140"/>
              <w:bottom w:type="dxa" w:w="100"/>
              <w:right w:type="dxa" w:w="140"/>
            </w:tcMar>
          </w:tcPr>
          <w:p>
            <w:pPr>
              <w:spacing w:after="40" w:before="40"/>
            </w:pPr>
            <w:r>
              <w:rPr>
                <w:b/>
                <w:bCs/>
                <w:color w:val="FFFFFF"/>
              </w:rPr>
              <w:t xml:space="preserve">Division</w:t>
            </w:r>
          </w:p>
        </w:tc>
        <w:tc>
          <w:tcPr>
            <w:tcW w:type="dxa" w:w="1800"/>
            <w:tcBorders>
              <w:top w:val="single" w:color="CBD5E0" w:sz="4"/>
              <w:left w:val="single" w:color="CBD5E0" w:sz="4"/>
              <w:bottom w:val="single" w:color="CBD5E0" w:sz="4"/>
              <w:right w:val="single" w:color="CBD5E0" w:sz="4"/>
            </w:tcBorders>
            <w:shd w:fill="1F3A5F" w:val="clear"/>
            <w:tcMar>
              <w:top w:type="dxa" w:w="100"/>
              <w:left w:type="dxa" w:w="140"/>
              <w:bottom w:type="dxa" w:w="100"/>
              <w:right w:type="dxa" w:w="140"/>
            </w:tcMar>
          </w:tcPr>
          <w:p>
            <w:pPr>
              <w:spacing w:after="40" w:before="40"/>
            </w:pPr>
            <w:r>
              <w:rPr>
                <w:b/>
                <w:bCs/>
                <w:color w:val="FFFFFF"/>
              </w:rPr>
              <w:t xml:space="preserve">Status</w:t>
            </w:r>
          </w:p>
        </w:tc>
        <w:tc>
          <w:tcPr>
            <w:tcW w:type="dxa" w:w="1800"/>
            <w:tcBorders>
              <w:top w:val="single" w:color="CBD5E0" w:sz="4"/>
              <w:left w:val="single" w:color="CBD5E0" w:sz="4"/>
              <w:bottom w:val="single" w:color="CBD5E0" w:sz="4"/>
              <w:right w:val="single" w:color="CBD5E0" w:sz="4"/>
            </w:tcBorders>
            <w:shd w:fill="1F3A5F" w:val="clear"/>
            <w:tcMar>
              <w:top w:type="dxa" w:w="100"/>
              <w:left w:type="dxa" w:w="140"/>
              <w:bottom w:type="dxa" w:w="100"/>
              <w:right w:type="dxa" w:w="140"/>
            </w:tcMar>
          </w:tcPr>
          <w:p>
            <w:pPr>
              <w:spacing w:after="40" w:before="40"/>
            </w:pPr>
            <w:r>
              <w:rPr>
                <w:b/>
                <w:bCs/>
                <w:color w:val="FFFFFF"/>
              </w:rPr>
              <w:t xml:space="preserve">R / G / T classification</w:t>
            </w:r>
          </w:p>
        </w:tc>
        <w:tc>
          <w:tcPr>
            <w:tcW w:type="dxa" w:w="4160"/>
            <w:tcBorders>
              <w:top w:val="single" w:color="CBD5E0" w:sz="4"/>
              <w:left w:val="single" w:color="CBD5E0" w:sz="4"/>
              <w:bottom w:val="single" w:color="CBD5E0" w:sz="4"/>
              <w:right w:val="single" w:color="CBD5E0" w:sz="4"/>
            </w:tcBorders>
            <w:shd w:fill="1F3A5F" w:val="clear"/>
            <w:tcMar>
              <w:top w:type="dxa" w:w="100"/>
              <w:left w:type="dxa" w:w="140"/>
              <w:bottom w:type="dxa" w:w="100"/>
              <w:right w:type="dxa" w:w="140"/>
            </w:tcMar>
          </w:tcPr>
          <w:p>
            <w:pPr>
              <w:spacing w:after="40" w:before="40"/>
            </w:pPr>
            <w:r>
              <w:rPr>
                <w:b/>
                <w:bCs/>
                <w:color w:val="FFFFFF"/>
              </w:rPr>
              <w:t xml:space="preserve">Why it maps there</w:t>
            </w:r>
          </w:p>
        </w:tc>
      </w:tr>
      <w:tr>
        <w:tc>
          <w:tcPr>
            <w:tcW w:type="dxa" w:w="16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rPr>
              <w:t xml:space="preserve">Secure (archive)</w:t>
            </w:r>
          </w:p>
        </w:tc>
        <w:tc>
          <w:tcPr>
            <w:tcW w:type="dxa" w:w="18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Reference</w:t>
            </w:r>
          </w:p>
        </w:tc>
        <w:tc>
          <w:tcPr>
            <w:tcW w:type="dxa" w:w="18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color w:val="1F3A5F"/>
              </w:rPr>
              <w:t xml:space="preserve">RUN</w:t>
            </w:r>
          </w:p>
        </w:tc>
        <w:tc>
          <w:tcPr>
            <w:tcW w:type="dxa" w:w="416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30 years of retail-LP IP, canonical data models, deployment lineage; the stable institutional memory I operate against. Every new design decision gets crosswalked to what already worked and failed here.</w:t>
            </w:r>
          </w:p>
        </w:tc>
      </w:tr>
      <w:tr>
        <w:tc>
          <w:tcPr>
            <w:tcW w:type="dxa" w:w="16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rPr>
              <w:t xml:space="preserve">Canary</w:t>
            </w:r>
          </w:p>
        </w:tc>
        <w:tc>
          <w:tcPr>
            <w:tcW w:type="dxa" w:w="18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Near-beta</w:t>
            </w:r>
          </w:p>
        </w:tc>
        <w:tc>
          <w:tcPr>
            <w:tcW w:type="dxa" w:w="18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color w:val="1F3A5F"/>
              </w:rPr>
              <w:t xml:space="preserve">GROW</w:t>
            </w:r>
          </w:p>
        </w:tc>
        <w:tc>
          <w:tcPr>
            <w:tcW w:type="dxa" w:w="416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Primary commercial product. Market-ready loss-prevention SaaS for the 4.5M Square merchants. Revenue path is credible and sized (Acts 4, 6, 7 of the War Chest). This is where dollars come from in the next 12–24 months.</w:t>
            </w:r>
          </w:p>
        </w:tc>
      </w:tr>
      <w:tr>
        <w:tc>
          <w:tcPr>
            <w:tcW w:type="dxa" w:w="16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rPr>
              <w:t xml:space="preserve">Cove</w:t>
            </w:r>
          </w:p>
        </w:tc>
        <w:tc>
          <w:tcPr>
            <w:tcW w:type="dxa" w:w="18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Early dev</w:t>
            </w:r>
          </w:p>
        </w:tc>
        <w:tc>
          <w:tcPr>
            <w:tcW w:type="dxa" w:w="18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color w:val="1F3A5F"/>
              </w:rPr>
              <w:t xml:space="preserve">GROW</w:t>
            </w:r>
          </w:p>
        </w:tc>
        <w:tc>
          <w:tcPr>
            <w:tcW w:type="dxa" w:w="416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HOA governance platform; live deployment at WPBCA / 81 lots. Real users, real parcels, real ballots — validating a governance product against a community with actual problems to solve.</w:t>
            </w:r>
          </w:p>
        </w:tc>
      </w:tr>
      <w:tr>
        <w:tc>
          <w:tcPr>
            <w:tcW w:type="dxa" w:w="16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rPr>
              <w:t xml:space="preserve">Angel</w:t>
            </w:r>
          </w:p>
        </w:tc>
        <w:tc>
          <w:tcPr>
            <w:tcW w:type="dxa" w:w="18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Active (Cove module)</w:t>
            </w:r>
          </w:p>
        </w:tc>
        <w:tc>
          <w:tcPr>
            <w:tcW w:type="dxa" w:w="18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color w:val="1F3A5F"/>
              </w:rPr>
              <w:t xml:space="preserve">GROW</w:t>
            </w:r>
          </w:p>
        </w:tc>
        <w:tc>
          <w:tcPr>
            <w:tcW w:type="dxa" w:w="416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Real-estate intelligence for Compass agents; leverages Cove data plane. Audience-adjacent to my wife's professional network. Clear market, clear pricing.</w:t>
            </w:r>
          </w:p>
        </w:tc>
      </w:tr>
      <w:tr>
        <w:tc>
          <w:tcPr>
            <w:tcW w:type="dxa" w:w="16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rPr>
              <w:t xml:space="preserve">Seacove + gLog / elJeffe</w:t>
            </w:r>
          </w:p>
        </w:tc>
        <w:tc>
          <w:tcPr>
            <w:tcW w:type="dxa" w:w="18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Standalone + protocol layer</w:t>
            </w:r>
          </w:p>
        </w:tc>
        <w:tc>
          <w:tcPr>
            <w:tcW w:type="dxa" w:w="18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color w:val="1F3A5F"/>
              </w:rPr>
              <w:t xml:space="preserve">TRANSFORM</w:t>
            </w:r>
          </w:p>
        </w:tc>
        <w:tc>
          <w:tcPr>
            <w:tcW w:type="dxa" w:w="416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SketchUp pipeline for 25 Seacove Drive is the visible tip; underneath is the Bitcoin-anchored receipt standard, .jeffe namespace, Genesis Pool, Heartbeat fee-market optimizer. This is the category-defining bet — the VeriSign-style standard play.</w:t>
            </w:r>
          </w:p>
        </w:tc>
      </w:tr>
    </w:tbl>
    <w:p>
      <w:pPr>
        <w:spacing w:after="80" w:before="80" w:line="300"/>
      </w:pPr>
      <w:r>
        <w:t xml:space="preserve"> </w:t>
      </w:r>
    </w:p>
    <w:p>
      <w:pPr>
        <w:pStyle w:val="Heading2"/>
        <w:spacing w:after="120" w:before="280"/>
      </w:pPr>
      <w:r>
        <w:t xml:space="preserve">The split, stated as a ratio</w:t>
      </w:r>
    </w:p>
    <w:p>
      <w:pPr>
        <w:spacing w:after="80" w:before="80" w:line="300"/>
      </w:pPr>
      <w:r>
        <w:t xml:space="preserve">If a board asks me to put a number on it, the honest answer about how I allocate my own attention and capital across this portfolio in 2026 is roughly 25 / 55 / 20 — a modest run layer, a heavy grow push, and a meaningful transform bet. That is intentional, not accidental. A turnaround-phase CIO who walks into a stagnant shop with a 70 / 20 / 10 split will recognize the shape of what I already do and the shape of where they need to get to.</w:t>
      </w:r>
    </w:p>
    <w:p>
      <w:pPr>
        <w:pBdr>
          <w:left w:val="single" w:color="1F3A5F" w:sz="18" w:space="12"/>
        </w:pBdr>
        <w:spacing w:after="160" w:before="120" w:line="300"/>
        <w:ind w:left="360" w:right="360"/>
      </w:pPr>
      <w:r>
        <w:rPr>
          <w:i/>
          <w:iCs/>
          <w:color w:val="4A5568"/>
        </w:rPr>
        <w:t xml:space="preserve">The reason I can answer this question without fumbling is that I have been forced to allocate this way with my own runway for two years. No enterprise CIO who has only ever spent other people's money has had to feel the Transform budget the way I have.</w:t>
      </w:r>
    </w:p>
    <w:p>
      <w:r>
        <w:br w:type="page"/>
      </w:r>
    </w:p>
    <w:p>
      <w:pPr>
        <w:pStyle w:val="Heading1"/>
        <w:spacing w:after="160" w:before="360"/>
      </w:pPr>
      <w:r>
        <w:t xml:space="preserve">4. Power Map — my current ecosystem</w:t>
      </w:r>
    </w:p>
    <w:p>
      <w:pPr>
        <w:spacing w:after="80" w:before="80" w:line="300"/>
      </w:pPr>
      <w:r>
        <w:t xml:space="preserve">Gartner says the CIO's Power Map identifies who has authority to approve, veto, delay, and amplify. I do not need to fabricate one for a hypothetical engagement — I already operate inside one.</w:t>
      </w:r>
    </w:p>
    <w:p>
      <w:pPr>
        <w:spacing w:after="80" w:before="80" w:line="3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20"/>
        <w:gridCol w:w="3840"/>
      </w:tblGrid>
      <w:tr>
        <w:trPr>
          <w:tblHeader/>
        </w:trPr>
        <w:tc>
          <w:tcPr>
            <w:tcW w:type="dxa" w:w="2400"/>
            <w:tcBorders>
              <w:top w:val="single" w:color="CBD5E0" w:sz="4"/>
              <w:left w:val="single" w:color="CBD5E0" w:sz="4"/>
              <w:bottom w:val="single" w:color="CBD5E0" w:sz="4"/>
              <w:right w:val="single" w:color="CBD5E0" w:sz="4"/>
            </w:tcBorders>
            <w:shd w:fill="1F3A5F" w:val="clear"/>
            <w:tcMar>
              <w:top w:type="dxa" w:w="100"/>
              <w:left w:type="dxa" w:w="140"/>
              <w:bottom w:type="dxa" w:w="100"/>
              <w:right w:type="dxa" w:w="140"/>
            </w:tcMar>
          </w:tcPr>
          <w:p>
            <w:pPr>
              <w:spacing w:after="40" w:before="40"/>
            </w:pPr>
            <w:r>
              <w:rPr>
                <w:b/>
                <w:bCs/>
                <w:color w:val="FFFFFF"/>
              </w:rPr>
              <w:t xml:space="preserve">Stakeholder tier</w:t>
            </w:r>
          </w:p>
        </w:tc>
        <w:tc>
          <w:tcPr>
            <w:tcW w:type="dxa" w:w="3120"/>
            <w:tcBorders>
              <w:top w:val="single" w:color="CBD5E0" w:sz="4"/>
              <w:left w:val="single" w:color="CBD5E0" w:sz="4"/>
              <w:bottom w:val="single" w:color="CBD5E0" w:sz="4"/>
              <w:right w:val="single" w:color="CBD5E0" w:sz="4"/>
            </w:tcBorders>
            <w:shd w:fill="1F3A5F" w:val="clear"/>
            <w:tcMar>
              <w:top w:type="dxa" w:w="100"/>
              <w:left w:type="dxa" w:w="140"/>
              <w:bottom w:type="dxa" w:w="100"/>
              <w:right w:type="dxa" w:w="140"/>
            </w:tcMar>
          </w:tcPr>
          <w:p>
            <w:pPr>
              <w:spacing w:after="40" w:before="40"/>
            </w:pPr>
            <w:r>
              <w:rPr>
                <w:b/>
                <w:bCs/>
                <w:color w:val="FFFFFF"/>
              </w:rPr>
              <w:t xml:space="preserve">Who</w:t>
            </w:r>
          </w:p>
        </w:tc>
        <w:tc>
          <w:tcPr>
            <w:tcW w:type="dxa" w:w="3840"/>
            <w:tcBorders>
              <w:top w:val="single" w:color="CBD5E0" w:sz="4"/>
              <w:left w:val="single" w:color="CBD5E0" w:sz="4"/>
              <w:bottom w:val="single" w:color="CBD5E0" w:sz="4"/>
              <w:right w:val="single" w:color="CBD5E0" w:sz="4"/>
            </w:tcBorders>
            <w:shd w:fill="1F3A5F" w:val="clear"/>
            <w:tcMar>
              <w:top w:type="dxa" w:w="100"/>
              <w:left w:type="dxa" w:w="140"/>
              <w:bottom w:type="dxa" w:w="100"/>
              <w:right w:type="dxa" w:w="140"/>
            </w:tcMar>
          </w:tcPr>
          <w:p>
            <w:pPr>
              <w:spacing w:after="40" w:before="40"/>
            </w:pPr>
            <w:r>
              <w:rPr>
                <w:b/>
                <w:bCs/>
                <w:color w:val="FFFFFF"/>
              </w:rPr>
              <w:t xml:space="preserve">How I already operate against them</w:t>
            </w:r>
          </w:p>
        </w:tc>
      </w:tr>
      <w:tr>
        <w:tc>
          <w:tcPr>
            <w:tcW w:type="dxa" w:w="24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color w:val="1F3A5F"/>
              </w:rPr>
              <w:t xml:space="preserve">Board / Investors</w:t>
            </w:r>
          </w:p>
        </w:tc>
        <w:tc>
          <w:tcPr>
            <w:tcW w:type="dxa" w:w="312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Prospective investors for GrowDirect; the advisory circle around the Foundation strategy; the Cove Foundation board (seated later)</w:t>
            </w:r>
          </w:p>
        </w:tc>
        <w:tc>
          <w:tcPr>
            <w:tcW w:type="dxa" w:w="384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I have run structured investor conversations against the Symbiosis Thesis and the War Chest. Pitch Spine v0.4 is the backbone; the five investor sentences are memorized.</w:t>
            </w:r>
          </w:p>
        </w:tc>
      </w:tr>
      <w:tr>
        <w:tc>
          <w:tcPr>
            <w:tcW w:type="dxa" w:w="24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color w:val="1F3A5F"/>
              </w:rPr>
              <w:t xml:space="preserve">Customers / Users</w:t>
            </w:r>
          </w:p>
        </w:tc>
        <w:tc>
          <w:tcPr>
            <w:tcW w:type="dxa" w:w="312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Square merchants (Canary), WPBCA members and RPV residents (Cove), Compass agents (Angel), permit-pulling homeowners (rpv-permit-architect)</w:t>
            </w:r>
          </w:p>
        </w:tc>
        <w:tc>
          <w:tcPr>
            <w:tcW w:type="dxa" w:w="384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Multi-voice register. Merchants get the product voice. HOA members get the restrained planning-commission voice. Agents get the lead-gen voice. Each is distinct and documented.</w:t>
            </w:r>
          </w:p>
        </w:tc>
      </w:tr>
      <w:tr>
        <w:tc>
          <w:tcPr>
            <w:tcW w:type="dxa" w:w="24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color w:val="1F3A5F"/>
              </w:rPr>
              <w:t xml:space="preserve">Peers / Sister-function leaders</w:t>
            </w:r>
          </w:p>
        </w:tc>
        <w:tc>
          <w:tcPr>
            <w:tcW w:type="dxa" w:w="312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Would be peer C-suite at a hiring org. Today's equivalents: Legal (compliance-check, NDA triage), Finance (projections, Goose treasury), Marketing (Jess docs, Jim sentiment), Security (WORM, PII gating)</w:t>
            </w:r>
          </w:p>
        </w:tc>
        <w:tc>
          <w:tcPr>
            <w:tcW w:type="dxa" w:w="384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I have literally stood up each of these functions as a role in the Factory. I have drafted the SDDs, the briefs, and the playbooks they operate from. I know how each one should think.</w:t>
            </w:r>
          </w:p>
        </w:tc>
      </w:tr>
      <w:tr>
        <w:tc>
          <w:tcPr>
            <w:tcW w:type="dxa" w:w="24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color w:val="1F3A5F"/>
              </w:rPr>
              <w:t xml:space="preserve">Direct reports / Delivery</w:t>
            </w:r>
          </w:p>
        </w:tc>
        <w:tc>
          <w:tcPr>
            <w:tcW w:type="dxa" w:w="312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The Factory role bench — Tom (architecture), Eva (program), Jeremy (build + DevOps), Jess (documentation), Jim (customer sentiment), Owl (product AI), Art (UX/creative), Compliance, DevOps, Research</w:t>
            </w:r>
          </w:p>
        </w:tc>
        <w:tc>
          <w:tcPr>
            <w:tcW w:type="dxa" w:w="384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I have codified profiles, published responsibilities, and a 9-stage pipeline that governs how work hands off between them. That is the organizational design competency the interview bank asks about.</w:t>
            </w:r>
          </w:p>
        </w:tc>
      </w:tr>
      <w:tr>
        <w:tc>
          <w:tcPr>
            <w:tcW w:type="dxa" w:w="24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color w:val="1F3A5F"/>
              </w:rPr>
              <w:t xml:space="preserve">Vendors / Partners</w:t>
            </w:r>
          </w:p>
        </w:tc>
        <w:tc>
          <w:tcPr>
            <w:tcW w:type="dxa" w:w="312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AWS / infra (implicit), Square (POS integration), F2Pool (mining), Ordinals / Avalanche ecosystem, Linear, Obsidian, the plugin marketplace</w:t>
            </w:r>
          </w:p>
        </w:tc>
        <w:tc>
          <w:tcPr>
            <w:tcW w:type="dxa" w:w="384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I run a "platform-agnostic from day one" discipline — the canonical transaction schema stands before any second POS integration. I know the vendor-lock-in trap because I've seen it from both sides.</w:t>
            </w:r>
          </w:p>
        </w:tc>
      </w:tr>
      <w:tr>
        <w:tc>
          <w:tcPr>
            <w:tcW w:type="dxa" w:w="24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color w:val="1F3A5F"/>
              </w:rPr>
              <w:t xml:space="preserve">Industry / Community</w:t>
            </w:r>
          </w:p>
        </w:tc>
        <w:tc>
          <w:tcPr>
            <w:tcW w:type="dxa" w:w="312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RPV residents, Planning Commission, local realtor network (through my wife), Cove HOA neighbors, the broader Bitcoin / retail-tech community</w:t>
            </w:r>
          </w:p>
        </w:tc>
        <w:tc>
          <w:tcPr>
            <w:tcW w:type="dxa" w:w="384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This is the under-appreciated CIO muscle: civic credibility. Cove is my proof that I can run a multi-stakeholder process against a failing governance body and document it for a skeptical public.</w:t>
            </w:r>
          </w:p>
        </w:tc>
      </w:tr>
    </w:tbl>
    <w:p>
      <w:pPr>
        <w:spacing w:after="80" w:before="80" w:line="300"/>
      </w:pPr>
      <w:r>
        <w:t xml:space="preserve"> </w:t>
      </w:r>
    </w:p>
    <w:p>
      <w:pPr>
        <w:pStyle w:val="Heading2"/>
        <w:spacing w:after="120" w:before="280"/>
      </w:pPr>
      <w:r>
        <w:t xml:space="preserve">What this says to a hiring board</w:t>
      </w:r>
    </w:p>
    <w:p>
      <w:pPr>
        <w:spacing w:after="80" w:before="80" w:line="300"/>
      </w:pPr>
      <w:r>
        <w:t xml:space="preserve">The candidate who has been a CIO inside a large enterprise usually knows three of these six tiers well — the board, the peers, and the direct reports. Customer, vendor, and industry are often under-muscled because someone else handled them. I have had to carry all six because there was no one else. That is an asymmetric advantage in a turnaround situation. It is also a liability in a steady-state one. I should go where turnaround is the job.</w:t>
      </w:r>
    </w:p>
    <w:p>
      <w:r>
        <w:br w:type="page"/>
      </w:r>
    </w:p>
    <w:p>
      <w:pPr>
        <w:pStyle w:val="Heading1"/>
        <w:spacing w:after="160" w:before="360"/>
      </w:pPr>
      <w:r>
        <w:t xml:space="preserve">5. Elevator Questions — answered for my own organization</w:t>
      </w:r>
    </w:p>
    <w:p>
      <w:pPr>
        <w:spacing w:after="80" w:before="80" w:line="300"/>
      </w:pPr>
      <w:r>
        <w:t xml:space="preserve">The Gartner 100-Days playbook prescribes a set of questions the incoming CIO should ask everyone they meet in the first weeks. If I cannot answer them about my own operation, I have no standing to walk into someone else's. Here are mine, for the record.</w:t>
      </w:r>
    </w:p>
    <w:p>
      <w:pPr>
        <w:spacing w:after="80" w:before="80" w:line="300"/>
      </w:pPr>
      <w:r>
        <w:t xml:space="preserve"> </w:t>
      </w:r>
    </w:p>
    <w:p>
      <w:pPr>
        <w:pStyle w:val="Heading2"/>
        <w:spacing w:after="120" w:before="280"/>
      </w:pPr>
      <w:r>
        <w:t xml:space="preserve">What is going great?</w:t>
      </w:r>
    </w:p>
    <w:p>
      <w:pPr>
        <w:pStyle w:val="ListParagraph"/>
        <w:numPr>
          <w:ilvl w:val="0"/>
          <w:numId w:val="3"/>
        </w:numPr>
        <w:spacing w:after="40" w:before="40" w:line="280"/>
      </w:pPr>
      <w:r>
        <w:t xml:space="preserve">The Factory process works. 541 tests up from 128 during the Feb sprint; daily commits; named session captures that produce traceable decisions; the 9-stage pipeline actually gates work and does not get skipped.</w:t>
      </w:r>
    </w:p>
    <w:p>
      <w:pPr>
        <w:pStyle w:val="ListParagraph"/>
        <w:numPr>
          <w:ilvl w:val="0"/>
          <w:numId w:val="3"/>
        </w:numPr>
        <w:spacing w:after="40" w:before="40" w:line="280"/>
      </w:pPr>
      <w:r>
        <w:t xml:space="preserve">The Brain / Obsidian / pgvector stack turned three years of scattered working papers into a queryable graph. 86 wiki cards under growdirect-*. Memory bus is live. This is real knowledge infrastructure, not a content farm.</w:t>
      </w:r>
    </w:p>
    <w:p>
      <w:pPr>
        <w:pStyle w:val="ListParagraph"/>
        <w:numPr>
          <w:ilvl w:val="0"/>
          <w:numId w:val="3"/>
        </w:numPr>
        <w:spacing w:after="40" w:before="40" w:line="280"/>
      </w:pPr>
      <w:r>
        <w:t xml:space="preserve">Canary has crossed from idea to near-beta. Detection rules, Chirp alerts, Fox case management, gLog inscription — these are no longer slides, they are code that runs.</w:t>
      </w:r>
    </w:p>
    <w:p>
      <w:pPr>
        <w:pStyle w:val="ListParagraph"/>
        <w:numPr>
          <w:ilvl w:val="0"/>
          <w:numId w:val="3"/>
        </w:numPr>
        <w:spacing w:after="40" w:before="40" w:line="280"/>
      </w:pPr>
      <w:r>
        <w:t xml:space="preserve">The War Chest pitch spine is locked. The five investor sentences land. The Walmart endgame framing works in conversation.</w:t>
      </w:r>
    </w:p>
    <w:p>
      <w:pPr>
        <w:spacing w:after="80" w:before="80" w:line="300"/>
      </w:pPr>
      <w:r>
        <w:t xml:space="preserve"> </w:t>
      </w:r>
    </w:p>
    <w:p>
      <w:pPr>
        <w:pStyle w:val="Heading2"/>
        <w:spacing w:after="120" w:before="280"/>
      </w:pPr>
      <w:r>
        <w:t xml:space="preserve">What needs fixing now?</w:t>
      </w:r>
    </w:p>
    <w:p>
      <w:pPr>
        <w:pStyle w:val="ListParagraph"/>
        <w:numPr>
          <w:ilvl w:val="0"/>
          <w:numId w:val="3"/>
        </w:numPr>
        <w:spacing w:after="40" w:before="40" w:line="280"/>
      </w:pPr>
      <w:r>
        <w:t xml:space="preserve">Version drift in the Manifesto — file says v1.1, header says v1.2. Small, but it violates the doctrine. Fix and commit.</w:t>
      </w:r>
    </w:p>
    <w:p>
      <w:pPr>
        <w:pStyle w:val="ListParagraph"/>
        <w:numPr>
          <w:ilvl w:val="0"/>
          <w:numId w:val="3"/>
        </w:numPr>
        <w:spacing w:after="40" w:before="40" w:line="280"/>
      </w:pPr>
      <w:r>
        <w:t xml:space="preserve">Canary beta launch is paced by my own attention bandwidth across five projects. This is the gating constraint that funding solves.</w:t>
      </w:r>
    </w:p>
    <w:p>
      <w:pPr>
        <w:pStyle w:val="ListParagraph"/>
        <w:numPr>
          <w:ilvl w:val="0"/>
          <w:numId w:val="3"/>
        </w:numPr>
        <w:spacing w:after="40" w:before="40" w:line="280"/>
      </w:pPr>
      <w:r>
        <w:t xml:space="preserve">The .jeffe namespace registry design needs multi-sig governance before Phase 2. Today it is GrowDirect-managed; Phase 2 requires merchant councils. That is a governance design gap, not a code gap.</w:t>
      </w:r>
    </w:p>
    <w:p>
      <w:pPr>
        <w:pStyle w:val="ListParagraph"/>
        <w:numPr>
          <w:ilvl w:val="0"/>
          <w:numId w:val="3"/>
        </w:numPr>
        <w:spacing w:after="40" w:before="40" w:line="280"/>
      </w:pPr>
      <w:r>
        <w:t xml:space="preserve">Sales — SoCal lead database is structure-only; live data needs to start flowing. First 10 paying Square merchants is the Act 7 proof.</w:t>
      </w:r>
    </w:p>
    <w:p>
      <w:pPr>
        <w:spacing w:after="80" w:before="80" w:line="300"/>
      </w:pPr>
      <w:r>
        <w:t xml:space="preserve"> </w:t>
      </w:r>
    </w:p>
    <w:p>
      <w:pPr>
        <w:pStyle w:val="Heading2"/>
        <w:spacing w:after="120" w:before="280"/>
      </w:pPr>
      <w:r>
        <w:t xml:space="preserve">What are the three major initiatives?</w:t>
      </w:r>
    </w:p>
    <w:p>
      <w:pPr>
        <w:pStyle w:val="ListParagraph"/>
        <w:numPr>
          <w:ilvl w:val="0"/>
          <w:numId w:val="2"/>
        </w:numPr>
        <w:spacing w:after="40" w:before="40" w:line="280"/>
      </w:pPr>
      <w:r>
        <w:t xml:space="preserve">Canary beta → first paying merchants (commercial credibility).</w:t>
      </w:r>
    </w:p>
    <w:p>
      <w:pPr>
        <w:pStyle w:val="ListParagraph"/>
        <w:numPr>
          <w:ilvl w:val="0"/>
          <w:numId w:val="2"/>
        </w:numPr>
        <w:spacing w:after="40" w:before="40" w:line="280"/>
      </w:pPr>
      <w:r>
        <w:t xml:space="preserve">Cove quorum restoration at WPBCA → governance precedent (civic credibility).</w:t>
      </w:r>
    </w:p>
    <w:p>
      <w:pPr>
        <w:pStyle w:val="ListParagraph"/>
        <w:numPr>
          <w:ilvl w:val="0"/>
          <w:numId w:val="2"/>
        </w:numPr>
        <w:spacing w:after="40" w:before="40" w:line="280"/>
      </w:pPr>
      <w:r>
        <w:t xml:space="preserve">Genesis Pool operationalization + Heartbeat fee-market optimizer → protocol credibility (the Transform bet).</w:t>
      </w:r>
    </w:p>
    <w:p>
      <w:pPr>
        <w:spacing w:after="80" w:before="80" w:line="300"/>
      </w:pPr>
      <w:r>
        <w:t xml:space="preserve"> </w:t>
      </w:r>
    </w:p>
    <w:p>
      <w:pPr>
        <w:pStyle w:val="Heading2"/>
        <w:spacing w:after="120" w:before="280"/>
      </w:pPr>
      <w:r>
        <w:t xml:space="preserve">What are the three major requirements of IT — and of the CIO?</w:t>
      </w:r>
    </w:p>
    <w:p>
      <w:pPr>
        <w:pStyle w:val="ListParagraph"/>
        <w:numPr>
          <w:ilvl w:val="0"/>
          <w:numId w:val="2"/>
        </w:numPr>
        <w:spacing w:after="40" w:before="40" w:line="280"/>
      </w:pPr>
      <w:r>
        <w:t xml:space="preserve">Ship something that runs, every day. Rule zero. The test of whether the IT organization is healthy is whether a merchant can use a thing today that they could not use yesterday.</w:t>
      </w:r>
    </w:p>
    <w:p>
      <w:pPr>
        <w:pStyle w:val="ListParagraph"/>
        <w:numPr>
          <w:ilvl w:val="0"/>
          <w:numId w:val="2"/>
        </w:numPr>
        <w:spacing w:after="40" w:before="40" w:line="280"/>
      </w:pPr>
      <w:r>
        <w:t xml:space="preserve">Document as code. SDDs → chunked memories → wikis → code. Every decision is traceable. Every change has an address. That is the only way an organization this size (one operator, many agents) scales at all.</w:t>
      </w:r>
    </w:p>
    <w:p>
      <w:pPr>
        <w:pStyle w:val="ListParagraph"/>
        <w:numPr>
          <w:ilvl w:val="0"/>
          <w:numId w:val="2"/>
        </w:numPr>
        <w:spacing w:after="40" w:before="40" w:line="280"/>
      </w:pPr>
      <w:r>
        <w:t xml:space="preserve">Compliance by construction, not by policy. PII hashed before inscription. INSERT-only evidence store. Hash-chained audit trail. Bitcoin inscription as final proof. The architecture has to remove the attack surface, not layer controls on top of it.</w:t>
      </w:r>
    </w:p>
    <w:p>
      <w:r>
        <w:br w:type="page"/>
      </w:r>
    </w:p>
    <w:p>
      <w:pPr>
        <w:pStyle w:val="Heading1"/>
        <w:spacing w:after="160" w:before="360"/>
      </w:pPr>
      <w:r>
        <w:t xml:space="preserve">6. Top interview questions — answered from lived material</w:t>
      </w:r>
    </w:p>
    <w:p>
      <w:pPr>
        <w:spacing w:after="80" w:before="80" w:line="300"/>
      </w:pPr>
      <w:r>
        <w:t xml:space="preserve">These are drawn from the Gartner Hiring-a-CIO question bank (G00200583). Each answer here is scaffolded so I can walk into any CIO search with a ready response grounded in real events, not generalities.</w:t>
      </w:r>
    </w:p>
    <w:p>
      <w:pPr>
        <w:spacing w:after="80" w:before="80" w:line="300"/>
      </w:pPr>
      <w:r>
        <w:t xml:space="preserve"> </w:t>
      </w:r>
    </w:p>
    <w:p>
      <w:pPr>
        <w:pStyle w:val="Heading2"/>
        <w:spacing w:after="120" w:before="280"/>
      </w:pPr>
      <w:r>
        <w:t xml:space="preserve">Q. Can you explain how you saw a business problem and applied technology to solve it?</w:t>
      </w:r>
    </w:p>
    <w:p>
      <w:pPr>
        <w:spacing w:after="80" w:before="80" w:line="300"/>
      </w:pPr>
      <w:r>
        <w:t xml:space="preserve">This is the LaneHawk answer. Every CIO candidate gets asked a version of this question, and most of them reach for something thin. Mine is the defining moment of my career.</w:t>
      </w:r>
    </w:p>
    <w:p>
      <w:pPr>
        <w:pBdr>
          <w:left w:val="single" w:color="1F3A5F" w:sz="18" w:space="12"/>
        </w:pBdr>
        <w:spacing w:after="160" w:before="120" w:line="300"/>
        <w:ind w:left="360" w:right="360"/>
      </w:pPr>
      <w:r>
        <w:rPr>
          <w:i/>
          <w:iCs/>
          <w:color w:val="4A5568"/>
        </w:rPr>
        <w:t xml:space="preserve">Under-basket scanning technology was integrated into the IBM 4690 platform. The integration created field-length overflows in the packed hexadecimal BCD format the tLog used to encode transactions. Fields silently truncated. Records corrupted. Transactions vanished from the log. Loss Prevention flagged the missing records as theft. Employees were accused of stealing based on corrupted data. Careers were damaged. The accusations were wrong.</w:t>
      </w:r>
    </w:p>
    <w:p>
      <w:pPr>
        <w:spacing w:after="80" w:before="80" w:line="300"/>
      </w:pPr>
      <w:r>
        <w:t xml:space="preserve">That was the business problem. The technical cause was a crashed field length in a fragile binary format that had never been designed for third-party integration. I lived the resolution side — proving system failure, defending accused employees, and learning that the problem was never the people. The problem was the log.</w:t>
      </w:r>
    </w:p>
    <w:p>
      <w:pPr>
        <w:spacing w:after="80" w:before="80" w:line="300"/>
      </w:pPr>
      <w:r>
        <w:t xml:space="preserve">The technology answer is gLog — the permanent successor to the tLog — now patent pending (63/991,596). INSERT-only evidence. Hash-chained audit. Bitcoin inscription as final proof. Compliance by architecture, not by policy. It is the culmination of the same problem I spent twenty years watching the industry fail to solve. This is how I answer the question a board asks every candidate, and this is why no other answer sounds the same.</w:t>
      </w:r>
    </w:p>
    <w:p>
      <w:pPr>
        <w:spacing w:after="80" w:before="80" w:line="300"/>
      </w:pPr>
      <w:r>
        <w:t xml:space="preserve"> </w:t>
      </w:r>
    </w:p>
    <w:p>
      <w:pPr>
        <w:pStyle w:val="Heading2"/>
        <w:spacing w:after="120" w:before="280"/>
      </w:pPr>
      <w:r>
        <w:t xml:space="preserve">Q. What would you do in the first 90 days?</w:t>
      </w:r>
    </w:p>
    <w:p>
      <w:pPr>
        <w:spacing w:after="80" w:before="80" w:line="300"/>
      </w:pPr>
      <w:r>
        <w:t xml:space="preserve">I refer them to Section 8 of this document — my 100-day framework — and then walk them through it in plain terms: first, ask my Elevator Questions of everyone I meet. Second, run the Gartner Turnaround Assessment Scorecard to establish baseline. Third, pick no more than four key initiatives and two secondary ones, because a CIO who starts with more than that is already losing. Fourth, publish a single-page 100-day plan to the board at Day 30 and refuse to let it drift. The specific answers depend on the specific organization; the discipline of that phasing does not.</w:t>
      </w:r>
    </w:p>
    <w:p>
      <w:pPr>
        <w:spacing w:after="80" w:before="80" w:line="300"/>
      </w:pPr>
      <w:r>
        <w:t xml:space="preserve"> </w:t>
      </w:r>
    </w:p>
    <w:p>
      <w:pPr>
        <w:pStyle w:val="Heading2"/>
        <w:spacing w:after="120" w:before="280"/>
      </w:pPr>
      <w:r>
        <w:t xml:space="preserve">Q. What percentage of enterprise revenue is your current IT budget — and what is the run/grow/transform split?</w:t>
      </w:r>
    </w:p>
    <w:p>
      <w:pPr>
        <w:spacing w:after="80" w:before="80" w:line="300"/>
      </w:pPr>
      <w:r>
        <w:t xml:space="preserve">My answer: as the solo operator of GrowDirect's five-division portfolio, 100% of enterprise revenue is IT budget — because IT is the product. That is an unfair answer to an enterprise question, so I will translate: allocating my own time and capital across the portfolio, my split is approximately 25 / 55 / 20. The board will recognize this as a shape that looks like a transformation shop, because that is the kind of organization I built. (Section 3 has the full table.)</w:t>
      </w:r>
    </w:p>
    <w:p>
      <w:pPr>
        <w:spacing w:after="80" w:before="80" w:line="300"/>
      </w:pPr>
      <w:r>
        <w:t xml:space="preserve"> </w:t>
      </w:r>
    </w:p>
    <w:p>
      <w:pPr>
        <w:pStyle w:val="Heading2"/>
        <w:spacing w:after="120" w:before="280"/>
      </w:pPr>
      <w:r>
        <w:t xml:space="preserve">Q. Tell me about a crisis you managed.</w:t>
      </w:r>
    </w:p>
    <w:p>
      <w:pPr>
        <w:spacing w:after="80" w:before="80" w:line="300"/>
      </w:pPr>
      <w:r>
        <w:t xml:space="preserve">The 2016 acquisition. The Secure / Appriss platform was the canonical retail LP data store — the infrastructure I had spent nearly a decade building with a co-founding team. The acquisition landed. The factory process was cut short. The data model survived. The institutional memory did not.</w:t>
      </w:r>
    </w:p>
    <w:p>
      <w:pPr>
        <w:spacing w:after="80" w:before="80" w:line="300"/>
      </w:pPr>
      <w:r>
        <w:t xml:space="preserve">What I learned is the asymmetry between a working organization and a working product. The product can be acquired. The organization cannot. What I am building now is designed with that lesson embedded — the Factory, the Brain, the SDDs, the chunked memory, the doc-as-code pipeline — these are all acts of institutional durability. They exist because the last time, I lost them.</w:t>
      </w:r>
    </w:p>
    <w:p>
      <w:pPr>
        <w:spacing w:after="80" w:before="80" w:line="300"/>
      </w:pPr>
      <w:r>
        <w:t xml:space="preserve"> </w:t>
      </w:r>
    </w:p>
    <w:p>
      <w:pPr>
        <w:pStyle w:val="Heading2"/>
        <w:spacing w:after="120" w:before="280"/>
      </w:pPr>
      <w:r>
        <w:t xml:space="preserve">Q. Biggest failure?</w:t>
      </w:r>
    </w:p>
    <w:p>
      <w:pPr>
        <w:spacing w:after="80" w:before="80" w:line="300"/>
      </w:pPr>
      <w:r>
        <w:t xml:space="preserve">Same event, different lens. The failure was not the acquisition itself; the failure was letting the process that produced the work be cut short. The lesson is that a CIO's job is not just to ship; it is to institutionalize the way shipping happens, so that it survives the change of who owns it. I did not do that in 2016. I am doing it now. The platform CLAUDE.md, the Factory pipeline SDD, the Method MOC — these exist because of that failure.</w:t>
      </w:r>
    </w:p>
    <w:p>
      <w:pPr>
        <w:spacing w:after="80" w:before="80" w:line="300"/>
      </w:pPr>
      <w:r>
        <w:t xml:space="preserve"> </w:t>
      </w:r>
    </w:p>
    <w:p>
      <w:pPr>
        <w:pStyle w:val="Heading2"/>
        <w:spacing w:after="120" w:before="280"/>
      </w:pPr>
      <w:r>
        <w:t xml:space="preserve">Q. Why should we hire you over a more traditional candidate?</w:t>
      </w:r>
    </w:p>
    <w:p>
      <w:pPr>
        <w:spacing w:after="80" w:before="80" w:line="300"/>
      </w:pPr>
      <w:r>
        <w:t xml:space="preserve">Three specific reasons, not generic ones.</w:t>
      </w:r>
    </w:p>
    <w:p>
      <w:pPr>
        <w:pStyle w:val="ListParagraph"/>
        <w:numPr>
          <w:ilvl w:val="0"/>
          <w:numId w:val="2"/>
        </w:numPr>
        <w:spacing w:after="40" w:before="40" w:line="280"/>
      </w:pPr>
      <w:r>
        <w:t xml:space="preserve">The combination in one person. Thirty years of enterprise retail plus Bitcoin-native architecture plus an operating factory methodology. A traditional candidate has one or two of these; none have all three.</w:t>
      </w:r>
    </w:p>
    <w:p>
      <w:pPr>
        <w:pStyle w:val="ListParagraph"/>
        <w:numPr>
          <w:ilvl w:val="0"/>
          <w:numId w:val="2"/>
        </w:numPr>
        <w:spacing w:after="40" w:before="40" w:line="280"/>
      </w:pPr>
      <w:r>
        <w:t xml:space="preserve">I have already allocated scarce capital. Most senior-executive candidates have only spent other people's money. I have felt the Transform budget with my own runway. The CFO conversation is not abstract for me.</w:t>
      </w:r>
    </w:p>
    <w:p>
      <w:pPr>
        <w:pStyle w:val="ListParagraph"/>
        <w:numPr>
          <w:ilvl w:val="0"/>
          <w:numId w:val="2"/>
        </w:numPr>
        <w:spacing w:after="40" w:before="40" w:line="280"/>
      </w:pPr>
      <w:r>
        <w:t xml:space="preserve">Portfolio operating reflex. Five concurrent divisions on shared infrastructure with codified process — that is the shape of a transformation CIO's operating model. I built it by necessity. It is native to me now.</w:t>
      </w:r>
    </w:p>
    <w:p>
      <w:pPr>
        <w:spacing w:after="80" w:before="80" w:line="300"/>
      </w:pPr>
      <w:r>
        <w:t xml:space="preserve"> </w:t>
      </w:r>
    </w:p>
    <w:p>
      <w:pPr>
        <w:pStyle w:val="Heading2"/>
        <w:spacing w:after="120" w:before="280"/>
      </w:pPr>
      <w:r>
        <w:t xml:space="preserve">Q. What would make you turn down this role?</w:t>
      </w:r>
    </w:p>
    <w:p>
      <w:pPr>
        <w:spacing w:after="80" w:before="80" w:line="300"/>
      </w:pPr>
      <w:r>
        <w:t xml:space="preserve">If the organization wants a steward. I am not a steward. I am a builder and a turnaround operator. If the board's actual mandate is to keep things from breaking, they should hire someone else and I will be happier about it than they will. If the board's actual mandate is to transform and the stated mandate is to steward, we will both be miserable in year two. I would rather get clear on this at Day 0 than at Day 400.</w:t>
      </w:r>
    </w:p>
    <w:p>
      <w:r>
        <w:br w:type="page"/>
      </w:r>
    </w:p>
    <w:p>
      <w:pPr>
        <w:pStyle w:val="Heading1"/>
        <w:spacing w:after="160" w:before="360"/>
      </w:pPr>
      <w:r>
        <w:t xml:space="preserve">7. Four focus dimensions — what I carry, what I hire for</w:t>
      </w:r>
    </w:p>
    <w:p>
      <w:pPr>
        <w:spacing w:after="80" w:before="80" w:line="300"/>
      </w:pPr>
      <w:r>
        <w:t xml:space="preserve">Gartner uses People / Customers / Service / Finance as the four CIO focus dimensions. The honest audit is to name both what I bring to each and where I would lean on others. A CIO who cannot name both is either lying to the board or to themselves.</w:t>
      </w:r>
    </w:p>
    <w:p>
      <w:pPr>
        <w:spacing w:after="80" w:before="80" w:line="3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BD5E0" w:sz="4"/>
              <w:left w:val="single" w:color="CBD5E0" w:sz="4"/>
              <w:bottom w:val="single" w:color="CBD5E0" w:sz="4"/>
              <w:right w:val="single" w:color="CBD5E0" w:sz="4"/>
            </w:tcBorders>
            <w:shd w:fill="1F3A5F" w:val="clear"/>
            <w:tcMar>
              <w:top w:type="dxa" w:w="100"/>
              <w:left w:type="dxa" w:w="140"/>
              <w:bottom w:type="dxa" w:w="100"/>
              <w:right w:type="dxa" w:w="140"/>
            </w:tcMar>
          </w:tcPr>
          <w:p>
            <w:pPr>
              <w:spacing w:after="40" w:before="40"/>
            </w:pPr>
            <w:r>
              <w:rPr>
                <w:b/>
                <w:bCs/>
                <w:color w:val="FFFFFF"/>
              </w:rPr>
              <w:t xml:space="preserve">Dimension</w:t>
            </w:r>
          </w:p>
        </w:tc>
        <w:tc>
          <w:tcPr>
            <w:tcW w:type="dxa" w:w="3780"/>
            <w:tcBorders>
              <w:top w:val="single" w:color="CBD5E0" w:sz="4"/>
              <w:left w:val="single" w:color="CBD5E0" w:sz="4"/>
              <w:bottom w:val="single" w:color="CBD5E0" w:sz="4"/>
              <w:right w:val="single" w:color="CBD5E0" w:sz="4"/>
            </w:tcBorders>
            <w:shd w:fill="1F3A5F" w:val="clear"/>
            <w:tcMar>
              <w:top w:type="dxa" w:w="100"/>
              <w:left w:type="dxa" w:w="140"/>
              <w:bottom w:type="dxa" w:w="100"/>
              <w:right w:type="dxa" w:w="140"/>
            </w:tcMar>
          </w:tcPr>
          <w:p>
            <w:pPr>
              <w:spacing w:after="40" w:before="40"/>
            </w:pPr>
            <w:r>
              <w:rPr>
                <w:b/>
                <w:bCs/>
                <w:color w:val="FFFFFF"/>
              </w:rPr>
              <w:t xml:space="preserve">What I bring</w:t>
            </w:r>
          </w:p>
        </w:tc>
        <w:tc>
          <w:tcPr>
            <w:tcW w:type="dxa" w:w="3780"/>
            <w:tcBorders>
              <w:top w:val="single" w:color="CBD5E0" w:sz="4"/>
              <w:left w:val="single" w:color="CBD5E0" w:sz="4"/>
              <w:bottom w:val="single" w:color="CBD5E0" w:sz="4"/>
              <w:right w:val="single" w:color="CBD5E0" w:sz="4"/>
            </w:tcBorders>
            <w:shd w:fill="1F3A5F" w:val="clear"/>
            <w:tcMar>
              <w:top w:type="dxa" w:w="100"/>
              <w:left w:type="dxa" w:w="140"/>
              <w:bottom w:type="dxa" w:w="100"/>
              <w:right w:type="dxa" w:w="140"/>
            </w:tcMar>
          </w:tcPr>
          <w:p>
            <w:pPr>
              <w:spacing w:after="40" w:before="40"/>
            </w:pPr>
            <w:r>
              <w:rPr>
                <w:b/>
                <w:bCs/>
                <w:color w:val="FFFFFF"/>
              </w:rPr>
              <w:t xml:space="preserve">What I lean on others for</w:t>
            </w:r>
          </w:p>
        </w:tc>
      </w:tr>
      <w:tr>
        <w:tc>
          <w:tcPr>
            <w:tcW w:type="dxa" w:w="18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color w:val="1F3A5F"/>
              </w:rPr>
              <w:t xml:space="preserve">People</w:t>
            </w:r>
          </w:p>
        </w:tc>
        <w:tc>
          <w:tcPr>
            <w:tcW w:type="dxa" w:w="378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Deep experience managing global teams; role design (the Factory bench); coaching-via-process rather than hero-tactics; open-source positioning as talent attractor.</w:t>
            </w:r>
          </w:p>
        </w:tc>
        <w:tc>
          <w:tcPr>
            <w:tcW w:type="dxa" w:w="378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HR / benefits scaffolding; formal performance systems; union / works-council dynamics if they apply.</w:t>
            </w:r>
          </w:p>
        </w:tc>
      </w:tr>
      <w:tr>
        <w:tc>
          <w:tcPr>
            <w:tcW w:type="dxa" w:w="18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color w:val="1F3A5F"/>
              </w:rPr>
              <w:t xml:space="preserve">Customers</w:t>
            </w:r>
          </w:p>
        </w:tc>
        <w:tc>
          <w:tcPr>
            <w:tcW w:type="dxa" w:w="378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Multi-register voice (merchant, civic, agent); customer-sentiment instrumentation (Jim); direct line to SMB retail pain (from Secure era); LP investigation ethos ("this is about people, not just shrinkage").</w:t>
            </w:r>
          </w:p>
        </w:tc>
        <w:tc>
          <w:tcPr>
            <w:tcW w:type="dxa" w:w="378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Enterprise sales motion at &gt;$1M ACV; regional channel partners; regulatory liaison in new geographies.</w:t>
            </w:r>
          </w:p>
        </w:tc>
      </w:tr>
      <w:tr>
        <w:tc>
          <w:tcPr>
            <w:tcW w:type="dxa" w:w="18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color w:val="1F3A5F"/>
              </w:rPr>
              <w:t xml:space="preserve">Service</w:t>
            </w:r>
          </w:p>
        </w:tc>
        <w:tc>
          <w:tcPr>
            <w:tcW w:type="dxa" w:w="378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SLA thinking comes from Appriss-era SaaS operations; the gLog compliance-by-construction posture; incident response cadence already codified as an engineering skill.</w:t>
            </w:r>
          </w:p>
        </w:tc>
        <w:tc>
          <w:tcPr>
            <w:tcW w:type="dxa" w:w="378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24/7 NOC staffing at scale; telco / carrier relationships; specialized vendor contracts for legacy stacks.</w:t>
            </w:r>
          </w:p>
        </w:tc>
      </w:tr>
      <w:tr>
        <w:tc>
          <w:tcPr>
            <w:tcW w:type="dxa" w:w="18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color w:val="1F3A5F"/>
              </w:rPr>
              <w:t xml:space="preserve">Finance</w:t>
            </w:r>
          </w:p>
        </w:tc>
        <w:tc>
          <w:tcPr>
            <w:tcW w:type="dxa" w:w="378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Unit economics discipline (Heartbeat optimizer saves 30–60% on inscription fees; Genesis Pool runway modeling); ability to read and defend a P&amp;L under my own capital; investor narrative ready in five sentences.</w:t>
            </w:r>
          </w:p>
        </w:tc>
        <w:tc>
          <w:tcPr>
            <w:tcW w:type="dxa" w:w="378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Audit-firm relationships; M&amp;A diligence support at scale; treasury management beyond my own BTC-denominated approach.</w:t>
            </w:r>
          </w:p>
        </w:tc>
      </w:tr>
    </w:tbl>
    <w:p>
      <w:r>
        <w:br w:type="page"/>
      </w:r>
    </w:p>
    <w:p>
      <w:pPr>
        <w:pStyle w:val="Heading1"/>
        <w:spacing w:after="160" w:before="360"/>
      </w:pPr>
      <w:r>
        <w:t xml:space="preserve">8. My 100-day framework — turnaround-phase CIO</w:t>
      </w:r>
    </w:p>
    <w:p>
      <w:pPr>
        <w:spacing w:after="80" w:before="80" w:line="300"/>
      </w:pPr>
      <w:r>
        <w:t xml:space="preserve">This is the Gartner phasing adapted to my voice and my operating style. If a board engages me, this is the shape of what they should expect.</w:t>
      </w:r>
    </w:p>
    <w:p>
      <w:pPr>
        <w:spacing w:after="80" w:before="80" w:line="300"/>
      </w:pPr>
      <w:r>
        <w:t xml:space="preserve"> </w:t>
      </w:r>
    </w:p>
    <w:p>
      <w:pPr>
        <w:pStyle w:val="Heading3"/>
        <w:spacing w:after="80" w:before="220"/>
      </w:pPr>
      <w:r>
        <w:t xml:space="preserve">Days −10 to 0 — Is this job doable?</w:t>
      </w:r>
    </w:p>
    <w:p>
      <w:pPr>
        <w:pStyle w:val="ListParagraph"/>
        <w:numPr>
          <w:ilvl w:val="0"/>
          <w:numId w:val="3"/>
        </w:numPr>
        <w:spacing w:after="40" w:before="40" w:line="280"/>
      </w:pPr>
      <w:r>
        <w:t xml:space="preserve">Complete the "Is This Job Doable?" checklist before I accept. If the answer is no, I say so, and we both move on with respect.</w:t>
      </w:r>
    </w:p>
    <w:p>
      <w:pPr>
        <w:pStyle w:val="ListParagraph"/>
        <w:numPr>
          <w:ilvl w:val="0"/>
          <w:numId w:val="3"/>
        </w:numPr>
        <w:spacing w:after="40" w:before="40" w:line="280"/>
      </w:pPr>
      <w:r>
        <w:t xml:space="preserve">Read the last three board packets, the last two audit letters, the last year of incident reports, the current year's budget, and the IT organization chart. Read them on paper, in one sitting, with a pen.</w:t>
      </w:r>
    </w:p>
    <w:p>
      <w:pPr>
        <w:pStyle w:val="ListParagraph"/>
        <w:numPr>
          <w:ilvl w:val="0"/>
          <w:numId w:val="3"/>
        </w:numPr>
        <w:spacing w:after="40" w:before="40" w:line="280"/>
      </w:pPr>
      <w:r>
        <w:t xml:space="preserve">Identify the three people whose cooperation is non-negotiable and the two whose opposition is structural. Start the Power Map.</w:t>
      </w:r>
    </w:p>
    <w:p>
      <w:pPr>
        <w:spacing w:after="80" w:before="80" w:line="300"/>
      </w:pPr>
      <w:r>
        <w:t xml:space="preserve"> </w:t>
      </w:r>
    </w:p>
    <w:p>
      <w:pPr>
        <w:pStyle w:val="Heading3"/>
        <w:spacing w:after="80" w:before="220"/>
      </w:pPr>
      <w:r>
        <w:t xml:space="preserve">Day 1 — Meeting and greeting</w:t>
      </w:r>
    </w:p>
    <w:p>
      <w:pPr>
        <w:pStyle w:val="ListParagraph"/>
        <w:numPr>
          <w:ilvl w:val="0"/>
          <w:numId w:val="3"/>
        </w:numPr>
        <w:spacing w:after="40" w:before="40" w:line="280"/>
      </w:pPr>
      <w:r>
        <w:t xml:space="preserve">Arrive early. Walk the floor, not the conference room. Ask the Elevator Questions of the first five people who don't expect to be asked.</w:t>
      </w:r>
    </w:p>
    <w:p>
      <w:pPr>
        <w:pStyle w:val="ListParagraph"/>
        <w:numPr>
          <w:ilvl w:val="0"/>
          <w:numId w:val="3"/>
        </w:numPr>
        <w:spacing w:after="40" w:before="40" w:line="280"/>
      </w:pPr>
      <w:r>
        <w:t xml:space="preserve">By end of day, publish a one-paragraph note to the IT organization with my name, my reach-me channel, and the four topics I will be listening for over the next two weeks. No promises.</w:t>
      </w:r>
    </w:p>
    <w:p>
      <w:pPr>
        <w:spacing w:after="80" w:before="80" w:line="300"/>
      </w:pPr>
      <w:r>
        <w:t xml:space="preserve"> </w:t>
      </w:r>
    </w:p>
    <w:p>
      <w:pPr>
        <w:pStyle w:val="Heading3"/>
        <w:spacing w:after="80" w:before="220"/>
      </w:pPr>
      <w:r>
        <w:t xml:space="preserve">Days 2–5 — First impressions</w:t>
      </w:r>
    </w:p>
    <w:p>
      <w:pPr>
        <w:pStyle w:val="ListParagraph"/>
        <w:numPr>
          <w:ilvl w:val="0"/>
          <w:numId w:val="3"/>
        </w:numPr>
        <w:spacing w:after="40" w:before="40" w:line="280"/>
      </w:pPr>
      <w:r>
        <w:t xml:space="preserve">Ten Elevator Questions interviews, minimum. Four direct reports, two peers, two customer-facing leaders, two non-IT senior leaders. Notes captured to Brain-equivalent, not retained in my head.</w:t>
      </w:r>
    </w:p>
    <w:p>
      <w:pPr>
        <w:pStyle w:val="ListParagraph"/>
        <w:numPr>
          <w:ilvl w:val="0"/>
          <w:numId w:val="3"/>
        </w:numPr>
        <w:spacing w:after="40" w:before="40" w:line="280"/>
      </w:pPr>
      <w:r>
        <w:t xml:space="preserve">Begin the Turnaround Assessment Scorecard. Categorize the IT state honestly using the framework — not polished for the board, raw for me.</w:t>
      </w:r>
    </w:p>
    <w:p>
      <w:pPr>
        <w:spacing w:after="80" w:before="80" w:line="300"/>
      </w:pPr>
      <w:r>
        <w:t xml:space="preserve"> </w:t>
      </w:r>
    </w:p>
    <w:p>
      <w:pPr>
        <w:pStyle w:val="Heading3"/>
        <w:spacing w:after="80" w:before="220"/>
      </w:pPr>
      <w:r>
        <w:t xml:space="preserve">Days 5–15 — Diagnosis</w:t>
      </w:r>
    </w:p>
    <w:p>
      <w:pPr>
        <w:pStyle w:val="ListParagraph"/>
        <w:numPr>
          <w:ilvl w:val="0"/>
          <w:numId w:val="3"/>
        </w:numPr>
        <w:spacing w:after="40" w:before="40" w:line="280"/>
      </w:pPr>
      <w:r>
        <w:t xml:space="preserve">Finish the Elevator Questions tour — every direct report, plus key peers and customer voices. No fewer than 30 interviews by Day 15.</w:t>
      </w:r>
    </w:p>
    <w:p>
      <w:pPr>
        <w:pStyle w:val="ListParagraph"/>
        <w:numPr>
          <w:ilvl w:val="0"/>
          <w:numId w:val="3"/>
        </w:numPr>
        <w:spacing w:after="40" w:before="40" w:line="280"/>
      </w:pPr>
      <w:r>
        <w:t xml:space="preserve">First cut of the Quick-Hits Action Plan. No more than five items. Each visible, each under 30 days, each reversible if I am wrong.</w:t>
      </w:r>
    </w:p>
    <w:p>
      <w:pPr>
        <w:pStyle w:val="ListParagraph"/>
        <w:numPr>
          <w:ilvl w:val="0"/>
          <w:numId w:val="3"/>
        </w:numPr>
        <w:spacing w:after="40" w:before="40" w:line="280"/>
      </w:pPr>
      <w:r>
        <w:t xml:space="preserve">Flag any open Run / Grow / Transform misallocation. A 90 / 10 / 0 shop is a red flag even if the board says growth is the priority.</w:t>
      </w:r>
    </w:p>
    <w:p>
      <w:pPr>
        <w:spacing w:after="80" w:before="80" w:line="300"/>
      </w:pPr>
      <w:r>
        <w:t xml:space="preserve"> </w:t>
      </w:r>
    </w:p>
    <w:p>
      <w:pPr>
        <w:pStyle w:val="Heading3"/>
        <w:spacing w:after="80" w:before="220"/>
      </w:pPr>
      <w:r>
        <w:t xml:space="preserve">Days 15–30 — First board moment</w:t>
      </w:r>
    </w:p>
    <w:p>
      <w:pPr>
        <w:pStyle w:val="ListParagraph"/>
        <w:numPr>
          <w:ilvl w:val="0"/>
          <w:numId w:val="3"/>
        </w:numPr>
        <w:spacing w:after="40" w:before="40" w:line="280"/>
      </w:pPr>
      <w:r>
        <w:t xml:space="preserve">Publish the single-page 100-day plan. Four key initiatives. Two secondary. No more. Reviewed with the CEO before it reaches the board.</w:t>
      </w:r>
    </w:p>
    <w:p>
      <w:pPr>
        <w:pStyle w:val="ListParagraph"/>
        <w:numPr>
          <w:ilvl w:val="0"/>
          <w:numId w:val="3"/>
        </w:numPr>
        <w:spacing w:after="40" w:before="40" w:line="280"/>
      </w:pPr>
      <w:r>
        <w:t xml:space="preserve">Announce the Quick-Hits. Ship the first one before the board meeting. Credibility is built on shipped work, not stated intent.</w:t>
      </w:r>
    </w:p>
    <w:p>
      <w:pPr>
        <w:spacing w:after="80" w:before="80" w:line="300"/>
      </w:pPr>
      <w:r>
        <w:t xml:space="preserve"> </w:t>
      </w:r>
    </w:p>
    <w:p>
      <w:pPr>
        <w:pStyle w:val="Heading3"/>
        <w:spacing w:after="80" w:before="220"/>
      </w:pPr>
      <w:r>
        <w:t xml:space="preserve">Days 30–45 — Organization</w:t>
      </w:r>
    </w:p>
    <w:p>
      <w:pPr>
        <w:pStyle w:val="ListParagraph"/>
        <w:numPr>
          <w:ilvl w:val="0"/>
          <w:numId w:val="3"/>
        </w:numPr>
        <w:spacing w:after="40" w:before="40" w:line="280"/>
      </w:pPr>
      <w:r>
        <w:t xml:space="preserve">Confirm or restructure the direct-report bench. Decisions are made, not deferred. Anyone I am keeping gets a written statement of what I expect in the next 90 days.</w:t>
      </w:r>
    </w:p>
    <w:p>
      <w:pPr>
        <w:pStyle w:val="ListParagraph"/>
        <w:numPr>
          <w:ilvl w:val="0"/>
          <w:numId w:val="3"/>
        </w:numPr>
        <w:spacing w:after="40" w:before="40" w:line="280"/>
      </w:pPr>
      <w:r>
        <w:t xml:space="preserve">Begin the IS Lite conversation with the CFO — the split between what IT does and what the business does. This is where the R/G/T budget comes from.</w:t>
      </w:r>
    </w:p>
    <w:p>
      <w:pPr>
        <w:spacing w:after="80" w:before="80" w:line="300"/>
      </w:pPr>
      <w:r>
        <w:t xml:space="preserve"> </w:t>
      </w:r>
    </w:p>
    <w:p>
      <w:pPr>
        <w:pStyle w:val="Heading3"/>
        <w:spacing w:after="80" w:before="220"/>
      </w:pPr>
      <w:r>
        <w:t xml:space="preserve">Days 45–60 — Execution</w:t>
      </w:r>
    </w:p>
    <w:p>
      <w:pPr>
        <w:pStyle w:val="ListParagraph"/>
        <w:numPr>
          <w:ilvl w:val="0"/>
          <w:numId w:val="3"/>
        </w:numPr>
        <w:spacing w:after="40" w:before="40" w:line="280"/>
      </w:pPr>
      <w:r>
        <w:t xml:space="preserve">Two Quick-Hits shipped. One key initiative materially underway, with a public milestone.</w:t>
      </w:r>
    </w:p>
    <w:p>
      <w:pPr>
        <w:pStyle w:val="ListParagraph"/>
        <w:numPr>
          <w:ilvl w:val="0"/>
          <w:numId w:val="3"/>
        </w:numPr>
        <w:spacing w:after="40" w:before="40" w:line="280"/>
      </w:pPr>
      <w:r>
        <w:t xml:space="preserve">The CIO Reporting Matrix is in place. Who sees what, how often, through what channel. This is invisible when done right; catastrophic when missing.</w:t>
      </w:r>
    </w:p>
    <w:p>
      <w:pPr>
        <w:spacing w:after="80" w:before="80" w:line="300"/>
      </w:pPr>
      <w:r>
        <w:t xml:space="preserve"> </w:t>
      </w:r>
    </w:p>
    <w:p>
      <w:pPr>
        <w:pStyle w:val="Heading3"/>
        <w:spacing w:after="80" w:before="220"/>
      </w:pPr>
      <w:r>
        <w:t xml:space="preserve">Days 60–75 — Adjustment</w:t>
      </w:r>
    </w:p>
    <w:p>
      <w:pPr>
        <w:pStyle w:val="ListParagraph"/>
        <w:numPr>
          <w:ilvl w:val="0"/>
          <w:numId w:val="3"/>
        </w:numPr>
        <w:spacing w:after="40" w:before="40" w:line="280"/>
      </w:pPr>
      <w:r>
        <w:t xml:space="preserve">Honest recalibration. The Day-30 plan survives contact with reality imperfectly. Publish the first revision, acknowledge what shifted and why. This is a credibility act, not a retreat.</w:t>
      </w:r>
    </w:p>
    <w:p>
      <w:pPr>
        <w:spacing w:after="80" w:before="80" w:line="300"/>
      </w:pPr>
      <w:r>
        <w:t xml:space="preserve"> </w:t>
      </w:r>
    </w:p>
    <w:p>
      <w:pPr>
        <w:pStyle w:val="Heading3"/>
        <w:spacing w:after="80" w:before="220"/>
      </w:pPr>
      <w:r>
        <w:t xml:space="preserve">Days 75–100 — The first real board packet</w:t>
      </w:r>
    </w:p>
    <w:p>
      <w:pPr>
        <w:pStyle w:val="ListParagraph"/>
        <w:numPr>
          <w:ilvl w:val="0"/>
          <w:numId w:val="3"/>
        </w:numPr>
        <w:spacing w:after="40" w:before="40" w:line="280"/>
      </w:pPr>
      <w:r>
        <w:t xml:space="preserve">Turnaround Assessment Scorecard re-run. The delta from Day 15 is the evidence.</w:t>
      </w:r>
    </w:p>
    <w:p>
      <w:pPr>
        <w:pStyle w:val="ListParagraph"/>
        <w:numPr>
          <w:ilvl w:val="0"/>
          <w:numId w:val="3"/>
        </w:numPr>
        <w:spacing w:after="40" w:before="40" w:line="280"/>
      </w:pPr>
      <w:r>
        <w:t xml:space="preserve">First pass at the Measurement Planning Tool — what success looks like at Day 365 in measurable terms, not prose.</w:t>
      </w:r>
    </w:p>
    <w:p>
      <w:pPr>
        <w:pStyle w:val="ListParagraph"/>
        <w:numPr>
          <w:ilvl w:val="0"/>
          <w:numId w:val="3"/>
        </w:numPr>
        <w:spacing w:after="40" w:before="40" w:line="280"/>
      </w:pPr>
      <w:r>
        <w:t xml:space="preserve">Personal Contribution Scorecard updated and shared with the CEO. Nothing surprising. This is where a CIO earns a second year or doesn't.</w:t>
      </w:r>
    </w:p>
    <w:p>
      <w:pPr>
        <w:spacing w:after="80" w:before="80" w:line="300"/>
      </w:pPr>
      <w:r>
        <w:t xml:space="preserve"> </w:t>
      </w:r>
    </w:p>
    <w:p>
      <w:pPr>
        <w:pBdr>
          <w:left w:val="single" w:color="1F3A5F" w:sz="18" w:space="12"/>
        </w:pBdr>
        <w:spacing w:after="160" w:before="120" w:line="300"/>
        <w:ind w:left="360" w:right="360"/>
      </w:pPr>
      <w:r>
        <w:rPr>
          <w:i/>
          <w:iCs/>
          <w:color w:val="4A5568"/>
        </w:rPr>
        <w:t xml:space="preserve">CIOs in change situations spend 50–80% of their time communicating. The playbook is explicit about this, and I believe it. I will not treat communication as overhead; I will treat it as the job.</w:t>
      </w:r>
    </w:p>
    <w:p>
      <w:r>
        <w:br w:type="page"/>
      </w:r>
    </w:p>
    <w:p>
      <w:pPr>
        <w:pStyle w:val="Heading1"/>
        <w:spacing w:after="160" w:before="360"/>
      </w:pPr>
      <w:r>
        <w:t xml:space="preserve">9. Personal Contribution Scorecard</w:t>
      </w:r>
    </w:p>
    <w:p>
      <w:pPr>
        <w:spacing w:after="80" w:before="80" w:line="300"/>
      </w:pPr>
      <w:r>
        <w:t xml:space="preserve">The scorecard is an internal agreement with the CEO — not with the board. The board gets the IT Strategy Health Check. The CEO gets this. It is short, it is specific, and it is measurable.</w:t>
      </w:r>
    </w:p>
    <w:p>
      <w:pPr>
        <w:spacing w:after="80" w:before="80" w:line="3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0" w:sz="4"/>
              <w:left w:val="single" w:color="CBD5E0" w:sz="4"/>
              <w:bottom w:val="single" w:color="CBD5E0" w:sz="4"/>
              <w:right w:val="single" w:color="CBD5E0" w:sz="4"/>
            </w:tcBorders>
            <w:shd w:fill="1F3A5F" w:val="clear"/>
            <w:tcMar>
              <w:top w:type="dxa" w:w="100"/>
              <w:left w:type="dxa" w:w="140"/>
              <w:bottom w:type="dxa" w:w="100"/>
              <w:right w:type="dxa" w:w="140"/>
            </w:tcMar>
          </w:tcPr>
          <w:p>
            <w:pPr>
              <w:spacing w:after="40" w:before="40"/>
            </w:pPr>
            <w:r>
              <w:rPr>
                <w:b/>
                <w:bCs/>
                <w:color w:val="FFFFFF"/>
              </w:rPr>
              <w:t xml:space="preserve">Area</w:t>
            </w:r>
          </w:p>
        </w:tc>
        <w:tc>
          <w:tcPr>
            <w:tcW w:type="dxa" w:w="3000"/>
            <w:tcBorders>
              <w:top w:val="single" w:color="CBD5E0" w:sz="4"/>
              <w:left w:val="single" w:color="CBD5E0" w:sz="4"/>
              <w:bottom w:val="single" w:color="CBD5E0" w:sz="4"/>
              <w:right w:val="single" w:color="CBD5E0" w:sz="4"/>
            </w:tcBorders>
            <w:shd w:fill="1F3A5F" w:val="clear"/>
            <w:tcMar>
              <w:top w:type="dxa" w:w="100"/>
              <w:left w:type="dxa" w:w="140"/>
              <w:bottom w:type="dxa" w:w="100"/>
              <w:right w:type="dxa" w:w="140"/>
            </w:tcMar>
          </w:tcPr>
          <w:p>
            <w:pPr>
              <w:spacing w:after="40" w:before="40"/>
            </w:pPr>
            <w:r>
              <w:rPr>
                <w:b/>
                <w:bCs/>
                <w:color w:val="FFFFFF"/>
              </w:rPr>
              <w:t xml:space="preserve">Day 100 target</w:t>
            </w:r>
          </w:p>
        </w:tc>
        <w:tc>
          <w:tcPr>
            <w:tcW w:type="dxa" w:w="3960"/>
            <w:tcBorders>
              <w:top w:val="single" w:color="CBD5E0" w:sz="4"/>
              <w:left w:val="single" w:color="CBD5E0" w:sz="4"/>
              <w:bottom w:val="single" w:color="CBD5E0" w:sz="4"/>
              <w:right w:val="single" w:color="CBD5E0" w:sz="4"/>
            </w:tcBorders>
            <w:shd w:fill="1F3A5F" w:val="clear"/>
            <w:tcMar>
              <w:top w:type="dxa" w:w="100"/>
              <w:left w:type="dxa" w:w="140"/>
              <w:bottom w:type="dxa" w:w="100"/>
              <w:right w:type="dxa" w:w="140"/>
            </w:tcMar>
          </w:tcPr>
          <w:p>
            <w:pPr>
              <w:spacing w:after="40" w:before="40"/>
            </w:pPr>
            <w:r>
              <w:rPr>
                <w:b/>
                <w:bCs/>
                <w:color w:val="FFFFFF"/>
              </w:rPr>
              <w:t xml:space="preserve">Evidence</w:t>
            </w:r>
          </w:p>
        </w:tc>
      </w:tr>
      <w:tr>
        <w:tc>
          <w:tcPr>
            <w:tcW w:type="dxa" w:w="24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rPr>
              <w:t xml:space="preserve">Operational stability</w:t>
            </w:r>
          </w:p>
        </w:tc>
        <w:tc>
          <w:tcPr>
            <w:tcW w:type="dxa" w:w="30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No new P1 incidents attributable to decisions I made; open P1 queue trending down</w:t>
            </w:r>
          </w:p>
        </w:tc>
        <w:tc>
          <w:tcPr>
            <w:tcW w:type="dxa" w:w="396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Incident log / on-call records; post-incident reviews signed off</w:t>
            </w:r>
          </w:p>
        </w:tc>
      </w:tr>
      <w:tr>
        <w:tc>
          <w:tcPr>
            <w:tcW w:type="dxa" w:w="24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rPr>
              <w:t xml:space="preserve">Trust with the CEO</w:t>
            </w:r>
          </w:p>
        </w:tc>
        <w:tc>
          <w:tcPr>
            <w:tcW w:type="dxa" w:w="30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CEO forwards me one unsolicited problem per week that is not strictly IT</w:t>
            </w:r>
          </w:p>
        </w:tc>
        <w:tc>
          <w:tcPr>
            <w:tcW w:type="dxa" w:w="396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Meeting frequency, agenda quality, explicit note from CEO at 90-day mark</w:t>
            </w:r>
          </w:p>
        </w:tc>
      </w:tr>
      <w:tr>
        <w:tc>
          <w:tcPr>
            <w:tcW w:type="dxa" w:w="24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rPr>
              <w:t xml:space="preserve">Trust with the board</w:t>
            </w:r>
          </w:p>
        </w:tc>
        <w:tc>
          <w:tcPr>
            <w:tcW w:type="dxa" w:w="30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Board comes out of the 100-day review with one new question and zero old ones</w:t>
            </w:r>
          </w:p>
        </w:tc>
        <w:tc>
          <w:tcPr>
            <w:tcW w:type="dxa" w:w="396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Board minutes, packet acceptance, no requests for replacement</w:t>
            </w:r>
          </w:p>
        </w:tc>
      </w:tr>
      <w:tr>
        <w:tc>
          <w:tcPr>
            <w:tcW w:type="dxa" w:w="24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rPr>
              <w:t xml:space="preserve">Organization clarity</w:t>
            </w:r>
          </w:p>
        </w:tc>
        <w:tc>
          <w:tcPr>
            <w:tcW w:type="dxa" w:w="30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Every direct report has a written 90-day statement; one role change made where needed</w:t>
            </w:r>
          </w:p>
        </w:tc>
        <w:tc>
          <w:tcPr>
            <w:tcW w:type="dxa" w:w="396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Written plans; HR change log</w:t>
            </w:r>
          </w:p>
        </w:tc>
      </w:tr>
      <w:tr>
        <w:tc>
          <w:tcPr>
            <w:tcW w:type="dxa" w:w="24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rPr>
              <w:t xml:space="preserve">Financial discipline</w:t>
            </w:r>
          </w:p>
        </w:tc>
        <w:tc>
          <w:tcPr>
            <w:tcW w:type="dxa" w:w="30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R/G/T baseline established; quick-hits funded from within; no surprise asks</w:t>
            </w:r>
          </w:p>
        </w:tc>
        <w:tc>
          <w:tcPr>
            <w:tcW w:type="dxa" w:w="396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Budget variance report; R/G/T dashboard</w:t>
            </w:r>
          </w:p>
        </w:tc>
      </w:tr>
      <w:tr>
        <w:tc>
          <w:tcPr>
            <w:tcW w:type="dxa" w:w="24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rPr>
              <w:t xml:space="preserve">Customer voice</w:t>
            </w:r>
          </w:p>
        </w:tc>
        <w:tc>
          <w:tcPr>
            <w:tcW w:type="dxa" w:w="30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Two customer-facing leaders are returning my calls within the business day</w:t>
            </w:r>
          </w:p>
        </w:tc>
        <w:tc>
          <w:tcPr>
            <w:tcW w:type="dxa" w:w="396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Meeting logs, customer-advisory-board seat</w:t>
            </w:r>
          </w:p>
        </w:tc>
      </w:tr>
      <w:tr>
        <w:tc>
          <w:tcPr>
            <w:tcW w:type="dxa" w:w="24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bCs/>
              </w:rPr>
              <w:t xml:space="preserve">Team morale</w:t>
            </w:r>
          </w:p>
        </w:tc>
        <w:tc>
          <w:tcPr>
            <w:tcW w:type="dxa" w:w="300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Voluntary attrition in IT organization unchanged or improved vs prior quarter</w:t>
            </w:r>
          </w:p>
        </w:tc>
        <w:tc>
          <w:tcPr>
            <w:tcW w:type="dxa" w:w="3960"/>
            <w:tcBorders>
              <w:top w:val="single" w:color="CBD5E0" w:sz="4"/>
              <w:left w:val="single" w:color="CBD5E0" w:sz="4"/>
              <w:bottom w:val="single" w:color="CBD5E0" w:sz="4"/>
              <w:right w:val="single" w:color="CBD5E0" w:sz="4"/>
            </w:tcBorders>
            <w:tcMar>
              <w:top w:type="dxa" w:w="100"/>
              <w:left w:type="dxa" w:w="140"/>
              <w:bottom w:type="dxa" w:w="100"/>
              <w:right w:type="dxa" w:w="140"/>
            </w:tcMar>
          </w:tcPr>
          <w:p>
            <w:pPr>
              <w:spacing w:after="40" w:before="40" w:line="280"/>
            </w:pPr>
            <w:r>
              <w:rPr>
                <w:b w:val="false"/>
                <w:bCs w:val="false"/>
              </w:rPr>
              <w:t xml:space="preserve">HR attrition report; pulse survey delta</w:t>
            </w:r>
          </w:p>
        </w:tc>
      </w:tr>
    </w:tbl>
    <w:p>
      <w:r>
        <w:br w:type="page"/>
      </w:r>
    </w:p>
    <w:p>
      <w:pPr>
        <w:pStyle w:val="Heading1"/>
        <w:spacing w:after="160" w:before="360"/>
      </w:pPr>
      <w:r>
        <w:t xml:space="preserve">10. The honest ledger</w:t>
      </w:r>
    </w:p>
    <w:p>
      <w:pPr>
        <w:spacing w:after="80" w:before="80" w:line="300"/>
      </w:pPr>
      <w:r>
        <w:t xml:space="preserve">This section exists so that I do not negotiate against myself and do not pretend to be someone I am not.</w:t>
      </w:r>
    </w:p>
    <w:p>
      <w:pPr>
        <w:spacing w:after="80" w:before="80" w:line="300"/>
      </w:pPr>
      <w:r>
        <w:t xml:space="preserve"> </w:t>
      </w:r>
    </w:p>
    <w:p>
      <w:pPr>
        <w:pStyle w:val="Heading2"/>
        <w:spacing w:after="120" w:before="280"/>
      </w:pPr>
      <w:r>
        <w:t xml:space="preserve">The numbers</w:t>
      </w:r>
    </w:p>
    <w:p>
      <w:pPr>
        <w:pStyle w:val="ListParagraph"/>
        <w:numPr>
          <w:ilvl w:val="0"/>
          <w:numId w:val="3"/>
        </w:numPr>
        <w:spacing w:after="40" w:before="40" w:line="280"/>
      </w:pPr>
      <w:r>
        <w:t xml:space="preserve">55 years old. Third-generation Californian. Based in Rancho Palos Verdes.</w:t>
      </w:r>
    </w:p>
    <w:p>
      <w:pPr>
        <w:pStyle w:val="ListParagraph"/>
        <w:numPr>
          <w:ilvl w:val="0"/>
          <w:numId w:val="3"/>
        </w:numPr>
        <w:spacing w:after="40" w:before="40" w:line="280"/>
      </w:pPr>
      <w:r>
        <w:t xml:space="preserve">30 years of professional work history. Big Four consulting → Oracle / IBM / PwC / JDA / Retek / SAP systems integration → Secure/Appriss SaaS cofounder → Bitcoin infrastructure → GrowDirect founder.</w:t>
      </w:r>
    </w:p>
    <w:p>
      <w:pPr>
        <w:pStyle w:val="ListParagraph"/>
        <w:numPr>
          <w:ilvl w:val="0"/>
          <w:numId w:val="3"/>
        </w:numPr>
        <w:spacing w:after="40" w:before="40" w:line="280"/>
      </w:pPr>
      <w:r>
        <w:t xml:space="preserve">5–7 more core working years targeted. Documented W-2 compensation during this period strengthens the Social Security base for the low years.</w:t>
      </w:r>
    </w:p>
    <w:p>
      <w:pPr>
        <w:pStyle w:val="ListParagraph"/>
        <w:numPr>
          <w:ilvl w:val="0"/>
          <w:numId w:val="3"/>
        </w:numPr>
        <w:spacing w:after="40" w:before="40" w:line="280"/>
      </w:pPr>
      <w:r>
        <w:t xml:space="preserve">Bitcoin long-term capital gains provide personal runway today; not to be commingled with any engagement compensation.</w:t>
      </w:r>
    </w:p>
    <w:p>
      <w:pPr>
        <w:pStyle w:val="ListParagraph"/>
        <w:numPr>
          <w:ilvl w:val="0"/>
          <w:numId w:val="3"/>
        </w:numPr>
        <w:spacing w:after="40" w:before="40" w:line="280"/>
      </w:pPr>
      <w:r>
        <w:t xml:space="preserve">Largest personal asset is a seaside cottage on Tract 14649, Portuguese Bend slide area. Walls crack a little each day. Compensation structure must protect the house, not expose it.</w:t>
      </w:r>
    </w:p>
    <w:p>
      <w:pPr>
        <w:spacing w:after="80" w:before="80" w:line="300"/>
      </w:pPr>
      <w:r>
        <w:t xml:space="preserve"> </w:t>
      </w:r>
    </w:p>
    <w:p>
      <w:pPr>
        <w:pStyle w:val="Heading2"/>
        <w:spacing w:after="120" w:before="280"/>
      </w:pPr>
      <w:r>
        <w:t xml:space="preserve">What an engagement must provide</w:t>
      </w:r>
    </w:p>
    <w:p>
      <w:pPr>
        <w:pStyle w:val="ListParagraph"/>
        <w:numPr>
          <w:ilvl w:val="0"/>
          <w:numId w:val="2"/>
        </w:numPr>
        <w:spacing w:after="40" w:before="40" w:line="280"/>
      </w:pPr>
      <w:r>
        <w:t xml:space="preserve">W-2 base sufficient to cover property taxes and fill SS low years; structure matters as much as gross.</w:t>
      </w:r>
    </w:p>
    <w:p>
      <w:pPr>
        <w:pStyle w:val="ListParagraph"/>
        <w:numPr>
          <w:ilvl w:val="0"/>
          <w:numId w:val="2"/>
        </w:numPr>
        <w:spacing w:after="40" w:before="40" w:line="280"/>
      </w:pPr>
      <w:r>
        <w:t xml:space="preserve">Equity or upside alignment on the transformation outcome — because that is what I will be producing, not steady-state operations.</w:t>
      </w:r>
    </w:p>
    <w:p>
      <w:pPr>
        <w:pStyle w:val="ListParagraph"/>
        <w:numPr>
          <w:ilvl w:val="0"/>
          <w:numId w:val="2"/>
        </w:numPr>
        <w:spacing w:after="40" w:before="40" w:line="280"/>
      </w:pPr>
      <w:r>
        <w:t xml:space="preserve">Clear lane for GrowDirect IP to remain mine. Canary, Cove, Angel, Seacove, and the gLog / elJeffe protocol stack are not on the table.</w:t>
      </w:r>
    </w:p>
    <w:p>
      <w:pPr>
        <w:pStyle w:val="ListParagraph"/>
        <w:numPr>
          <w:ilvl w:val="0"/>
          <w:numId w:val="2"/>
        </w:numPr>
        <w:spacing w:after="40" w:before="40" w:line="280"/>
      </w:pPr>
      <w:r>
        <w:t xml:space="preserve">Geographic flexibility. Primary base remains Rancho Palos Verdes for family and civic reasons.</w:t>
      </w:r>
    </w:p>
    <w:p>
      <w:pPr>
        <w:spacing w:after="80" w:before="80" w:line="300"/>
      </w:pPr>
      <w:r>
        <w:t xml:space="preserve"> </w:t>
      </w:r>
    </w:p>
    <w:p>
      <w:pPr>
        <w:pBdr>
          <w:left w:val="single" w:color="1F3A5F" w:sz="18" w:space="12"/>
        </w:pBdr>
        <w:spacing w:after="160" w:before="120" w:line="300"/>
        <w:ind w:left="360" w:right="360"/>
      </w:pPr>
      <w:r>
        <w:rPr>
          <w:i/>
          <w:iCs/>
          <w:color w:val="4A5568"/>
        </w:rPr>
        <w:t xml:space="preserve">I am not chasing a title. I am looking for a board that needs the specific combination of operator instincts, retail depth, and protocol-native thinking I have — and is willing to compensate the engagement in a way that lets me keep the life I have built.</w:t>
      </w:r>
    </w:p>
    <w:p>
      <w:r>
        <w:br w:type="page"/>
      </w:r>
    </w:p>
    <w:p>
      <w:pPr>
        <w:pStyle w:val="Heading1"/>
        <w:spacing w:after="160" w:before="360"/>
      </w:pPr>
      <w:r>
        <w:t xml:space="preserve">11. Reverse questions — what I ask the board</w:t>
      </w:r>
    </w:p>
    <w:p>
      <w:pPr>
        <w:spacing w:after="80" w:before="80" w:line="300"/>
      </w:pPr>
      <w:r>
        <w:t xml:space="preserve">The candidate who does not ask reverse questions is signaling either desperation or disinterest. These are mine, drawn from the CIO-Questions-to-Potential-Employers framework and adapted to my voice.</w:t>
      </w:r>
    </w:p>
    <w:p>
      <w:pPr>
        <w:spacing w:after="80" w:before="80" w:line="300"/>
      </w:pPr>
      <w:r>
        <w:t xml:space="preserve"> </w:t>
      </w:r>
    </w:p>
    <w:p>
      <w:pPr>
        <w:pStyle w:val="Heading2"/>
        <w:spacing w:after="120" w:before="280"/>
      </w:pPr>
      <w:r>
        <w:t xml:space="preserve">About the mandate</w:t>
      </w:r>
    </w:p>
    <w:p>
      <w:pPr>
        <w:pStyle w:val="ListParagraph"/>
        <w:numPr>
          <w:ilvl w:val="0"/>
          <w:numId w:val="3"/>
        </w:numPr>
        <w:spacing w:after="40" w:before="40" w:line="280"/>
      </w:pPr>
      <w:r>
        <w:t xml:space="preserve">What is the actual mandate — steady-state operation, growth, or transformation? If the answer is "all three," which one gets cut first when resources are scarce?</w:t>
      </w:r>
    </w:p>
    <w:p>
      <w:pPr>
        <w:pStyle w:val="ListParagraph"/>
        <w:numPr>
          <w:ilvl w:val="0"/>
          <w:numId w:val="3"/>
        </w:numPr>
        <w:spacing w:after="40" w:before="40" w:line="280"/>
      </w:pPr>
      <w:r>
        <w:t xml:space="preserve">Who on this board has changed their mind about technology strategy in the last year, and why?</w:t>
      </w:r>
    </w:p>
    <w:p>
      <w:pPr>
        <w:pStyle w:val="ListParagraph"/>
        <w:numPr>
          <w:ilvl w:val="0"/>
          <w:numId w:val="3"/>
        </w:numPr>
        <w:spacing w:after="40" w:before="40" w:line="280"/>
      </w:pPr>
      <w:r>
        <w:t xml:space="preserve">What would cause you to fire me in month 12?</w:t>
      </w:r>
    </w:p>
    <w:p>
      <w:pPr>
        <w:spacing w:after="80" w:before="80" w:line="300"/>
      </w:pPr>
      <w:r>
        <w:t xml:space="preserve"> </w:t>
      </w:r>
    </w:p>
    <w:p>
      <w:pPr>
        <w:pStyle w:val="Heading2"/>
        <w:spacing w:after="120" w:before="280"/>
      </w:pPr>
      <w:r>
        <w:t xml:space="preserve">About the organization</w:t>
      </w:r>
    </w:p>
    <w:p>
      <w:pPr>
        <w:pStyle w:val="ListParagraph"/>
        <w:numPr>
          <w:ilvl w:val="0"/>
          <w:numId w:val="3"/>
        </w:numPr>
        <w:spacing w:after="40" w:before="40" w:line="280"/>
      </w:pPr>
      <w:r>
        <w:t xml:space="preserve">What is the last three-year trend of voluntary attrition in IT?</w:t>
      </w:r>
    </w:p>
    <w:p>
      <w:pPr>
        <w:pStyle w:val="ListParagraph"/>
        <w:numPr>
          <w:ilvl w:val="0"/>
          <w:numId w:val="3"/>
        </w:numPr>
        <w:spacing w:after="40" w:before="40" w:line="280"/>
      </w:pPr>
      <w:r>
        <w:t xml:space="preserve">What was the last major technology decision the board overruled — and what happened after?</w:t>
      </w:r>
    </w:p>
    <w:p>
      <w:pPr>
        <w:pStyle w:val="ListParagraph"/>
        <w:numPr>
          <w:ilvl w:val="0"/>
          <w:numId w:val="3"/>
        </w:numPr>
        <w:spacing w:after="40" w:before="40" w:line="280"/>
      </w:pPr>
      <w:r>
        <w:t xml:space="preserve">Which peer C-suite member would most obviously have preferred not to hire a new CIO, and why?</w:t>
      </w:r>
    </w:p>
    <w:p>
      <w:pPr>
        <w:spacing w:after="80" w:before="80" w:line="300"/>
      </w:pPr>
      <w:r>
        <w:t xml:space="preserve"> </w:t>
      </w:r>
    </w:p>
    <w:p>
      <w:pPr>
        <w:pStyle w:val="Heading2"/>
        <w:spacing w:after="120" w:before="280"/>
      </w:pPr>
      <w:r>
        <w:t xml:space="preserve">About resources</w:t>
      </w:r>
    </w:p>
    <w:p>
      <w:pPr>
        <w:pStyle w:val="ListParagraph"/>
        <w:numPr>
          <w:ilvl w:val="0"/>
          <w:numId w:val="3"/>
        </w:numPr>
        <w:spacing w:after="40" w:before="40" w:line="280"/>
      </w:pPr>
      <w:r>
        <w:t xml:space="preserve">What is the current Run / Grow / Transform split — and what do you wish it were?</w:t>
      </w:r>
    </w:p>
    <w:p>
      <w:pPr>
        <w:pStyle w:val="ListParagraph"/>
        <w:numPr>
          <w:ilvl w:val="0"/>
          <w:numId w:val="3"/>
        </w:numPr>
        <w:spacing w:after="40" w:before="40" w:line="280"/>
      </w:pPr>
      <w:r>
        <w:t xml:space="preserve">If I identify a quick-hit in week 3 that costs $500K and ships in 30 days, what is the approval path?</w:t>
      </w:r>
    </w:p>
    <w:p>
      <w:pPr>
        <w:pStyle w:val="ListParagraph"/>
        <w:numPr>
          <w:ilvl w:val="0"/>
          <w:numId w:val="3"/>
        </w:numPr>
        <w:spacing w:after="40" w:before="40" w:line="280"/>
      </w:pPr>
      <w:r>
        <w:t xml:space="preserve">Are there any technology contracts expiring in the next 18 months that I should read before Day 1?</w:t>
      </w:r>
    </w:p>
    <w:p>
      <w:pPr>
        <w:spacing w:after="80" w:before="80" w:line="300"/>
      </w:pPr>
      <w:r>
        <w:t xml:space="preserve"> </w:t>
      </w:r>
    </w:p>
    <w:p>
      <w:pPr>
        <w:pStyle w:val="Heading2"/>
        <w:spacing w:after="120" w:before="280"/>
      </w:pPr>
      <w:r>
        <w:t xml:space="preserve">About me, specifically</w:t>
      </w:r>
    </w:p>
    <w:p>
      <w:pPr>
        <w:pStyle w:val="ListParagraph"/>
        <w:numPr>
          <w:ilvl w:val="0"/>
          <w:numId w:val="3"/>
        </w:numPr>
        <w:spacing w:after="40" w:before="40" w:line="280"/>
      </w:pPr>
      <w:r>
        <w:t xml:space="preserve">Given the unusual shape of my background — a 30-year retail technology operator who is also a Bitcoin-native protocol designer — which of the two halves is actually why you are considering me, and do we agree about that?</w:t>
      </w:r>
    </w:p>
    <w:p>
      <w:pPr>
        <w:pStyle w:val="ListParagraph"/>
        <w:numPr>
          <w:ilvl w:val="0"/>
          <w:numId w:val="3"/>
        </w:numPr>
        <w:spacing w:after="40" w:before="40" w:line="280"/>
      </w:pPr>
      <w:r>
        <w:t xml:space="preserve">Is there a private concern about my candidacy that has not yet been voiced? I would rather hear it now.</w:t>
      </w:r>
    </w:p>
    <w:p>
      <w:r>
        <w:br w:type="page"/>
      </w:r>
    </w:p>
    <w:p>
      <w:pPr>
        <w:pStyle w:val="Heading1"/>
        <w:spacing w:after="160" w:before="360"/>
      </w:pPr>
      <w:r>
        <w:t xml:space="preserve">12. The thirty-year through-line</w:t>
      </w:r>
    </w:p>
    <w:p>
      <w:pPr>
        <w:pBdr>
          <w:left w:val="single" w:color="1F3A5F" w:sz="18" w:space="12"/>
        </w:pBdr>
        <w:spacing w:after="160" w:before="120" w:line="300"/>
        <w:ind w:left="360" w:right="360"/>
      </w:pPr>
      <w:r>
        <w:rPr>
          <w:i/>
          <w:iCs/>
          <w:color w:val="4A5568"/>
        </w:rPr>
        <w:t xml:space="preserve">I built the world's largest private database of retail sales data. I watched that data get locked in silos, disputed in courtrooms, and lost when companies changed hands. The problem was never the data — it was that the record was mutable.</w:t>
      </w:r>
    </w:p>
    <w:p>
      <w:pPr>
        <w:spacing w:after="80" w:before="80" w:line="300"/>
      </w:pPr>
      <w:r>
        <w:t xml:space="preserve">That is the sentence that ties the whole career together. It is the reason gLog exists. It is the reason Canary is Bitcoin-native. It is the reason the Factory pipeline is documented as code. And it is the reason I am the right kind of operator for an organization whose real problem is not that they need another IT manager — it is that they need someone who has seen the record go mutable, has felt what it costs when it does, and has built the next version to make sure it cannot.</w:t>
      </w:r>
    </w:p>
    <w:p>
      <w:pPr>
        <w:spacing w:after="80" w:before="80" w:line="300"/>
      </w:pPr>
      <w:r>
        <w:t xml:space="preserve"> </w:t>
      </w:r>
    </w:p>
    <w:p>
      <w:pPr>
        <w:pStyle w:val="Heading2"/>
        <w:spacing w:after="120" w:before="280"/>
      </w:pPr>
      <w:r>
        <w:t xml:space="preserve">What this playbook is not</w:t>
      </w:r>
    </w:p>
    <w:p>
      <w:pPr>
        <w:spacing w:after="80" w:before="80" w:line="300"/>
      </w:pPr>
      <w:r>
        <w:t xml:space="preserve">It is not a résumé. It is not a pitch deck. It is not the LinkedIn content or the board packet. Those are Parts 2 and 3, and they are downstream of this. This is the private foundation — the document I re-read before an interview, before a board call, before I sit down to write something public.</w:t>
      </w:r>
    </w:p>
    <w:p>
      <w:pPr>
        <w:pStyle w:val="Heading2"/>
        <w:spacing w:after="120" w:before="280"/>
      </w:pPr>
      <w:r>
        <w:t xml:space="preserve">What this playbook is</w:t>
      </w:r>
    </w:p>
    <w:p>
      <w:pPr>
        <w:spacing w:after="80" w:before="80" w:line="300"/>
      </w:pPr>
      <w:r>
        <w:t xml:space="preserve">It is the answer to the question I asked at the start of this project: why couldn't the board bring me in somewhere? The answer is: they can. The work here is to make that obvious enough that they do.</w:t>
      </w:r>
    </w:p>
    <w:p>
      <w:pPr>
        <w:spacing w:after="80" w:before="80" w:line="300"/>
      </w:pPr>
      <w:r>
        <w:t xml:space="preserve"> </w:t>
      </w:r>
    </w:p>
    <w:p>
      <w:pPr>
        <w:pBdr>
          <w:bottom w:val="single" w:color="CBD5E0" w:sz="6" w:space="6"/>
        </w:pBdr>
        <w:spacing w:after="60" w:before="60"/>
      </w:pPr>
      <w:r>
        <w:t xml:space="preserve"/>
      </w:r>
    </w:p>
    <w:p>
      <w:pPr>
        <w:spacing w:after="80" w:before="80" w:line="300"/>
        <w:jc w:val="center"/>
      </w:pPr>
      <w:r>
        <w:rPr>
          <w:i/>
          <w:iCs/>
          <w:color w:val="718096"/>
        </w:rPr>
        <w:t xml:space="preserve">— End of Part 1 —</w:t>
      </w:r>
    </w:p>
    <w:p>
      <w:pPr>
        <w:spacing w:after="80" w:before="80" w:line="300"/>
        <w:jc w:val="center"/>
      </w:pPr>
      <w:r>
        <w:rPr>
          <w:i/>
          <w:iCs/>
          <w:color w:val="718096"/>
        </w:rPr>
        <w:t xml:space="preserve">Next: Part 2 — Public positioning content (audience layer). Then Part 3 — Board-ready pitch packet (position layer).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18096"/>
        <w:sz w:val="18"/>
        <w:szCs w:val="18"/>
      </w:rPr>
      <w:t xml:space="preserve">v1 — April 2026</w:t>
    </w:r>
    <w:r>
      <w:rPr>
        <w:color w:val="718096"/>
        <w:sz w:val="18"/>
        <w:szCs w:val="18"/>
      </w:rPr>
      <w:t xml:space="preserve">	Page </w:t>
    </w:r>
    <w:r>
      <w:rPr>
        <w:color w:val="718096"/>
        <w:sz w:val="18"/>
        <w:szCs w:val="18"/>
      </w:rPr>
      <w:fldChar w:fldCharType="begin"/>
      <w:instrText xml:space="preserve">PAGE</w:instrText>
      <w:fldChar w:fldCharType="separate"/>
      <w:fldChar w:fldCharType="end"/>
    </w:r>
    <w:r>
      <w:rPr>
        <w:color w:val="718096"/>
        <w:sz w:val="18"/>
        <w:szCs w:val="18"/>
      </w:rPr>
      <w:t xml:space="preserve"> of </w:t>
    </w:r>
    <w:r>
      <w:rPr>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718096"/>
        <w:sz w:val="18"/>
        <w:szCs w:val="18"/>
      </w:rPr>
      <w:t xml:space="preserve">Personal CIO Playbook — Private</w:t>
    </w:r>
    <w:r>
      <w:rPr>
        <w:color w:val="718096"/>
        <w:sz w:val="18"/>
        <w:szCs w:val="18"/>
      </w:rPr>
      <w:t xml:space="preserve">	Geoffrey C. Lyle / GrowDirect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80" w:before="220"/>
      <w:outlineLvl w:val="2"/>
    </w:pPr>
    <w:rPr>
      <w:rFonts w:ascii="Calibri" w:cs="Calibri" w:eastAsia="Calibri" w:hAnsi="Calibri"/>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2026-04-24T13:34:41.069Z</dcterms:created>
  <dcterms:modified xsi:type="dcterms:W3CDTF">2026-04-24T13:34:41.069Z</dcterms:modified>
</cp:coreProperties>
</file>

<file path=docProps/custom.xml><?xml version="1.0" encoding="utf-8"?>
<Properties xmlns="http://schemas.openxmlformats.org/officeDocument/2006/custom-properties" xmlns:vt="http://schemas.openxmlformats.org/officeDocument/2006/docPropsVTypes"/>
</file>