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20"/>
          <w:szCs w:val="120"/>
        </w:rPr>
        <w:t xml:space="preserve"/>
      </w:r>
    </w:p>
    <w:p>
      <w:pPr>
        <w:spacing w:before="0" w:after="40"/>
        <w:jc w:val="center"/>
      </w:pPr>
      <w:r>
        <w:rPr>
          <w:rFonts w:ascii="Arial" w:cs="Arial" w:eastAsia="Arial" w:hAnsi="Arial"/>
          <w:b/>
          <w:bCs/>
          <w:color w:val="B8860B"/>
          <w:spacing w:val="200"/>
          <w:sz w:val="72"/>
          <w:szCs w:val="72"/>
        </w:rPr>
        <w:t xml:space="preserve">GROWDIRECT</w:t>
      </w:r>
    </w:p>
    <w:p>
      <w:pPr>
        <w:spacing w:before="0" w:after="480"/>
        <w:jc w:val="center"/>
      </w:pPr>
      <w:r>
        <w:rPr>
          <w:rFonts w:ascii="Arial" w:cs="Arial" w:eastAsia="Arial" w:hAnsi="Arial"/>
          <w:b/>
          <w:bCs/>
          <w:color w:val="8B1A1A"/>
          <w:spacing w:val="120"/>
          <w:sz w:val="22"/>
          <w:szCs w:val="22"/>
        </w:rPr>
        <w:t xml:space="preserve">MAXIMUM CONFIDENTIAL</w:t>
      </w:r>
    </w:p>
    <w:p>
      <w:pPr>
        <w:pBdr>
          <w:bottom w:val="single" w:color="B8860B" w:sz="16" w:space="1"/>
        </w:pBdr>
        <w:spacing w:before="0" w:after="0"/>
      </w:pPr>
    </w:p>
    <w:p>
      <w:pPr>
        <w:spacing w:before="0" w:after="0"/>
      </w:pPr>
      <w:r>
        <w:rPr>
          <w:sz w:val="40"/>
          <w:szCs w:val="40"/>
        </w:rPr>
        <w:t xml:space="preserve"/>
      </w:r>
    </w:p>
    <w:p>
      <w:pPr>
        <w:spacing w:before="0" w:after="80"/>
        <w:jc w:val="center"/>
      </w:pPr>
      <w:r>
        <w:rPr>
          <w:rFonts w:ascii="Arial" w:cs="Arial" w:eastAsia="Arial" w:hAnsi="Arial"/>
          <w:b/>
          <w:bCs/>
          <w:color w:val="0D1B2A"/>
          <w:sz w:val="52"/>
          <w:szCs w:val="52"/>
        </w:rPr>
        <w:t xml:space="preserve">From tLog to gLog to Any App</w:t>
      </w:r>
    </w:p>
    <w:p>
      <w:pPr>
        <w:spacing w:before="0" w:after="480"/>
        <w:jc w:val="center"/>
      </w:pPr>
      <w:r>
        <w:rPr>
          <w:rFonts w:ascii="Arial" w:cs="Arial" w:eastAsia="Arial" w:hAnsi="Arial"/>
          <w:i/>
          <w:iCs/>
          <w:color w:val="1B3A5C"/>
          <w:sz w:val="36"/>
          <w:szCs w:val="36"/>
        </w:rPr>
        <w:t xml:space="preserve">The Unified Architecture Thesis</w:t>
      </w:r>
    </w:p>
    <w:p>
      <w:pPr>
        <w:spacing w:before="0" w:after="0"/>
      </w:pPr>
      <w:r>
        <w:rPr>
          <w:sz w:val="40"/>
          <w:szCs w:val="40"/>
        </w:rPr>
        <w:t xml:space="preserve"/>
      </w:r>
    </w:p>
    <w:p>
      <w:pPr>
        <w:pBdr>
          <w:bottom w:val="single" w:color="B8860B" w:sz="16" w:space="1"/>
        </w:pBdr>
        <w:spacing w:before="0" w:after="0"/>
      </w:pPr>
    </w:p>
    <w:p>
      <w:pPr>
        <w:spacing w:before="0" w:after="0"/>
      </w:pPr>
      <w:r>
        <w:rPr>
          <w:sz w:val="80"/>
          <w:szCs w:val="80"/>
        </w:rPr>
        <w:t xml:space="preserve"/>
      </w:r>
    </w:p>
    <w:p>
      <w:pPr>
        <w:spacing w:before="0" w:after="80"/>
        <w:jc w:val="center"/>
      </w:pPr>
      <w:r>
        <w:rPr>
          <w:rFonts w:ascii="Arial" w:cs="Arial" w:eastAsia="Arial" w:hAnsi="Arial"/>
          <w:color w:val="4A4A4A"/>
          <w:sz w:val="24"/>
          <w:szCs w:val="24"/>
        </w:rPr>
        <w:t xml:space="preserve">GrowDirect Research Framework</w:t>
      </w:r>
    </w:p>
    <w:p>
      <w:pPr>
        <w:spacing w:before="0" w:after="80"/>
        <w:jc w:val="center"/>
      </w:pPr>
      <w:r>
        <w:rPr>
          <w:rFonts w:ascii="Arial" w:cs="Arial" w:eastAsia="Arial" w:hAnsi="Arial"/>
          <w:color w:val="4A4A4A"/>
          <w:sz w:val="22"/>
          <w:szCs w:val="22"/>
        </w:rPr>
        <w:t xml:space="preserve">February 28, 2026  ·  Version 1.0</w:t>
      </w:r>
    </w:p>
    <w:p>
      <w:pPr>
        <w:spacing w:before="0" w:after="80"/>
        <w:jc w:val="center"/>
      </w:pPr>
      <w:r>
        <w:rPr>
          <w:rFonts w:ascii="Arial" w:cs="Arial" w:eastAsia="Arial" w:hAnsi="Arial"/>
          <w:b/>
          <w:bCs/>
          <w:color w:val="8B1A1A"/>
          <w:sz w:val="22"/>
          <w:szCs w:val="22"/>
        </w:rPr>
        <w:t xml:space="preserve">Classification: MAXIMUM CONFIDENTIAL</w:t>
      </w:r>
    </w:p>
    <w:p>
      <w:pPr>
        <w:spacing w:before="0" w:after="80"/>
        <w:jc w:val="center"/>
      </w:pPr>
      <w:r>
        <w:rPr>
          <w:rFonts w:ascii="Arial" w:cs="Arial" w:eastAsia="Arial" w:hAnsi="Arial"/>
          <w:i/>
          <w:iCs/>
          <w:color w:val="4A4A4A"/>
          <w:sz w:val="20"/>
          <w:szCs w:val="20"/>
        </w:rPr>
        <w:t xml:space="preserve">For qualified investors and authorized parties only.</w:t>
      </w:r>
    </w:p>
    <w:p>
      <w:r>
        <w:br w:type="page"/>
      </w:r>
    </w:p>
    <w:p>
      <w:pPr>
        <w:pStyle w:val="Heading1"/>
        <w:spacing w:before="480" w:after="120"/>
      </w:pPr>
      <w:r>
        <w:rPr>
          <w:rFonts w:ascii="Arial" w:cs="Arial" w:eastAsia="Arial" w:hAnsi="Arial"/>
          <w:b/>
          <w:bCs/>
          <w:color w:val="0D1B2A"/>
          <w:sz w:val="36"/>
          <w:szCs w:val="36"/>
        </w:rPr>
        <w:t xml:space="preserve">Abstract</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For thirty-eight years the retail industry ran on a mutable, institution-controlled transaction log. </w:t>
      </w:r>
      <w:r>
        <w:rPr>
          <w:rFonts w:ascii="Arial" w:cs="Arial" w:eastAsia="Arial" w:hAnsi="Arial"/>
          <w:color w:val="0D0D0D"/>
          <w:sz w:val="22"/>
          <w:szCs w:val="22"/>
        </w:rPr>
        <w:t xml:space="preserve">The IBM 4690 tLog was the universal record of commerce — and it was broken by design. It dropped records silently. </w:t>
      </w:r>
      <w:r>
        <w:rPr>
          <w:rFonts w:ascii="Arial" w:cs="Arial" w:eastAsia="Arial" w:hAnsi="Arial"/>
          <w:color w:val="0D0D0D"/>
          <w:sz w:val="22"/>
          <w:szCs w:val="22"/>
        </w:rPr>
        <w:t xml:space="preserve">It corrupted payloads without detection. It accused innocent employees of crimes committed by the system itself. </w:t>
      </w:r>
      <w:r>
        <w:rPr>
          <w:rFonts w:ascii="Arial" w:cs="Arial" w:eastAsia="Arial" w:hAnsi="Arial"/>
          <w:color w:val="0D0D0D"/>
          <w:sz w:val="22"/>
          <w:szCs w:val="22"/>
        </w:rPr>
        <w:t xml:space="preserve">The institution that owned the log could not be trusted to maintain it, and there was no mathematical alternative.</w:t>
      </w:r>
    </w:p>
    <w:p>
      <w:pPr>
        <w:spacing w:before="0" w:after="160"/>
        <w:jc w:val="both"/>
      </w:pPr>
      <w:r>
        <w:rPr>
          <w:rFonts w:ascii="Arial" w:cs="Arial" w:eastAsia="Arial" w:hAnsi="Arial"/>
          <w:color w:val="0D0D0D"/>
          <w:sz w:val="22"/>
          <w:szCs w:val="22"/>
        </w:rPr>
        <w:t xml:space="preserve">This document establishes the intellectual provenance of GrowDirect’s response to that failure: </w:t>
      </w:r>
      <w:r>
        <w:rPr>
          <w:rFonts w:ascii="Arial" w:cs="Arial" w:eastAsia="Arial" w:hAnsi="Arial"/>
          <w:color w:val="0D0D0D"/>
          <w:sz w:val="22"/>
          <w:szCs w:val="22"/>
        </w:rPr>
        <w:t xml:space="preserve">a unified architectural philosophy called </w:t>
      </w:r>
      <w:r>
        <w:rPr>
          <w:rFonts w:ascii="Arial" w:cs="Arial" w:eastAsia="Arial" w:hAnsi="Arial"/>
          <w:b/>
          <w:bCs/>
          <w:color w:val="0D0D0D"/>
          <w:sz w:val="22"/>
          <w:szCs w:val="22"/>
        </w:rPr>
        <w:t xml:space="preserve">merchant-first isolation</w:t>
      </w:r>
      <w:r>
        <w:rPr>
          <w:rFonts w:ascii="Arial" w:cs="Arial" w:eastAsia="Arial" w:hAnsi="Arial"/>
          <w:color w:val="0D0D0D"/>
          <w:sz w:val="22"/>
          <w:szCs w:val="22"/>
        </w:rPr>
        <w:t xml:space="preserve">, expressed simultaneously at three layers of the technology stack — the Bitcoin layer, the Postgres layer, and the presentation layer — </w:t>
      </w:r>
      <w:r>
        <w:rPr>
          <w:rFonts w:ascii="Arial" w:cs="Arial" w:eastAsia="Arial" w:hAnsi="Arial"/>
          <w:color w:val="0D0D0D"/>
          <w:sz w:val="22"/>
          <w:szCs w:val="22"/>
        </w:rPr>
        <w:t xml:space="preserve">and converging in a single product claim: if this architecture is correct, any application can be built on top of it.</w:t>
      </w:r>
    </w:p>
    <w:p>
      <w:pPr>
        <w:spacing w:before="0" w:after="160"/>
        <w:jc w:val="both"/>
      </w:pPr>
      <w:r>
        <w:rPr>
          <w:rFonts w:ascii="Arial" w:cs="Arial" w:eastAsia="Arial" w:hAnsi="Arial"/>
          <w:color w:val="0D0D0D"/>
          <w:sz w:val="22"/>
          <w:szCs w:val="22"/>
        </w:rPr>
        <w:t xml:space="preserve">The central thesis is that three decisions which appear to be about different things are in fact the same decision. </w:t>
      </w:r>
      <w:r>
        <w:rPr>
          <w:rFonts w:ascii="Arial" w:cs="Arial" w:eastAsia="Arial" w:hAnsi="Arial"/>
          <w:color w:val="0D0D0D"/>
          <w:sz w:val="22"/>
          <w:szCs w:val="22"/>
        </w:rPr>
        <w:t xml:space="preserve">The per-merchant hash chain in the patent’s staged immutability pipeline, the per-merchant partition in the canonical data model, </w:t>
      </w:r>
      <w:r>
        <w:rPr>
          <w:rFonts w:ascii="Arial" w:cs="Arial" w:eastAsia="Arial" w:hAnsi="Arial"/>
          <w:color w:val="0D0D0D"/>
          <w:sz w:val="22"/>
          <w:szCs w:val="22"/>
        </w:rPr>
        <w:t xml:space="preserve">and the per-merchant vocabulary pack in the presentation layer are three expressions of one principle. </w:t>
      </w:r>
      <w:r>
        <w:rPr>
          <w:rFonts w:ascii="Arial" w:cs="Arial" w:eastAsia="Arial" w:hAnsi="Arial"/>
          <w:color w:val="0D0D0D"/>
          <w:sz w:val="22"/>
          <w:szCs w:val="22"/>
        </w:rPr>
        <w:t xml:space="preserve">They are not features added to a platform. They are the platform, stated three times in three different languages — cryptographic, relational, and human.</w:t>
      </w:r>
    </w:p>
    <w:p>
      <w:pPr>
        <w:spacing w:before="0" w:after="160"/>
        <w:jc w:val="both"/>
      </w:pPr>
      <w:r>
        <w:rPr>
          <w:rFonts w:ascii="Arial" w:cs="Arial" w:eastAsia="Arial" w:hAnsi="Arial"/>
          <w:color w:val="0D0D0D"/>
          <w:sz w:val="22"/>
          <w:szCs w:val="22"/>
        </w:rPr>
        <w:t xml:space="preserve">This is the document that must exist before the implementation fragments across agents, sessions, and sprints. </w:t>
      </w:r>
      <w:r>
        <w:rPr>
          <w:rFonts w:ascii="Arial" w:cs="Arial" w:eastAsia="Arial" w:hAnsi="Arial"/>
          <w:color w:val="0D0D0D"/>
          <w:sz w:val="22"/>
          <w:szCs w:val="22"/>
        </w:rPr>
        <w:t xml:space="preserve">It is the primary source. Everything else is a derivative.</w:t>
      </w:r>
    </w:p>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1.  The Problem: Why the tLog Failed</w:t>
      </w:r>
    </w:p>
    <w:p>
      <w:pPr>
        <w:pBdr>
          <w:bottom w:val="single" w:color="B8860B" w:sz="8" w:space="1"/>
        </w:pBdr>
        <w:spacing w:before="0" w:after="0"/>
      </w:pPr>
    </w:p>
    <w:p>
      <w:pPr>
        <w:spacing w:before="0" w:after="0"/>
      </w:pPr>
      <w:r>
        <w:rPr>
          <w:sz w:val="20"/>
          <w:szCs w:val="20"/>
        </w:rPr>
        <w:t xml:space="preserve"/>
      </w:r>
    </w:p>
    <w:p>
      <w:pPr>
        <w:pStyle w:val="Heading2"/>
        <w:spacing w:before="360" w:after="100"/>
      </w:pPr>
      <w:r>
        <w:rPr>
          <w:rFonts w:ascii="Arial" w:cs="Arial" w:eastAsia="Arial" w:hAnsi="Arial"/>
          <w:b/>
          <w:bCs/>
          <w:color w:val="1B3A5C"/>
          <w:sz w:val="26"/>
          <w:szCs w:val="26"/>
        </w:rPr>
        <w:t xml:space="preserve">1.1  The IBM 4690 and the Architecture of Institutional Trust</w:t>
      </w:r>
    </w:p>
    <w:p>
      <w:pPr>
        <w:spacing w:before="0" w:after="160"/>
        <w:jc w:val="both"/>
      </w:pPr>
      <w:r>
        <w:rPr>
          <w:rFonts w:ascii="Arial" w:cs="Arial" w:eastAsia="Arial" w:hAnsi="Arial"/>
          <w:color w:val="0D0D0D"/>
          <w:sz w:val="22"/>
          <w:szCs w:val="22"/>
        </w:rPr>
        <w:t xml:space="preserve">IBM released the 4690 Operating System in 1986. Within a decade it held more than seventy percent of grocery, drug, and mass merchant </w:t>
      </w:r>
      <w:r>
        <w:rPr>
          <w:rFonts w:ascii="Arial" w:cs="Arial" w:eastAsia="Arial" w:hAnsi="Arial"/>
          <w:color w:val="0D0D0D"/>
          <w:sz w:val="22"/>
          <w:szCs w:val="22"/>
        </w:rPr>
        <w:t xml:space="preserve">point-of-sale infrastructure in the United States. The tLog — the transaction log generated by every 4690 terminal — became the </w:t>
      </w:r>
      <w:r>
        <w:rPr>
          <w:rFonts w:ascii="Arial" w:cs="Arial" w:eastAsia="Arial" w:hAnsi="Arial"/>
          <w:color w:val="0D0D0D"/>
          <w:sz w:val="22"/>
          <w:szCs w:val="22"/>
        </w:rPr>
        <w:t xml:space="preserve">universal payload format for retail operations: a sequential record of every sale, refund, void, discount, tender, and cash event that </w:t>
      </w:r>
      <w:r>
        <w:rPr>
          <w:rFonts w:ascii="Arial" w:cs="Arial" w:eastAsia="Arial" w:hAnsi="Arial"/>
          <w:color w:val="0D0D0D"/>
          <w:sz w:val="22"/>
          <w:szCs w:val="22"/>
        </w:rPr>
        <w:t xml:space="preserve">passed through a register. Auditors trusted it. Loss Prevention departments built careers on it. Courts accepted it.</w:t>
      </w:r>
    </w:p>
    <w:p>
      <w:pPr>
        <w:spacing w:before="0" w:after="160"/>
        <w:jc w:val="both"/>
      </w:pPr>
      <w:r>
        <w:rPr>
          <w:rFonts w:ascii="Arial" w:cs="Arial" w:eastAsia="Arial" w:hAnsi="Arial"/>
          <w:color w:val="0D0D0D"/>
          <w:sz w:val="22"/>
          <w:szCs w:val="22"/>
        </w:rPr>
        <w:t xml:space="preserve">The tLog had one foundational property that was never advertised on the product sheet: it was </w:t>
      </w:r>
      <w:r>
        <w:rPr>
          <w:rFonts w:ascii="Arial" w:cs="Arial" w:eastAsia="Arial" w:hAnsi="Arial"/>
          <w:b/>
          <w:bCs/>
          <w:color w:val="0D0D0D"/>
          <w:sz w:val="22"/>
          <w:szCs w:val="22"/>
        </w:rPr>
        <w:t xml:space="preserve">mutable</w:t>
      </w:r>
      <w:r>
        <w:rPr>
          <w:rFonts w:ascii="Arial" w:cs="Arial" w:eastAsia="Arial" w:hAnsi="Arial"/>
          <w:color w:val="0D0D0D"/>
          <w:sz w:val="22"/>
          <w:szCs w:val="22"/>
        </w:rPr>
        <w:t xml:space="preserve">. The institution that operated the server controlled the record. There was no cryptographic seal, no hash chain, no independent verification. </w:t>
      </w:r>
      <w:r>
        <w:rPr>
          <w:rFonts w:ascii="Arial" w:cs="Arial" w:eastAsia="Arial" w:hAnsi="Arial"/>
          <w:color w:val="0D0D0D"/>
          <w:sz w:val="22"/>
          <w:szCs w:val="22"/>
        </w:rPr>
        <w:t xml:space="preserve">The log was as trustworthy as the humans and hardware maintaining it — which is to say, not very trustworthy at all.</w:t>
      </w:r>
    </w:p>
    <w:p>
      <w:pPr>
        <w:pStyle w:val="Heading2"/>
        <w:spacing w:before="360" w:after="100"/>
      </w:pPr>
      <w:r>
        <w:rPr>
          <w:rFonts w:ascii="Arial" w:cs="Arial" w:eastAsia="Arial" w:hAnsi="Arial"/>
          <w:b/>
          <w:bCs/>
          <w:color w:val="1B3A5C"/>
          <w:sz w:val="26"/>
          <w:szCs w:val="26"/>
        </w:rPr>
        <w:t xml:space="preserve">1.2  Non-Journal Mode and the Silent Gap</w:t>
      </w:r>
    </w:p>
    <w:p>
      <w:pPr>
        <w:spacing w:before="0" w:after="160"/>
        <w:jc w:val="both"/>
      </w:pPr>
      <w:r>
        <w:rPr>
          <w:rFonts w:ascii="Arial" w:cs="Arial" w:eastAsia="Arial" w:hAnsi="Arial"/>
          <w:color w:val="0D0D0D"/>
          <w:sz w:val="22"/>
          <w:szCs w:val="22"/>
        </w:rPr>
        <w:t xml:space="preserve">The IBM 4690 included a configuration called non-journal mode. In this mode, the system dropped sequential transaction records without </w:t>
      </w:r>
      <w:r>
        <w:rPr>
          <w:rFonts w:ascii="Arial" w:cs="Arial" w:eastAsia="Arial" w:hAnsi="Arial"/>
          <w:color w:val="0D0D0D"/>
          <w:sz w:val="22"/>
          <w:szCs w:val="22"/>
        </w:rPr>
        <w:t xml:space="preserve">producing an error, an alert, or any detectable trace. The records simply ceased to exist. No gap marker. No corruption flag. </w:t>
      </w:r>
      <w:r>
        <w:rPr>
          <w:rFonts w:ascii="Arial" w:cs="Arial" w:eastAsia="Arial" w:hAnsi="Arial"/>
          <w:color w:val="0D0D0D"/>
          <w:sz w:val="22"/>
          <w:szCs w:val="22"/>
        </w:rPr>
        <w:t xml:space="preserve">The sequence numbers continued as if nothing had happened. The data was gone, and the system provided no mechanism to prove it had ever existed.</w:t>
      </w:r>
    </w:p>
    <w:p>
      <w:pPr>
        <w:shd w:fill="F5E6C8" w:val="clear"/>
        <w:spacing w:before="240" w:after="240"/>
        <w:ind w:left="720" w:right="720"/>
      </w:pPr>
      <w:r>
        <w:rPr>
          <w:rFonts w:ascii="Arial" w:cs="Arial" w:eastAsia="Arial" w:hAnsi="Arial"/>
          <w:i/>
          <w:iCs/>
          <w:color w:val="1B3A5C"/>
          <w:sz w:val="24"/>
          <w:szCs w:val="24"/>
        </w:rPr>
        <w:t xml:space="preserve">Non-journal mode did not corrupt the log. It erased segments of it and left the remaining record internally consistent. That is the most dangerous kind of data loss: the kind that looks like truth.</w:t>
      </w:r>
    </w:p>
    <w:p>
      <w:pPr>
        <w:spacing w:before="0" w:after="160"/>
        <w:jc w:val="both"/>
      </w:pPr>
      <w:r>
        <w:rPr>
          <w:rFonts w:ascii="Arial" w:cs="Arial" w:eastAsia="Arial" w:hAnsi="Arial"/>
          <w:color w:val="0D0D0D"/>
          <w:sz w:val="22"/>
          <w:szCs w:val="22"/>
        </w:rPr>
        <w:t xml:space="preserve">The consequences were human. Loss Prevention departments interpreted sequence gaps as evidence of employee fraud. </w:t>
      </w:r>
      <w:r>
        <w:rPr>
          <w:rFonts w:ascii="Arial" w:cs="Arial" w:eastAsia="Arial" w:hAnsi="Arial"/>
          <w:color w:val="0D0D0D"/>
          <w:sz w:val="22"/>
          <w:szCs w:val="22"/>
        </w:rPr>
        <w:t xml:space="preserve">Refund sequences that skipped numbers became theft investigations. Void patterns that made no chronological sense became disciplinary actions. </w:t>
      </w:r>
      <w:r>
        <w:rPr>
          <w:rFonts w:ascii="Arial" w:cs="Arial" w:eastAsia="Arial" w:hAnsi="Arial"/>
          <w:color w:val="0D0D0D"/>
          <w:sz w:val="22"/>
          <w:szCs w:val="22"/>
        </w:rPr>
        <w:t xml:space="preserve">Employees were accused, suspended, and terminated based on data the system itself had destroyed. </w:t>
      </w:r>
      <w:r>
        <w:rPr>
          <w:rFonts w:ascii="Arial" w:cs="Arial" w:eastAsia="Arial" w:hAnsi="Arial"/>
          <w:color w:val="0D0D0D"/>
          <w:sz w:val="22"/>
          <w:szCs w:val="22"/>
        </w:rPr>
        <w:t xml:space="preserve">The record was the source of truth. The record was wrong. There was no way to prove it.</w:t>
      </w:r>
    </w:p>
    <w:p>
      <w:pPr>
        <w:pStyle w:val="Heading2"/>
        <w:spacing w:before="360" w:after="100"/>
      </w:pPr>
      <w:r>
        <w:rPr>
          <w:rFonts w:ascii="Arial" w:cs="Arial" w:eastAsia="Arial" w:hAnsi="Arial"/>
          <w:b/>
          <w:bCs/>
          <w:color w:val="1B3A5C"/>
          <w:sz w:val="26"/>
          <w:szCs w:val="26"/>
        </w:rPr>
        <w:t xml:space="preserve">1.3  The Field Length Incident</w:t>
      </w:r>
    </w:p>
    <w:p>
      <w:pPr>
        <w:spacing w:before="0" w:after="160"/>
        <w:jc w:val="both"/>
      </w:pPr>
      <w:r>
        <w:rPr>
          <w:rFonts w:ascii="Arial" w:cs="Arial" w:eastAsia="Arial" w:hAnsi="Arial"/>
          <w:color w:val="0D0D0D"/>
          <w:sz w:val="22"/>
          <w:szCs w:val="22"/>
        </w:rPr>
        <w:t xml:space="preserve">The single most consequential technical failure in the tLog era occurred when under-basket scanning technology was integrated </w:t>
      </w:r>
      <w:r>
        <w:rPr>
          <w:rFonts w:ascii="Arial" w:cs="Arial" w:eastAsia="Arial" w:hAnsi="Arial"/>
          <w:color w:val="0D0D0D"/>
          <w:sz w:val="22"/>
          <w:szCs w:val="22"/>
        </w:rPr>
        <w:t xml:space="preserve">into the 4690 platform. The integration created field length overflows in the packed hexadecimal BCD format the tLog used to encode </w:t>
      </w:r>
      <w:r>
        <w:rPr>
          <w:rFonts w:ascii="Arial" w:cs="Arial" w:eastAsia="Arial" w:hAnsi="Arial"/>
          <w:color w:val="0D0D0D"/>
          <w:sz w:val="22"/>
          <w:szCs w:val="22"/>
        </w:rPr>
        <w:t xml:space="preserve">transaction data. Fields silently truncated. Records corrupted. Transactions vanished from the log.</w:t>
      </w:r>
    </w:p>
    <w:p>
      <w:pPr>
        <w:spacing w:before="0" w:after="160"/>
        <w:jc w:val="both"/>
      </w:pPr>
      <w:r>
        <w:rPr>
          <w:rFonts w:ascii="Arial" w:cs="Arial" w:eastAsia="Arial" w:hAnsi="Arial"/>
          <w:color w:val="0D0D0D"/>
          <w:sz w:val="22"/>
          <w:szCs w:val="22"/>
        </w:rPr>
        <w:t xml:space="preserve">Loss Prevention flagged the missing records as theft. The investigators were wrong. The records were gone not because an employee </w:t>
      </w:r>
      <w:r>
        <w:rPr>
          <w:rFonts w:ascii="Arial" w:cs="Arial" w:eastAsia="Arial" w:hAnsi="Arial"/>
          <w:color w:val="0D0D0D"/>
          <w:sz w:val="22"/>
          <w:szCs w:val="22"/>
        </w:rPr>
        <w:t xml:space="preserve">had stolen merchandise, but because a crashed field length in a thirty-year-old binary format had never been designed to accommodate </w:t>
      </w:r>
      <w:r>
        <w:rPr>
          <w:rFonts w:ascii="Arial" w:cs="Arial" w:eastAsia="Arial" w:hAnsi="Arial"/>
          <w:color w:val="0D0D0D"/>
          <w:sz w:val="22"/>
          <w:szCs w:val="22"/>
        </w:rPr>
        <w:t xml:space="preserve">a third-party integration. The accusation was based on an absence of data. The absence was manufactured by the system.</w:t>
      </w:r>
    </w:p>
    <w:p>
      <w:pPr>
        <w:spacing w:before="0" w:after="160"/>
        <w:jc w:val="both"/>
      </w:pPr>
      <w:r>
        <w:rPr>
          <w:rFonts w:ascii="Arial" w:cs="Arial" w:eastAsia="Arial" w:hAnsi="Arial"/>
          <w:color w:val="0D0D0D"/>
          <w:sz w:val="22"/>
          <w:szCs w:val="22"/>
        </w:rPr>
        <w:t xml:space="preserve">The founder of GrowDirect was present for this failure. He did not observe it from a distance. He was one of the people </w:t>
      </w:r>
      <w:r>
        <w:rPr>
          <w:rFonts w:ascii="Arial" w:cs="Arial" w:eastAsia="Arial" w:hAnsi="Arial"/>
          <w:color w:val="0D0D0D"/>
          <w:sz w:val="22"/>
          <w:szCs w:val="22"/>
        </w:rPr>
        <w:t xml:space="preserve">who spent sleepless nights inside it — defending records that the system had corrupted, proving absences that could not be proven </w:t>
      </w:r>
      <w:r>
        <w:rPr>
          <w:rFonts w:ascii="Arial" w:cs="Arial" w:eastAsia="Arial" w:hAnsi="Arial"/>
          <w:color w:val="0D0D0D"/>
          <w:sz w:val="22"/>
          <w:szCs w:val="22"/>
        </w:rPr>
        <w:t xml:space="preserve">because the evidentiary chain had been broken at the source. That experience is the origin of the gLog. </w:t>
      </w:r>
      <w:r>
        <w:rPr>
          <w:rFonts w:ascii="Arial" w:cs="Arial" w:eastAsia="Arial" w:hAnsi="Arial"/>
          <w:color w:val="0D0D0D"/>
          <w:sz w:val="22"/>
          <w:szCs w:val="22"/>
        </w:rPr>
        <w:t xml:space="preserve">Not a theoretical insight. A lived one.</w:t>
      </w:r>
    </w:p>
    <w:p>
      <w:pPr>
        <w:pStyle w:val="Heading2"/>
        <w:spacing w:before="360" w:after="100"/>
      </w:pPr>
      <w:r>
        <w:rPr>
          <w:rFonts w:ascii="Arial" w:cs="Arial" w:eastAsia="Arial" w:hAnsi="Arial"/>
          <w:b/>
          <w:bCs/>
          <w:color w:val="1B3A5C"/>
          <w:sz w:val="26"/>
          <w:szCs w:val="26"/>
        </w:rPr>
        <w:t xml:space="preserve">1.4  The Structural Cause</w:t>
      </w:r>
    </w:p>
    <w:p>
      <w:pPr>
        <w:spacing w:before="0" w:after="160"/>
        <w:jc w:val="both"/>
      </w:pPr>
      <w:r>
        <w:rPr>
          <w:rFonts w:ascii="Arial" w:cs="Arial" w:eastAsia="Arial" w:hAnsi="Arial"/>
          <w:color w:val="0D0D0D"/>
          <w:sz w:val="22"/>
          <w:szCs w:val="22"/>
        </w:rPr>
        <w:t xml:space="preserve">The tLog failed for a single structural reason: it placed the record under institutional control without any mechanism for independent verification. </w:t>
      </w:r>
      <w:r>
        <w:rPr>
          <w:rFonts w:ascii="Arial" w:cs="Arial" w:eastAsia="Arial" w:hAnsi="Arial"/>
          <w:color w:val="0D0D0D"/>
          <w:sz w:val="22"/>
          <w:szCs w:val="22"/>
        </w:rPr>
        <w:t xml:space="preserve">This was not an IBM engineering failure. It was the only architecture available in 1986. </w:t>
      </w:r>
      <w:r>
        <w:rPr>
          <w:rFonts w:ascii="Arial" w:cs="Arial" w:eastAsia="Arial" w:hAnsi="Arial"/>
          <w:color w:val="0D0D0D"/>
          <w:sz w:val="22"/>
          <w:szCs w:val="22"/>
        </w:rPr>
        <w:t xml:space="preserve">Cryptographic hash functions existed in academic literature; Bitcoin was twenty-two years in the future; distributed ledgers were science fiction. </w:t>
      </w:r>
      <w:r>
        <w:rPr>
          <w:rFonts w:ascii="Arial" w:cs="Arial" w:eastAsia="Arial" w:hAnsi="Arial"/>
          <w:color w:val="0D0D0D"/>
          <w:sz w:val="22"/>
          <w:szCs w:val="22"/>
        </w:rPr>
        <w:t xml:space="preserve">The institution was the only available trust anchor, and institutions are corruptible.</w:t>
      </w:r>
    </w:p>
    <w:p>
      <w:pPr>
        <w:spacing w:before="0" w:after="160"/>
        <w:jc w:val="both"/>
      </w:pPr>
      <w:r>
        <w:rPr>
          <w:rFonts w:ascii="Arial" w:cs="Arial" w:eastAsia="Arial" w:hAnsi="Arial"/>
          <w:color w:val="0D0D0D"/>
          <w:sz w:val="22"/>
          <w:szCs w:val="22"/>
        </w:rPr>
        <w:t xml:space="preserve">The failure mode has three properties that define what a correct solution must invert:</w:t>
      </w:r>
    </w:p>
    <w:p>
      <w:pPr>
        <w:pStyle w:val="ListParagraph"/>
        <w:numPr>
          <w:ilvl w:val="0"/>
          <w:numId w:val="2"/>
        </w:numPr>
        <w:spacing w:before="0" w:after="120"/>
        <w:ind w:left="720" w:hanging="360"/>
      </w:pPr>
      <w:r>
        <w:rPr>
          <w:rFonts w:ascii="Arial" w:cs="Arial" w:eastAsia="Arial" w:hAnsi="Arial"/>
          <w:b/>
          <w:bCs/>
          <w:color w:val="0D0D0D"/>
          <w:sz w:val="22"/>
          <w:szCs w:val="22"/>
        </w:rPr>
        <w:t xml:space="preserve">Global and sequential:</w:t>
      </w:r>
      <w:r>
        <w:rPr>
          <w:rFonts w:ascii="Arial" w:cs="Arial" w:eastAsia="Arial" w:hAnsi="Arial"/>
          <w:color w:val="0D0D0D"/>
          <w:sz w:val="22"/>
          <w:szCs w:val="22"/>
        </w:rPr>
        <w:t xml:space="preserve"> one stream, one thread, one point of failure. A corrupted record corrupted everything downstream.</w:t>
      </w:r>
    </w:p>
    <w:p>
      <w:pPr>
        <w:pStyle w:val="ListParagraph"/>
        <w:numPr>
          <w:ilvl w:val="0"/>
          <w:numId w:val="2"/>
        </w:numPr>
        <w:spacing w:before="0" w:after="120"/>
        <w:ind w:left="720" w:hanging="360"/>
      </w:pPr>
      <w:r>
        <w:rPr>
          <w:rFonts w:ascii="Arial" w:cs="Arial" w:eastAsia="Arial" w:hAnsi="Arial"/>
          <w:b/>
          <w:bCs/>
          <w:color w:val="0D0D0D"/>
          <w:sz w:val="22"/>
          <w:szCs w:val="22"/>
        </w:rPr>
        <w:t xml:space="preserve">Mutable:</w:t>
      </w:r>
      <w:r>
        <w:rPr>
          <w:rFonts w:ascii="Arial" w:cs="Arial" w:eastAsia="Arial" w:hAnsi="Arial"/>
          <w:color w:val="0D0D0D"/>
          <w:sz w:val="22"/>
          <w:szCs w:val="22"/>
        </w:rPr>
        <w:t xml:space="preserve"> the institution could alter, delete, or fail to record without detection.</w:t>
      </w:r>
    </w:p>
    <w:p>
      <w:pPr>
        <w:pStyle w:val="ListParagraph"/>
        <w:numPr>
          <w:ilvl w:val="0"/>
          <w:numId w:val="2"/>
        </w:numPr>
        <w:spacing w:before="0" w:after="120"/>
        <w:ind w:left="720" w:hanging="360"/>
      </w:pPr>
      <w:r>
        <w:rPr>
          <w:rFonts w:ascii="Arial" w:cs="Arial" w:eastAsia="Arial" w:hAnsi="Arial"/>
          <w:b/>
          <w:bCs/>
          <w:color w:val="0D0D0D"/>
          <w:sz w:val="22"/>
          <w:szCs w:val="22"/>
        </w:rPr>
        <w:t xml:space="preserve">Institution-controlled:</w:t>
      </w:r>
      <w:r>
        <w:rPr>
          <w:rFonts w:ascii="Arial" w:cs="Arial" w:eastAsia="Arial" w:hAnsi="Arial"/>
          <w:color w:val="0D0D0D"/>
          <w:sz w:val="22"/>
          <w:szCs w:val="22"/>
        </w:rPr>
        <w:t xml:space="preserve"> the only available verification was to ask the institution that controlled the log to verify itself.</w:t>
      </w:r>
    </w:p>
    <w:p>
      <w:pPr>
        <w:spacing w:before="0" w:after="0"/>
      </w:pPr>
      <w:r>
        <w:rPr>
          <w:sz w:val="20"/>
          <w:szCs w:val="20"/>
        </w:rPr>
        <w:t xml:space="preserve"/>
      </w:r>
    </w:p>
    <w:p>
      <w:pPr>
        <w:pStyle w:val="Heading1"/>
        <w:spacing w:before="480" w:after="120"/>
      </w:pPr>
      <w:r>
        <w:rPr>
          <w:rFonts w:ascii="Arial" w:cs="Arial" w:eastAsia="Arial" w:hAnsi="Arial"/>
          <w:b/>
          <w:bCs/>
          <w:color w:val="0D1B2A"/>
          <w:sz w:val="36"/>
          <w:szCs w:val="36"/>
        </w:rPr>
        <w:t xml:space="preserve">2.  The Principle: Merchant-First Isolation</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correct response to the tLog’s failure is not a better database, a more careful institution, or a more rigorous audit process. </w:t>
      </w:r>
      <w:r>
        <w:rPr>
          <w:rFonts w:ascii="Arial" w:cs="Arial" w:eastAsia="Arial" w:hAnsi="Arial"/>
          <w:color w:val="0D0D0D"/>
          <w:sz w:val="22"/>
          <w:szCs w:val="22"/>
        </w:rPr>
        <w:t xml:space="preserve">It is a different architectural principle. The principle is this:</w:t>
      </w:r>
    </w:p>
    <w:p>
      <w:pPr>
        <w:shd w:fill="F5E6C8" w:val="clear"/>
        <w:spacing w:before="240" w:after="240"/>
        <w:ind w:left="720" w:right="720"/>
      </w:pPr>
      <w:r>
        <w:rPr>
          <w:rFonts w:ascii="Arial" w:cs="Arial" w:eastAsia="Arial" w:hAnsi="Arial"/>
          <w:i/>
          <w:iCs/>
          <w:color w:val="1B3A5C"/>
          <w:sz w:val="24"/>
          <w:szCs w:val="24"/>
        </w:rPr>
        <w:t xml:space="preserve">Every merchant’s record must be isolated, bounded, and independently verifiable. The failure of one record must not corrupt another. The evidence must not require trust in the institution that recorded it.</w:t>
      </w:r>
    </w:p>
    <w:p>
      <w:pPr>
        <w:spacing w:before="0" w:after="160"/>
        <w:jc w:val="both"/>
      </w:pPr>
      <w:r>
        <w:rPr>
          <w:rFonts w:ascii="Arial" w:cs="Arial" w:eastAsia="Arial" w:hAnsi="Arial"/>
          <w:color w:val="0D0D0D"/>
          <w:sz w:val="22"/>
          <w:szCs w:val="22"/>
        </w:rPr>
        <w:t xml:space="preserve">This principle has a name: </w:t>
      </w:r>
      <w:r>
        <w:rPr>
          <w:rFonts w:ascii="Arial" w:cs="Arial" w:eastAsia="Arial" w:hAnsi="Arial"/>
          <w:b/>
          <w:bCs/>
          <w:color w:val="0D0D0D"/>
          <w:sz w:val="22"/>
          <w:szCs w:val="22"/>
        </w:rPr>
        <w:t xml:space="preserve">merchant-first isolation</w:t>
      </w:r>
      <w:r>
        <w:rPr>
          <w:rFonts w:ascii="Arial" w:cs="Arial" w:eastAsia="Arial" w:hAnsi="Arial"/>
          <w:color w:val="0D0D0D"/>
          <w:sz w:val="22"/>
          <w:szCs w:val="22"/>
        </w:rPr>
        <w:t xml:space="preserve">. It means that the merchant is the fundamental unit of the system. Every data structure, every cryptographic operation, every user interface element is scoped to a merchant context. </w:t>
      </w:r>
      <w:r>
        <w:rPr>
          <w:rFonts w:ascii="Arial" w:cs="Arial" w:eastAsia="Arial" w:hAnsi="Arial"/>
          <w:color w:val="0D0D0D"/>
          <w:sz w:val="22"/>
          <w:szCs w:val="22"/>
        </w:rPr>
        <w:t xml:space="preserve">Nothing bleeds across the merchant boundary. Add a merchant, add a bounded, independent chain of evidence. </w:t>
      </w:r>
      <w:r>
        <w:rPr>
          <w:rFonts w:ascii="Arial" w:cs="Arial" w:eastAsia="Arial" w:hAnsi="Arial"/>
          <w:color w:val="0D0D0D"/>
          <w:sz w:val="22"/>
          <w:szCs w:val="22"/>
        </w:rPr>
        <w:t xml:space="preserve">The chains do not interfere with each other. The failure of one does not cascade to another.</w:t>
      </w:r>
    </w:p>
    <w:p>
      <w:pPr>
        <w:pStyle w:val="Heading2"/>
        <w:spacing w:before="360" w:after="100"/>
      </w:pPr>
      <w:r>
        <w:rPr>
          <w:rFonts w:ascii="Arial" w:cs="Arial" w:eastAsia="Arial" w:hAnsi="Arial"/>
          <w:b/>
          <w:bCs/>
          <w:color w:val="1B3A5C"/>
          <w:sz w:val="26"/>
          <w:szCs w:val="26"/>
        </w:rPr>
        <w:t xml:space="preserve">2.1  The Bitcoin UTXO Parallel</w:t>
      </w:r>
    </w:p>
    <w:p>
      <w:pPr>
        <w:spacing w:before="0" w:after="160"/>
        <w:jc w:val="both"/>
      </w:pPr>
      <w:r>
        <w:rPr>
          <w:rFonts w:ascii="Arial" w:cs="Arial" w:eastAsia="Arial" w:hAnsi="Arial"/>
          <w:color w:val="0D0D0D"/>
          <w:sz w:val="22"/>
          <w:szCs w:val="22"/>
        </w:rPr>
        <w:t xml:space="preserve">This principle did not originate with GrowDirect. It was invented by Satoshi Nakamoto and implemented in the Bitcoin UTXO model.</w:t>
      </w:r>
    </w:p>
    <w:p>
      <w:pPr>
        <w:spacing w:before="0" w:after="160"/>
        <w:jc w:val="both"/>
      </w:pPr>
      <w:r>
        <w:rPr>
          <w:rFonts w:ascii="Arial" w:cs="Arial" w:eastAsia="Arial" w:hAnsi="Arial"/>
          <w:color w:val="0D0D0D"/>
          <w:sz w:val="22"/>
          <w:szCs w:val="22"/>
        </w:rPr>
        <w:t xml:space="preserve">Each unspent transaction output in Bitcoin is independent. Validating one UTXO does not require locking any other UTXO. </w:t>
      </w:r>
      <w:r>
        <w:rPr>
          <w:rFonts w:ascii="Arial" w:cs="Arial" w:eastAsia="Arial" w:hAnsi="Arial"/>
          <w:color w:val="0D0D0D"/>
          <w:sz w:val="22"/>
          <w:szCs w:val="22"/>
        </w:rPr>
        <w:t xml:space="preserve">Miners process UTXOs in parallel because there is no shared global state that must be serialized. </w:t>
      </w:r>
      <w:r>
        <w:rPr>
          <w:rFonts w:ascii="Arial" w:cs="Arial" w:eastAsia="Arial" w:hAnsi="Arial"/>
          <w:color w:val="0D0D0D"/>
          <w:sz w:val="22"/>
          <w:szCs w:val="22"/>
        </w:rPr>
        <w:t xml:space="preserve">The Bitcoin network has processed roughly one billion transactions since January 2009 without a single confirmed block being reversed. </w:t>
      </w:r>
      <w:r>
        <w:rPr>
          <w:rFonts w:ascii="Arial" w:cs="Arial" w:eastAsia="Arial" w:hAnsi="Arial"/>
          <w:color w:val="0D0D0D"/>
          <w:sz w:val="22"/>
          <w:szCs w:val="22"/>
        </w:rPr>
        <w:t xml:space="preserve">That is not an accident of implementation. It is the mathematical consequence of UTXO independence.</w:t>
      </w:r>
    </w:p>
    <w:p>
      <w:pPr>
        <w:spacing w:before="0" w:after="160"/>
        <w:jc w:val="both"/>
      </w:pPr>
      <w:r>
        <w:rPr>
          <w:rFonts w:ascii="Arial" w:cs="Arial" w:eastAsia="Arial" w:hAnsi="Arial"/>
          <w:color w:val="0D0D0D"/>
          <w:sz w:val="22"/>
          <w:szCs w:val="22"/>
        </w:rPr>
        <w:t xml:space="preserve">GrowDirect’s architecture inherits this property at every layer. The hash chain is per-merchant: each merchant’s evidence chain is a bounded, independent UTXO set. </w:t>
      </w:r>
      <w:r>
        <w:rPr>
          <w:rFonts w:ascii="Arial" w:cs="Arial" w:eastAsia="Arial" w:hAnsi="Arial"/>
          <w:color w:val="0D0D0D"/>
          <w:sz w:val="22"/>
          <w:szCs w:val="22"/>
        </w:rPr>
        <w:t xml:space="preserve">The Postgres partition is per-merchant: each merchant’s data is isolated, droppable, and archivable without affecting any other merchant. </w:t>
      </w:r>
      <w:r>
        <w:rPr>
          <w:rFonts w:ascii="Arial" w:cs="Arial" w:eastAsia="Arial" w:hAnsi="Arial"/>
          <w:color w:val="0D0D0D"/>
          <w:sz w:val="22"/>
          <w:szCs w:val="22"/>
        </w:rPr>
        <w:t xml:space="preserve">The vocabulary pack is per-merchant: each merchant’s interface speaks their language without affecting any other merchant’s interface. </w:t>
      </w:r>
      <w:r>
        <w:rPr>
          <w:rFonts w:ascii="Arial" w:cs="Arial" w:eastAsia="Arial" w:hAnsi="Arial"/>
          <w:color w:val="0D0D0D"/>
          <w:sz w:val="22"/>
          <w:szCs w:val="22"/>
        </w:rPr>
        <w:t xml:space="preserve">This is not analogy. It is the same mathematical property — independence of state — applied to a retail intelligence platform.</w:t>
      </w:r>
    </w:p>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3.  Three Expressions of One Principle</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central claim of this document is that three architectural decisions — the per-merchant hash chain, the per-merchant Postgres partition, </w:t>
      </w:r>
      <w:r>
        <w:rPr>
          <w:rFonts w:ascii="Arial" w:cs="Arial" w:eastAsia="Arial" w:hAnsi="Arial"/>
          <w:color w:val="0D0D0D"/>
          <w:sz w:val="22"/>
          <w:szCs w:val="22"/>
        </w:rPr>
        <w:t xml:space="preserve">and the per-merchant vocabulary pack — are not three separate design choices. They are one choice, stated three times, in three different languages.</w:t>
      </w:r>
    </w:p>
    <w:p>
      <w:pPr>
        <w:pStyle w:val="Heading2"/>
        <w:spacing w:before="360" w:after="100"/>
      </w:pPr>
      <w:r>
        <w:rPr>
          <w:rFonts w:ascii="Arial" w:cs="Arial" w:eastAsia="Arial" w:hAnsi="Arial"/>
          <w:b/>
          <w:bCs/>
          <w:color w:val="1B3A5C"/>
          <w:sz w:val="26"/>
          <w:szCs w:val="26"/>
        </w:rPr>
        <w:t xml:space="preserve">3.1  The Bitcoin Layer: The Hash Chain Per Merchant</w:t>
      </w:r>
    </w:p>
    <w:p>
      <w:pPr>
        <w:spacing w:before="0" w:after="160"/>
        <w:jc w:val="both"/>
      </w:pPr>
      <w:r>
        <w:rPr>
          <w:rFonts w:ascii="Arial" w:cs="Arial" w:eastAsia="Arial" w:hAnsi="Arial"/>
          <w:color w:val="0D0D0D"/>
          <w:sz w:val="22"/>
          <w:szCs w:val="22"/>
        </w:rPr>
        <w:t xml:space="preserve">The staged immutability pipeline processes every point-of-sale event through a six-node architecture. </w:t>
      </w:r>
      <w:r>
        <w:rPr>
          <w:rFonts w:ascii="Arial" w:cs="Arial" w:eastAsia="Arial" w:hAnsi="Arial"/>
          <w:color w:val="0D0D0D"/>
          <w:sz w:val="22"/>
          <w:szCs w:val="22"/>
        </w:rPr>
        <w:t xml:space="preserve">At Node 2, the API gateway publishes each incoming webhook to a message queue with three independent subscribers. </w:t>
      </w:r>
      <w:r>
        <w:rPr>
          <w:rFonts w:ascii="Arial" w:cs="Arial" w:eastAsia="Arial" w:hAnsi="Arial"/>
          <w:color w:val="0D0D0D"/>
          <w:sz w:val="22"/>
          <w:szCs w:val="22"/>
        </w:rPr>
        <w:t xml:space="preserve">Subscriber 1 computes a SHA-256 hash of the raw payload and writes it once to the immutable evidence store. </w:t>
      </w:r>
      <w:r>
        <w:rPr>
          <w:rFonts w:ascii="Arial" w:cs="Arial" w:eastAsia="Arial" w:hAnsi="Arial"/>
          <w:color w:val="0D0D0D"/>
          <w:sz w:val="22"/>
          <w:szCs w:val="22"/>
        </w:rPr>
        <w:t xml:space="preserve">Each new record includes the hash of the previous record for that merchant, creating a cryptographic chain. </w:t>
      </w:r>
      <w:r>
        <w:rPr>
          <w:rFonts w:ascii="Arial" w:cs="Arial" w:eastAsia="Arial" w:hAnsi="Arial"/>
          <w:color w:val="0D0D0D"/>
          <w:sz w:val="22"/>
          <w:szCs w:val="22"/>
        </w:rPr>
        <w:t xml:space="preserve">Subscriber 3 batches those hashes into a Merkle tree and inscribes the root to the Bitcoin blockchain as an Ordinal.</w:t>
      </w:r>
    </w:p>
    <w:p>
      <w:pPr>
        <w:spacing w:before="0" w:after="160"/>
        <w:jc w:val="both"/>
      </w:pPr>
      <w:r>
        <w:rPr>
          <w:rFonts w:ascii="Arial" w:cs="Arial" w:eastAsia="Arial" w:hAnsi="Arial"/>
          <w:color w:val="0D0D0D"/>
          <w:sz w:val="22"/>
          <w:szCs w:val="22"/>
        </w:rPr>
        <w:t xml:space="preserve">The critical design decision is that the hash chain is </w:t>
      </w:r>
      <w:r>
        <w:rPr>
          <w:rFonts w:ascii="Arial" w:cs="Arial" w:eastAsia="Arial" w:hAnsi="Arial"/>
          <w:b/>
          <w:bCs/>
          <w:color w:val="0D0D0D"/>
          <w:sz w:val="22"/>
          <w:szCs w:val="22"/>
        </w:rPr>
        <w:t xml:space="preserve">per-merchant</w:t>
      </w:r>
      <w:r>
        <w:rPr>
          <w:rFonts w:ascii="Arial" w:cs="Arial" w:eastAsia="Arial" w:hAnsi="Arial"/>
          <w:color w:val="0D0D0D"/>
          <w:sz w:val="22"/>
          <w:szCs w:val="22"/>
        </w:rPr>
        <w:t xml:space="preserve">, not global. This was established in the patent schematic as the architectural primitive that enables both the legal claim and the scaling guarantee.</w:t>
      </w:r>
    </w:p>
    <w:p>
      <w:pPr>
        <w:spacing w:before="0" w:after="160"/>
        <w:jc w:val="both"/>
      </w:pPr>
      <w:r>
        <w:rPr>
          <w:rFonts w:ascii="Arial" w:cs="Arial" w:eastAsia="Arial" w:hAnsi="Arial"/>
          <w:color w:val="0D0D0D"/>
          <w:sz w:val="22"/>
          <w:szCs w:val="22"/>
        </w:rPr>
        <w:t xml:space="preserve">The PhD volume analysis quantified this guarantee precisely: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5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Throughput</w:t>
            </w:r>
          </w:p>
        </w:tc>
        <w:tc>
          <w:tcPr>
            <w:tcW w:type="dxa" w:w="38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System Behavior</w:t>
            </w:r>
          </w:p>
        </w:tc>
      </w:tr>
      <w:tr>
        <w:tc>
          <w:tcPr>
            <w:tcW w:type="dxa" w:w="3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Single merchant, Black Friday peak</w:t>
            </w:r>
          </w:p>
        </w:tc>
        <w:tc>
          <w:tcPr>
            <w:tcW w:type="dxa" w:w="25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92 tx/s sustained average</w:t>
            </w:r>
          </w:p>
        </w:tc>
        <w:tc>
          <w:tcPr>
            <w:tcW w:type="dxa" w:w="38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0 saturation, 0 backlog</w:t>
            </w:r>
          </w:p>
        </w:tc>
      </w:tr>
      <w:tr>
        <w:tc>
          <w:tcPr>
            <w:tcW w:type="dxa" w:w="3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Single merchant, burst capacity</w:t>
            </w:r>
          </w:p>
        </w:tc>
        <w:tc>
          <w:tcPr>
            <w:tcW w:type="dxa" w:w="25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500–1,000 tx/s</w:t>
            </w:r>
          </w:p>
        </w:tc>
        <w:tc>
          <w:tcPr>
            <w:tcW w:type="dxa" w:w="38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Linear queue drain</w:t>
            </w:r>
          </w:p>
        </w:tc>
      </w:tr>
      <w:tr>
        <w:tc>
          <w:tcPr>
            <w:tcW w:type="dxa" w:w="3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100 merchants simultaneous</w:t>
            </w:r>
          </w:p>
        </w:tc>
        <w:tc>
          <w:tcPr>
            <w:tcW w:type="dxa" w:w="25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9,200 tx/s aggregate</w:t>
            </w:r>
          </w:p>
        </w:tc>
        <w:tc>
          <w:tcPr>
            <w:tcW w:type="dxa" w:w="38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100 independent chains, zero locking</w:t>
            </w:r>
          </w:p>
        </w:tc>
      </w:tr>
      <w:tr>
        <w:tc>
          <w:tcPr>
            <w:tcW w:type="dxa" w:w="3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1,000 merchants simultaneous</w:t>
            </w:r>
          </w:p>
        </w:tc>
        <w:tc>
          <w:tcPr>
            <w:tcW w:type="dxa" w:w="25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92,000 tx/s aggregate</w:t>
            </w:r>
          </w:p>
        </w:tc>
        <w:tc>
          <w:tcPr>
            <w:tcW w:type="dxa" w:w="38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Horizontally parallel, no global state</w:t>
            </w:r>
          </w:p>
        </w:tc>
      </w:tr>
      <w:tr>
        <w:tc>
          <w:tcPr>
            <w:tcW w:type="dxa" w:w="3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Queue failure (one subscriber stalls)</w:t>
            </w:r>
          </w:p>
        </w:tc>
        <w:tc>
          <w:tcPr>
            <w:tcW w:type="dxa" w:w="25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Dead-letter queue absorbs</w:t>
            </w:r>
          </w:p>
        </w:tc>
        <w:tc>
          <w:tcPr>
            <w:tcW w:type="dxa" w:w="38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Other subscribers unaffected</w:t>
            </w:r>
          </w:p>
        </w:tc>
      </w:tr>
      <w:tr>
        <w:tc>
          <w:tcPr>
            <w:tcW w:type="dxa" w:w="3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Hash chain depth (10 years)</w:t>
            </w:r>
          </w:p>
        </w:tc>
        <w:tc>
          <w:tcPr>
            <w:tcW w:type="dxa" w:w="25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~3 billion records/merchant</w:t>
            </w:r>
          </w:p>
        </w:tc>
        <w:tc>
          <w:tcPr>
            <w:tcW w:type="dxa" w:w="38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O(1) lookup via index</w:t>
            </w:r>
          </w:p>
        </w:tc>
      </w:tr>
    </w:tbl>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linear scaling property holds because there is no shared global state. </w:t>
      </w:r>
      <w:r>
        <w:rPr>
          <w:rFonts w:ascii="Arial" w:cs="Arial" w:eastAsia="Arial" w:hAnsi="Arial"/>
          <w:color w:val="0D0D0D"/>
          <w:sz w:val="22"/>
          <w:szCs w:val="22"/>
        </w:rPr>
        <w:t xml:space="preserve">A Black Friday spike at Merchant A does not touch Merchant B’s chain. They are independent by construction. </w:t>
      </w:r>
      <w:r>
        <w:rPr>
          <w:rFonts w:ascii="Arial" w:cs="Arial" w:eastAsia="Arial" w:hAnsi="Arial"/>
          <w:color w:val="0D0D0D"/>
          <w:sz w:val="22"/>
          <w:szCs w:val="22"/>
        </w:rPr>
        <w:t xml:space="preserve">This is the same reason Bitcoin can process millions of Lightning transactions per second off-chain: the payment channels are independent. </w:t>
      </w:r>
      <w:r>
        <w:rPr>
          <w:rFonts w:ascii="Arial" w:cs="Arial" w:eastAsia="Arial" w:hAnsi="Arial"/>
          <w:color w:val="0D0D0D"/>
          <w:sz w:val="22"/>
          <w:szCs w:val="22"/>
        </w:rPr>
        <w:t xml:space="preserve">Independence is the scaling primitive.</w:t>
      </w:r>
    </w:p>
    <w:p>
      <w:pPr>
        <w:spacing w:before="0" w:after="160"/>
        <w:jc w:val="both"/>
      </w:pPr>
      <w:r>
        <w:rPr>
          <w:rFonts w:ascii="Arial" w:cs="Arial" w:eastAsia="Arial" w:hAnsi="Arial"/>
          <w:color w:val="0D0D0D"/>
          <w:sz w:val="22"/>
          <w:szCs w:val="22"/>
        </w:rPr>
        <w:t xml:space="preserve">The per-merchant chain also defines the legal claim. Each merchant’s evidence chain is a bounded, complete, independently verifiable record. </w:t>
      </w:r>
      <w:r>
        <w:rPr>
          <w:rFonts w:ascii="Arial" w:cs="Arial" w:eastAsia="Arial" w:hAnsi="Arial"/>
          <w:color w:val="0D0D0D"/>
          <w:sz w:val="22"/>
          <w:szCs w:val="22"/>
        </w:rPr>
        <w:t xml:space="preserve">To challenge any record in the chain, an adversary must demonstrate that the entire chain from that record forward was recomputed — </w:t>
      </w:r>
      <w:r>
        <w:rPr>
          <w:rFonts w:ascii="Arial" w:cs="Arial" w:eastAsia="Arial" w:hAnsi="Arial"/>
          <w:color w:val="0D0D0D"/>
          <w:sz w:val="22"/>
          <w:szCs w:val="22"/>
        </w:rPr>
        <w:t xml:space="preserve">a task requiring the rewriting of every subsequent Bitcoin block, which is economically infeasible. </w:t>
      </w:r>
      <w:r>
        <w:rPr>
          <w:rFonts w:ascii="Arial" w:cs="Arial" w:eastAsia="Arial" w:hAnsi="Arial"/>
          <w:color w:val="0D0D0D"/>
          <w:sz w:val="22"/>
          <w:szCs w:val="22"/>
        </w:rPr>
        <w:t xml:space="preserve">The evidence is not trustworthy because GrowDirect says so. It is trustworthy because the mathematics says so.</w:t>
      </w:r>
    </w:p>
    <w:p>
      <w:pPr>
        <w:pBdr>
          <w:top w:val="single" w:color="2C4A6E" w:sz="4"/>
          <w:bottom w:val="single" w:color="2C4A6E" w:sz="4"/>
          <w:left w:val="single" w:color="2C4A6E" w:sz="4"/>
          <w:right w:val="single" w:color="2C4A6E" w:sz="4"/>
        </w:pBdr>
        <w:shd w:fill="1A1A2E" w:val="clear"/>
        <w:spacing w:before="160" w:after="160"/>
        <w:ind w:left="360" w:right="360"/>
      </w:pPr>
      <w:r>
        <w:rPr>
          <w:rFonts w:ascii="Courier New" w:cs="Courier New" w:eastAsia="Courier New" w:hAnsi="Courier New"/>
          <w:color w:val="A8D8A8"/>
          <w:sz w:val="18"/>
          <w:szCs w:val="18"/>
        </w:rPr>
        <w:t xml:space="preserve">Node 1: Any webhook source (Square, Clover, Toast, healthcare, supply chain...)</w:t>
      </w:r>
      <w:r>
        <w:rPr>
          <w:rFonts w:ascii="Courier New" w:cs="Courier New" w:eastAsia="Courier New" w:hAnsi="Courier New"/>
          <w:color w:val="A8D8A8"/>
          <w:sz w:val="18"/>
          <w:szCs w:val="18"/>
        </w:rPr>
        <w:br/>
        <w:t xml:space="preserve">Node 2: API Gateway → fan-out to three independent subscribers</w:t>
      </w:r>
      <w:r>
        <w:rPr>
          <w:rFonts w:ascii="Courier New" w:cs="Courier New" w:eastAsia="Courier New" w:hAnsi="Courier New"/>
          <w:color w:val="A8D8A8"/>
          <w:sz w:val="18"/>
          <w:szCs w:val="18"/>
        </w:rPr>
        <w:br/>
        <w:t xml:space="preserve">  Sub 1: hash(raw_payload + prev_hash) → write-once evidence store  [per-merchant]</w:t>
      </w:r>
      <w:r>
        <w:rPr>
          <w:rFonts w:ascii="Courier New" w:cs="Courier New" w:eastAsia="Courier New" w:hAnsi="Courier New"/>
          <w:color w:val="A8D8A8"/>
          <w:sz w:val="18"/>
          <w:szCs w:val="18"/>
        </w:rPr>
        <w:br/>
        <w:t xml:space="preserve">  Sub 2: parse → route → application database                    [per-merchant]</w:t>
      </w:r>
      <w:r>
        <w:rPr>
          <w:rFonts w:ascii="Courier New" w:cs="Courier New" w:eastAsia="Courier New" w:hAnsi="Courier New"/>
          <w:color w:val="A8D8A8"/>
          <w:sz w:val="18"/>
          <w:szCs w:val="18"/>
        </w:rPr>
        <w:br/>
        <w:t xml:space="preserve">  Sub 3: batch hashes → Merkle root → Bitcoin Ordinal inscription  [per-merchant]</w:t>
      </w:r>
      <w:r>
        <w:rPr>
          <w:rFonts w:ascii="Courier New" w:cs="Courier New" w:eastAsia="Courier New" w:hAnsi="Courier New"/>
          <w:color w:val="A8D8A8"/>
          <w:sz w:val="18"/>
          <w:szCs w:val="18"/>
        </w:rPr>
        <w:br/>
        <w:t xml:space="preserve">Node 6: Permanent record (application form + Bitcoin form)</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Immutability invariant: Sub 1 is write-once. Sub 2 is derived state.</w:t>
      </w:r>
      <w:r>
        <w:rPr>
          <w:rFonts w:ascii="Courier New" w:cs="Courier New" w:eastAsia="Courier New" w:hAnsi="Courier New"/>
          <w:color w:val="A8D8A8"/>
          <w:sz w:val="18"/>
          <w:szCs w:val="18"/>
        </w:rPr>
        <w:br/>
        <w:t xml:space="preserve">Sub 2 can be rebuilt from Sub 1 at any time without touching the evidence.</w:t>
      </w:r>
    </w:p>
    <w:p>
      <w:pPr>
        <w:pStyle w:val="Heading2"/>
        <w:spacing w:before="360" w:after="100"/>
      </w:pPr>
      <w:r>
        <w:rPr>
          <w:rFonts w:ascii="Arial" w:cs="Arial" w:eastAsia="Arial" w:hAnsi="Arial"/>
          <w:b/>
          <w:bCs/>
          <w:color w:val="1B3A5C"/>
          <w:sz w:val="26"/>
          <w:szCs w:val="26"/>
        </w:rPr>
        <w:t xml:space="preserve">3.2  The Postgres Layer: The Partition Per Merchant</w:t>
      </w:r>
    </w:p>
    <w:p>
      <w:pPr>
        <w:spacing w:before="0" w:after="160"/>
        <w:jc w:val="both"/>
      </w:pPr>
      <w:r>
        <w:rPr>
          <w:rFonts w:ascii="Arial" w:cs="Arial" w:eastAsia="Arial" w:hAnsi="Arial"/>
          <w:color w:val="0D0D0D"/>
          <w:sz w:val="22"/>
          <w:szCs w:val="22"/>
        </w:rPr>
        <w:t xml:space="preserve">The canonical data model — the CRDM — is organized across three Postgres databases: </w:t>
      </w:r>
      <w:r>
        <w:rPr>
          <w:rFonts w:ascii="Arial" w:cs="Arial" w:eastAsia="Arial" w:hAnsi="Arial"/>
          <w:i/>
          <w:iCs/>
          <w:color w:val="0D0D0D"/>
          <w:sz w:val="22"/>
          <w:szCs w:val="22"/>
        </w:rPr>
        <w:t xml:space="preserve">canary_app</w:t>
      </w:r>
      <w:r>
        <w:rPr>
          <w:rFonts w:ascii="Arial" w:cs="Arial" w:eastAsia="Arial" w:hAnsi="Arial"/>
          <w:color w:val="0D0D0D"/>
          <w:sz w:val="22"/>
          <w:szCs w:val="22"/>
        </w:rPr>
        <w:t xml:space="preserve"> (merchant configuration and operational state), </w:t>
      </w:r>
      <w:r>
        <w:rPr>
          <w:rFonts w:ascii="Arial" w:cs="Arial" w:eastAsia="Arial" w:hAnsi="Arial"/>
          <w:i/>
          <w:iCs/>
          <w:color w:val="0D0D0D"/>
          <w:sz w:val="22"/>
          <w:szCs w:val="22"/>
        </w:rPr>
        <w:t xml:space="preserve">canary_sales</w:t>
      </w:r>
      <w:r>
        <w:rPr>
          <w:rFonts w:ascii="Arial" w:cs="Arial" w:eastAsia="Arial" w:hAnsi="Arial"/>
          <w:color w:val="0D0D0D"/>
          <w:sz w:val="22"/>
          <w:szCs w:val="22"/>
        </w:rPr>
        <w:t xml:space="preserve"> (transaction events and line items), and </w:t>
      </w:r>
      <w:r>
        <w:rPr>
          <w:rFonts w:ascii="Arial" w:cs="Arial" w:eastAsia="Arial" w:hAnsi="Arial"/>
          <w:i/>
          <w:iCs/>
          <w:color w:val="0D0D0D"/>
          <w:sz w:val="22"/>
          <w:szCs w:val="22"/>
        </w:rPr>
        <w:t xml:space="preserve">canary_metrics</w:t>
      </w:r>
      <w:r>
        <w:rPr>
          <w:rFonts w:ascii="Arial" w:cs="Arial" w:eastAsia="Arial" w:hAnsi="Arial"/>
          <w:color w:val="0D0D0D"/>
          <w:sz w:val="22"/>
          <w:szCs w:val="22"/>
        </w:rPr>
        <w:t xml:space="preserve"> (computed aggregates and scorecards). </w:t>
      </w:r>
      <w:r>
        <w:rPr>
          <w:rFonts w:ascii="Arial" w:cs="Arial" w:eastAsia="Arial" w:hAnsi="Arial"/>
          <w:color w:val="0D0D0D"/>
          <w:sz w:val="22"/>
          <w:szCs w:val="22"/>
        </w:rPr>
        <w:t xml:space="preserve">The transaction tables in </w:t>
      </w:r>
      <w:r>
        <w:rPr>
          <w:rFonts w:ascii="Arial" w:cs="Arial" w:eastAsia="Arial" w:hAnsi="Arial"/>
          <w:i/>
          <w:iCs/>
          <w:color w:val="0D0D0D"/>
          <w:sz w:val="22"/>
          <w:szCs w:val="22"/>
        </w:rPr>
        <w:t xml:space="preserve">canary_sales</w:t>
      </w:r>
      <w:r>
        <w:rPr>
          <w:rFonts w:ascii="Arial" w:cs="Arial" w:eastAsia="Arial" w:hAnsi="Arial"/>
          <w:color w:val="0D0D0D"/>
          <w:sz w:val="22"/>
          <w:szCs w:val="22"/>
        </w:rPr>
        <w:t xml:space="preserve"> are partitioned. </w:t>
      </w:r>
      <w:r>
        <w:rPr>
          <w:rFonts w:ascii="Arial" w:cs="Arial" w:eastAsia="Arial" w:hAnsi="Arial"/>
          <w:color w:val="0D0D0D"/>
          <w:sz w:val="22"/>
          <w:szCs w:val="22"/>
        </w:rPr>
        <w:t xml:space="preserve">The current specification partitions by transaction date, producing monthly child tables. </w:t>
      </w:r>
      <w:r>
        <w:rPr>
          <w:rFonts w:ascii="Arial" w:cs="Arial" w:eastAsia="Arial" w:hAnsi="Arial"/>
          <w:color w:val="0D0D0D"/>
          <w:sz w:val="22"/>
          <w:szCs w:val="22"/>
        </w:rPr>
        <w:t xml:space="preserve">The correct specification partitions by merchant and period, producing child tables scoped to a single merchant’s single period.</w:t>
      </w:r>
    </w:p>
    <w:p>
      <w:pPr>
        <w:spacing w:before="0" w:after="160"/>
        <w:jc w:val="both"/>
      </w:pPr>
      <w:r>
        <w:rPr>
          <w:rFonts w:ascii="Arial" w:cs="Arial" w:eastAsia="Arial" w:hAnsi="Arial"/>
          <w:color w:val="0D0D0D"/>
          <w:sz w:val="22"/>
          <w:szCs w:val="22"/>
        </w:rPr>
        <w:t xml:space="preserve">This is not a performance optimization. It is the Postgres expression of the same principle that produced the per-merchant hash chain. </w:t>
      </w:r>
      <w:r>
        <w:rPr>
          <w:rFonts w:ascii="Arial" w:cs="Arial" w:eastAsia="Arial" w:hAnsi="Arial"/>
          <w:color w:val="0D0D0D"/>
          <w:sz w:val="22"/>
          <w:szCs w:val="22"/>
        </w:rPr>
        <w:t xml:space="preserve">The partition boundary is the merchant boundary. Everything inside a partition belongs to one merchant and one period. </w:t>
      </w:r>
      <w:r>
        <w:rPr>
          <w:rFonts w:ascii="Arial" w:cs="Arial" w:eastAsia="Arial" w:hAnsi="Arial"/>
          <w:color w:val="0D0D0D"/>
          <w:sz w:val="22"/>
          <w:szCs w:val="22"/>
        </w:rPr>
        <w:t xml:space="preserve">Nothing crosses that boundary without an explicit join across a partition key.</w:t>
      </w:r>
    </w:p>
    <w:p>
      <w:pPr>
        <w:spacing w:before="0" w:after="160"/>
        <w:jc w:val="both"/>
      </w:pPr>
      <w:r>
        <w:rPr>
          <w:rFonts w:ascii="Arial" w:cs="Arial" w:eastAsia="Arial" w:hAnsi="Arial"/>
          <w:color w:val="0D0D0D"/>
          <w:sz w:val="22"/>
          <w:szCs w:val="22"/>
        </w:rPr>
        <w:t xml:space="preserve">The operational consequences of true merchant-level partitioning are as follows:</w:t>
      </w:r>
    </w:p>
    <w:p>
      <w:pPr>
        <w:pStyle w:val="ListParagraph"/>
        <w:numPr>
          <w:ilvl w:val="0"/>
          <w:numId w:val="2"/>
        </w:numPr>
        <w:spacing w:before="0" w:after="120"/>
        <w:ind w:left="720" w:hanging="360"/>
      </w:pPr>
      <w:r>
        <w:rPr>
          <w:rFonts w:ascii="Arial" w:cs="Arial" w:eastAsia="Arial" w:hAnsi="Arial"/>
          <w:b/>
          <w:bCs/>
          <w:color w:val="0D0D0D"/>
          <w:sz w:val="22"/>
          <w:szCs w:val="22"/>
        </w:rPr>
        <w:t xml:space="preserve">Archive by drop:</w:t>
      </w:r>
      <w:r>
        <w:rPr>
          <w:rFonts w:ascii="Arial" w:cs="Arial" w:eastAsia="Arial" w:hAnsi="Arial"/>
          <w:color w:val="0D0D0D"/>
          <w:sz w:val="22"/>
          <w:szCs w:val="22"/>
        </w:rPr>
        <w:t xml:space="preserve"> removing Merchant A’s 2024 data is a single </w:t>
      </w:r>
      <w:r>
        <w:rPr>
          <w:rFonts w:ascii="Courier New" w:cs="Courier New" w:eastAsia="Courier New" w:hAnsi="Courier New"/>
          <w:color w:val="0D0D0D"/>
          <w:sz w:val="22"/>
          <w:szCs w:val="22"/>
        </w:rPr>
        <w:t xml:space="preserve">DROP TABLE</w:t>
      </w:r>
      <w:r>
        <w:rPr>
          <w:rFonts w:ascii="Arial" w:cs="Arial" w:eastAsia="Arial" w:hAnsi="Arial"/>
          <w:color w:val="0D0D0D"/>
          <w:sz w:val="22"/>
          <w:szCs w:val="22"/>
        </w:rPr>
        <w:t xml:space="preserve"> on the 2024 partition. No DELETE. No row-by-row operation. No impact on any other merchant’s data.</w:t>
      </w:r>
    </w:p>
    <w:p>
      <w:pPr>
        <w:pStyle w:val="ListParagraph"/>
        <w:numPr>
          <w:ilvl w:val="0"/>
          <w:numId w:val="2"/>
        </w:numPr>
        <w:spacing w:before="0" w:after="120"/>
        <w:ind w:left="720" w:hanging="360"/>
      </w:pPr>
      <w:r>
        <w:rPr>
          <w:rFonts w:ascii="Arial" w:cs="Arial" w:eastAsia="Arial" w:hAnsi="Arial"/>
          <w:b/>
          <w:bCs/>
          <w:color w:val="0D0D0D"/>
          <w:sz w:val="22"/>
          <w:szCs w:val="22"/>
        </w:rPr>
        <w:t xml:space="preserve">Cold storage path:</w:t>
      </w:r>
      <w:r>
        <w:rPr>
          <w:rFonts w:ascii="Arial" w:cs="Arial" w:eastAsia="Arial" w:hAnsi="Arial"/>
          <w:color w:val="0D0D0D"/>
          <w:sz w:val="22"/>
          <w:szCs w:val="22"/>
        </w:rPr>
        <w:t xml:space="preserve"> old partitions can be moved to S3 or Glacier as frozen Parquet files. The data is queryable via Athena without occupying live database storage.</w:t>
      </w:r>
    </w:p>
    <w:p>
      <w:pPr>
        <w:pStyle w:val="ListParagraph"/>
        <w:numPr>
          <w:ilvl w:val="0"/>
          <w:numId w:val="2"/>
        </w:numPr>
        <w:spacing w:before="0" w:after="120"/>
        <w:ind w:left="720" w:hanging="360"/>
      </w:pPr>
      <w:r>
        <w:rPr>
          <w:rFonts w:ascii="Arial" w:cs="Arial" w:eastAsia="Arial" w:hAnsi="Arial"/>
          <w:b/>
          <w:bCs/>
          <w:color w:val="0D0D0D"/>
          <w:sz w:val="22"/>
          <w:szCs w:val="22"/>
        </w:rPr>
        <w:t xml:space="preserve">Bounded damage:</w:t>
      </w:r>
      <w:r>
        <w:rPr>
          <w:rFonts w:ascii="Arial" w:cs="Arial" w:eastAsia="Arial" w:hAnsi="Arial"/>
          <w:color w:val="0D0D0D"/>
          <w:sz w:val="22"/>
          <w:szCs w:val="22"/>
        </w:rPr>
        <w:t xml:space="preserve"> a corrupted or mis-migrated partition is bounded by the merchant boundary. The corruption cannot cascade.</w:t>
      </w:r>
    </w:p>
    <w:p>
      <w:pPr>
        <w:pStyle w:val="ListParagraph"/>
        <w:numPr>
          <w:ilvl w:val="0"/>
          <w:numId w:val="2"/>
        </w:numPr>
        <w:spacing w:before="0" w:after="120"/>
        <w:ind w:left="720" w:hanging="360"/>
      </w:pPr>
      <w:r>
        <w:rPr>
          <w:rFonts w:ascii="Arial" w:cs="Arial" w:eastAsia="Arial" w:hAnsi="Arial"/>
          <w:b/>
          <w:bCs/>
          <w:color w:val="0D0D0D"/>
          <w:sz w:val="22"/>
          <w:szCs w:val="22"/>
        </w:rPr>
        <w:t xml:space="preserve">Flexible granularity:</w:t>
      </w:r>
      <w:r>
        <w:rPr>
          <w:rFonts w:ascii="Arial" w:cs="Arial" w:eastAsia="Arial" w:hAnsi="Arial"/>
          <w:color w:val="0D0D0D"/>
          <w:sz w:val="22"/>
          <w:szCs w:val="22"/>
        </w:rPr>
        <w:t xml:space="preserve"> an SMB merchant with 200 transactions per day uses monthly partitions. An enterprise merchant with 50,000 transactions per day uses quarterly partitions. The granularity is a configuration stored in </w:t>
      </w:r>
      <w:r>
        <w:rPr>
          <w:rFonts w:ascii="Courier New" w:cs="Courier New" w:eastAsia="Courier New" w:hAnsi="Courier New"/>
          <w:color w:val="0D0D0D"/>
          <w:sz w:val="22"/>
          <w:szCs w:val="22"/>
        </w:rPr>
        <w:t xml:space="preserve">merchants.partition_config</w:t>
      </w:r>
      <w:r>
        <w:rPr>
          <w:rFonts w:ascii="Arial" w:cs="Arial" w:eastAsia="Arial" w:hAnsi="Arial"/>
          <w:color w:val="0D0D0D"/>
          <w:sz w:val="22"/>
          <w:szCs w:val="22"/>
        </w:rPr>
        <w:t xml:space="preserve">, not a schema decision.</w:t>
      </w:r>
    </w:p>
    <w:p>
      <w:pPr>
        <w:pStyle w:val="ListParagraph"/>
        <w:numPr>
          <w:ilvl w:val="0"/>
          <w:numId w:val="2"/>
        </w:numPr>
        <w:spacing w:before="0" w:after="120"/>
        <w:ind w:left="720" w:hanging="360"/>
      </w:pPr>
      <w:r>
        <w:rPr>
          <w:rFonts w:ascii="Arial" w:cs="Arial" w:eastAsia="Arial" w:hAnsi="Arial"/>
          <w:b/>
          <w:bCs/>
          <w:color w:val="0D0D0D"/>
          <w:sz w:val="22"/>
          <w:szCs w:val="22"/>
        </w:rPr>
        <w:t xml:space="preserve">Hash chain alignment:</w:t>
      </w:r>
      <w:r>
        <w:rPr>
          <w:rFonts w:ascii="Arial" w:cs="Arial" w:eastAsia="Arial" w:hAnsi="Arial"/>
          <w:color w:val="0D0D0D"/>
          <w:sz w:val="22"/>
          <w:szCs w:val="22"/>
        </w:rPr>
        <w:t xml:space="preserve"> the partition and the hash chain are co-scoped. Each partition contains exactly the records whose hashes appear in that merchant’s chain segment. The query layer and the evidence layer are consistent by design.</w:t>
      </w:r>
    </w:p>
    <w:p>
      <w:pPr>
        <w:spacing w:before="0" w:after="0"/>
      </w:pPr>
      <w:r>
        <w:rPr>
          <w:sz w:val="20"/>
          <w:szCs w:val="20"/>
        </w:rPr>
        <w:t xml:space="preserve"/>
      </w:r>
    </w:p>
    <w:p>
      <w:pPr>
        <w:pBdr>
          <w:top w:val="single" w:color="2C4A6E" w:sz="4"/>
          <w:bottom w:val="single" w:color="2C4A6E" w:sz="4"/>
          <w:left w:val="single" w:color="2C4A6E" w:sz="4"/>
          <w:right w:val="single" w:color="2C4A6E" w:sz="4"/>
        </w:pBdr>
        <w:shd w:fill="1A1A2E" w:val="clear"/>
        <w:spacing w:before="160" w:after="160"/>
        <w:ind w:left="360" w:right="360"/>
      </w:pPr>
      <w:r>
        <w:rPr>
          <w:rFonts w:ascii="Courier New" w:cs="Courier New" w:eastAsia="Courier New" w:hAnsi="Courier New"/>
          <w:color w:val="A8D8A8"/>
          <w:sz w:val="18"/>
          <w:szCs w:val="18"/>
        </w:rPr>
        <w:t xml:space="preserve">-- SMB merchant: monthly partitions</w:t>
      </w:r>
      <w:r>
        <w:rPr>
          <w:rFonts w:ascii="Courier New" w:cs="Courier New" w:eastAsia="Courier New" w:hAnsi="Courier New"/>
          <w:color w:val="A8D8A8"/>
          <w:sz w:val="18"/>
          <w:szCs w:val="18"/>
        </w:rPr>
        <w:br/>
        <w:t xml:space="preserve">transactions_m001_2026_01  (merchant 001, January 2026)</w:t>
      </w:r>
      <w:r>
        <w:rPr>
          <w:rFonts w:ascii="Courier New" w:cs="Courier New" w:eastAsia="Courier New" w:hAnsi="Courier New"/>
          <w:color w:val="A8D8A8"/>
          <w:sz w:val="18"/>
          <w:szCs w:val="18"/>
        </w:rPr>
        <w:br/>
        <w:t xml:space="preserve">transactions_m001_2026_02  (merchant 001, February 2026)</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 Enterprise merchant: quarterly partitions</w:t>
      </w:r>
      <w:r>
        <w:rPr>
          <w:rFonts w:ascii="Courier New" w:cs="Courier New" w:eastAsia="Courier New" w:hAnsi="Courier New"/>
          <w:color w:val="A8D8A8"/>
          <w:sz w:val="18"/>
          <w:szCs w:val="18"/>
        </w:rPr>
        <w:br/>
        <w:t xml:space="preserve">transactions_m_ent_2026_Q1 (enterprise merchant, Q1 2026)</w:t>
      </w:r>
      <w:r>
        <w:rPr>
          <w:rFonts w:ascii="Courier New" w:cs="Courier New" w:eastAsia="Courier New" w:hAnsi="Courier New"/>
          <w:color w:val="A8D8A8"/>
          <w:sz w:val="18"/>
          <w:szCs w:val="18"/>
        </w:rPr>
        <w:br/>
        <w:t xml:space="preserve">transactions_m_ent_2026_Q2 (enterprise merchant, Q2 2026)</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 Archive: surgical drop, zero cascading impact</w:t>
      </w:r>
      <w:r>
        <w:rPr>
          <w:rFonts w:ascii="Courier New" w:cs="Courier New" w:eastAsia="Courier New" w:hAnsi="Courier New"/>
          <w:color w:val="A8D8A8"/>
          <w:sz w:val="18"/>
          <w:szCs w:val="18"/>
        </w:rPr>
        <w:br/>
        <w:t xml:space="preserve">DROP TABLE transactions_m001_2024_01;  -- removes one merchant, one month</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 Cold storage: partition to Parquet, Athena-queryable</w:t>
      </w:r>
      <w:r>
        <w:rPr>
          <w:rFonts w:ascii="Courier New" w:cs="Courier New" w:eastAsia="Courier New" w:hAnsi="Courier New"/>
          <w:color w:val="A8D8A8"/>
          <w:sz w:val="18"/>
          <w:szCs w:val="18"/>
        </w:rPr>
        <w:br/>
        <w:t xml:space="preserve">pg_dump transactions_m001_2023_*  |  parquet-convert  |  s3://canary-archive/m001/2023/</w:t>
      </w:r>
    </w:p>
    <w:p>
      <w:pPr>
        <w:spacing w:before="0" w:after="160"/>
        <w:jc w:val="both"/>
      </w:pPr>
      <w:r>
        <w:rPr>
          <w:rFonts w:ascii="Arial" w:cs="Arial" w:eastAsia="Arial" w:hAnsi="Arial"/>
          <w:color w:val="0D0D0D"/>
          <w:sz w:val="22"/>
          <w:szCs w:val="22"/>
        </w:rPr>
        <w:t xml:space="preserve">The flexible period granularity is the most important detail in the partition design, because it is the detail that makes the merchant-first principle </w:t>
      </w:r>
      <w:r>
        <w:rPr>
          <w:rFonts w:ascii="Arial" w:cs="Arial" w:eastAsia="Arial" w:hAnsi="Arial"/>
          <w:b/>
          <w:bCs/>
          <w:color w:val="0D0D0D"/>
          <w:sz w:val="22"/>
          <w:szCs w:val="22"/>
        </w:rPr>
        <w:t xml:space="preserve">visible to investors</w:t>
      </w:r>
      <w:r>
        <w:rPr>
          <w:rFonts w:ascii="Arial" w:cs="Arial" w:eastAsia="Arial" w:hAnsi="Arial"/>
          <w:color w:val="0D0D0D"/>
          <w:sz w:val="22"/>
          <w:szCs w:val="22"/>
        </w:rPr>
        <w:t xml:space="preserve">. Monthly versus quarterly is not a feature toggle. It is proof that the isolation is real. </w:t>
      </w:r>
      <w:r>
        <w:rPr>
          <w:rFonts w:ascii="Arial" w:cs="Arial" w:eastAsia="Arial" w:hAnsi="Arial"/>
          <w:color w:val="0D0D0D"/>
          <w:sz w:val="22"/>
          <w:szCs w:val="22"/>
        </w:rPr>
        <w:t xml:space="preserve">Each merchant’s partition is genuinely independent and can be managed on its own terms. </w:t>
      </w:r>
      <w:r>
        <w:rPr>
          <w:rFonts w:ascii="Arial" w:cs="Arial" w:eastAsia="Arial" w:hAnsi="Arial"/>
          <w:color w:val="0D0D0D"/>
          <w:sz w:val="22"/>
          <w:szCs w:val="22"/>
        </w:rPr>
        <w:t xml:space="preserve">An SMB merchant and an enterprise merchant can coexist in the same cluster with different operational characteristics, </w:t>
      </w:r>
      <w:r>
        <w:rPr>
          <w:rFonts w:ascii="Arial" w:cs="Arial" w:eastAsia="Arial" w:hAnsi="Arial"/>
          <w:color w:val="0D0D0D"/>
          <w:sz w:val="22"/>
          <w:szCs w:val="22"/>
        </w:rPr>
        <w:t xml:space="preserve">because their data is isolated at the partition boundary, not just at the row level via RLS.</w:t>
      </w:r>
    </w:p>
    <w:p>
      <w:pPr>
        <w:pStyle w:val="Heading2"/>
        <w:spacing w:before="360" w:after="100"/>
      </w:pPr>
      <w:r>
        <w:rPr>
          <w:rFonts w:ascii="Arial" w:cs="Arial" w:eastAsia="Arial" w:hAnsi="Arial"/>
          <w:b/>
          <w:bCs/>
          <w:color w:val="1B3A5C"/>
          <w:sz w:val="26"/>
          <w:szCs w:val="26"/>
        </w:rPr>
        <w:t xml:space="preserve">3.3  The Presentation Layer: The Vocabulary Pack Per Merchant</w:t>
      </w:r>
    </w:p>
    <w:p>
      <w:pPr>
        <w:spacing w:before="0" w:after="160"/>
        <w:jc w:val="both"/>
      </w:pPr>
      <w:r>
        <w:rPr>
          <w:rFonts w:ascii="Arial" w:cs="Arial" w:eastAsia="Arial" w:hAnsi="Arial"/>
          <w:color w:val="0D0D0D"/>
          <w:sz w:val="22"/>
          <w:szCs w:val="22"/>
        </w:rPr>
        <w:t xml:space="preserve">ADR-PLA-001, approved February 25, 2026, defined the four-layer presentation architecture: </w:t>
      </w:r>
      <w:r>
        <w:rPr>
          <w:rFonts w:ascii="Arial" w:cs="Arial" w:eastAsia="Arial" w:hAnsi="Arial"/>
          <w:color w:val="0D0D0D"/>
          <w:sz w:val="22"/>
          <w:szCs w:val="22"/>
        </w:rPr>
        <w:t xml:space="preserve">a hard core (the canonical schema and detection engine), a functional blueprint (structure without display strings), </w:t>
      </w:r>
      <w:r>
        <w:rPr>
          <w:rFonts w:ascii="Arial" w:cs="Arial" w:eastAsia="Arial" w:hAnsi="Arial"/>
          <w:color w:val="0D0D0D"/>
          <w:sz w:val="22"/>
          <w:szCs w:val="22"/>
        </w:rPr>
        <w:t xml:space="preserve">a theme pack (visual identity), a locale pack (language), and a vocabulary pack (per-merchant terminology overrides).</w:t>
      </w:r>
    </w:p>
    <w:p>
      <w:pPr>
        <w:spacing w:before="0" w:after="160"/>
        <w:jc w:val="both"/>
      </w:pPr>
      <w:r>
        <w:rPr>
          <w:rFonts w:ascii="Arial" w:cs="Arial" w:eastAsia="Arial" w:hAnsi="Arial"/>
          <w:color w:val="0D0D0D"/>
          <w:sz w:val="22"/>
          <w:szCs w:val="22"/>
        </w:rPr>
        <w:t xml:space="preserve">The vocabulary pack is the presentation layer expression of merchant-first isolation. </w:t>
      </w:r>
      <w:r>
        <w:rPr>
          <w:rFonts w:ascii="Arial" w:cs="Arial" w:eastAsia="Arial" w:hAnsi="Arial"/>
          <w:color w:val="0D0D0D"/>
          <w:sz w:val="22"/>
          <w:szCs w:val="22"/>
        </w:rPr>
        <w:t xml:space="preserve">A restaurant calls a transaction a “Check.” A cannabis dispensary calls it a “Receipt.” A coffee shop’s employee is a “Barista.” </w:t>
      </w:r>
      <w:r>
        <w:rPr>
          <w:rFonts w:ascii="Arial" w:cs="Arial" w:eastAsia="Arial" w:hAnsi="Arial"/>
          <w:color w:val="0D0D0D"/>
          <w:sz w:val="22"/>
          <w:szCs w:val="22"/>
        </w:rPr>
        <w:t xml:space="preserve">A franchise retailer’s location is a “Store.” These are not cosmetic differences. </w:t>
      </w:r>
      <w:r>
        <w:rPr>
          <w:rFonts w:ascii="Arial" w:cs="Arial" w:eastAsia="Arial" w:hAnsi="Arial"/>
          <w:color w:val="0D0D0D"/>
          <w:sz w:val="22"/>
          <w:szCs w:val="22"/>
        </w:rPr>
        <w:t xml:space="preserve">They are the difference between an application that fits a merchant’s cognitive model of their business </w:t>
      </w:r>
      <w:r>
        <w:rPr>
          <w:rFonts w:ascii="Arial" w:cs="Arial" w:eastAsia="Arial" w:hAnsi="Arial"/>
          <w:color w:val="0D0D0D"/>
          <w:sz w:val="22"/>
          <w:szCs w:val="22"/>
        </w:rPr>
        <w:t xml:space="preserve">and one that forces them to learn the vendor’s vocabulary instead.</w:t>
      </w:r>
    </w:p>
    <w:p>
      <w:pPr>
        <w:spacing w:before="0" w:after="160"/>
        <w:jc w:val="both"/>
      </w:pPr>
      <w:r>
        <w:rPr>
          <w:rFonts w:ascii="Arial" w:cs="Arial" w:eastAsia="Arial" w:hAnsi="Arial"/>
          <w:color w:val="0D0D0D"/>
          <w:sz w:val="22"/>
          <w:szCs w:val="22"/>
        </w:rPr>
        <w:t xml:space="preserve">The resolution order is:</w:t>
      </w:r>
    </w:p>
    <w:p>
      <w:pPr>
        <w:pBdr>
          <w:top w:val="single" w:color="2C4A6E" w:sz="4"/>
          <w:bottom w:val="single" w:color="2C4A6E" w:sz="4"/>
          <w:left w:val="single" w:color="2C4A6E" w:sz="4"/>
          <w:right w:val="single" w:color="2C4A6E" w:sz="4"/>
        </w:pBdr>
        <w:shd w:fill="1A1A2E" w:val="clear"/>
        <w:spacing w:before="160" w:after="160"/>
        <w:ind w:left="360" w:right="360"/>
      </w:pPr>
      <w:r>
        <w:rPr>
          <w:rFonts w:ascii="Courier New" w:cs="Courier New" w:eastAsia="Courier New" w:hAnsi="Courier New"/>
          <w:color w:val="A8D8A8"/>
          <w:sz w:val="18"/>
          <w:szCs w:val="18"/>
        </w:rPr>
        <w:t xml:space="preserve">Vocabulary Pack  (merchant-specific overrides — most specific)</w:t>
      </w:r>
      <w:r>
        <w:rPr>
          <w:rFonts w:ascii="Courier New" w:cs="Courier New" w:eastAsia="Courier New" w:hAnsi="Courier New"/>
          <w:color w:val="A8D8A8"/>
          <w:sz w:val="18"/>
          <w:szCs w:val="18"/>
        </w:rPr>
        <w:br/>
        <w:t xml:space="preserve">     ↓</w:t>
      </w:r>
      <w:r>
        <w:rPr>
          <w:rFonts w:ascii="Courier New" w:cs="Courier New" w:eastAsia="Courier New" w:hAnsi="Courier New"/>
          <w:color w:val="A8D8A8"/>
          <w:sz w:val="18"/>
          <w:szCs w:val="18"/>
        </w:rPr>
        <w:br/>
        <w:t xml:space="preserve">Locale Pack      (language and regional formatting — en-US, es-MX, etc.)</w:t>
      </w:r>
      <w:r>
        <w:rPr>
          <w:rFonts w:ascii="Courier New" w:cs="Courier New" w:eastAsia="Courier New" w:hAnsi="Courier New"/>
          <w:color w:val="A8D8A8"/>
          <w:sz w:val="18"/>
          <w:szCs w:val="18"/>
        </w:rPr>
        <w:br/>
        <w:t xml:space="preserve">     ↓</w:t>
      </w:r>
      <w:r>
        <w:rPr>
          <w:rFonts w:ascii="Courier New" w:cs="Courier New" w:eastAsia="Courier New" w:hAnsi="Courier New"/>
          <w:color w:val="A8D8A8"/>
          <w:sz w:val="18"/>
          <w:szCs w:val="18"/>
        </w:rPr>
        <w:br/>
        <w:t xml:space="preserve">en-US default    (fallback — always resolves, never crashes)</w:t>
      </w:r>
    </w:p>
    <w:p>
      <w:pPr>
        <w:spacing w:before="0" w:after="160"/>
        <w:jc w:val="both"/>
      </w:pPr>
      <w:r>
        <w:rPr>
          <w:rFonts w:ascii="Arial" w:cs="Arial" w:eastAsia="Arial" w:hAnsi="Arial"/>
          <w:color w:val="0D0D0D"/>
          <w:sz w:val="22"/>
          <w:szCs w:val="22"/>
        </w:rPr>
        <w:t xml:space="preserve">The backend performs resolution. The API returns both the token key and the resolved display string. </w:t>
      </w:r>
      <w:r>
        <w:rPr>
          <w:rFonts w:ascii="Arial" w:cs="Arial" w:eastAsia="Arial" w:hAnsi="Arial"/>
          <w:color w:val="0D0D0D"/>
          <w:sz w:val="22"/>
          <w:szCs w:val="22"/>
        </w:rPr>
        <w:t xml:space="preserve">The frontend renders what it receives. If a merchant updates their vocabulary in settings, the next API call returns updated labels. </w:t>
      </w:r>
      <w:r>
        <w:rPr>
          <w:rFonts w:ascii="Arial" w:cs="Arial" w:eastAsia="Arial" w:hAnsi="Arial"/>
          <w:color w:val="0D0D0D"/>
          <w:sz w:val="22"/>
          <w:szCs w:val="22"/>
        </w:rPr>
        <w:t xml:space="preserve">No frontend rebuild. No deployment. No code change. Configuration, not code.</w:t>
      </w:r>
    </w:p>
    <w:p>
      <w:pPr>
        <w:spacing w:before="0" w:after="160"/>
        <w:jc w:val="both"/>
      </w:pPr>
      <w:r>
        <w:rPr>
          <w:rFonts w:ascii="Arial" w:cs="Arial" w:eastAsia="Arial" w:hAnsi="Arial"/>
          <w:color w:val="0D0D0D"/>
          <w:sz w:val="22"/>
          <w:szCs w:val="22"/>
        </w:rPr>
        <w:t xml:space="preserve">The vocabulary pack is also the mechanism that makes the “any app” claim literal. </w:t>
      </w:r>
      <w:r>
        <w:rPr>
          <w:rFonts w:ascii="Arial" w:cs="Arial" w:eastAsia="Arial" w:hAnsi="Arial"/>
          <w:color w:val="0D0D0D"/>
          <w:sz w:val="22"/>
          <w:szCs w:val="22"/>
        </w:rPr>
        <w:t xml:space="preserve">Swap the vocabulary pack and the theme pack, and the same codebase serving a specialty coffee chain serves a cannabis dispensary. </w:t>
      </w:r>
      <w:r>
        <w:rPr>
          <w:rFonts w:ascii="Arial" w:cs="Arial" w:eastAsia="Arial" w:hAnsi="Arial"/>
          <w:color w:val="0D0D0D"/>
          <w:sz w:val="22"/>
          <w:szCs w:val="22"/>
        </w:rPr>
        <w:t xml:space="preserve">Same hash chain. Same partition strategy. Same detection engine. Same Bitcoin anchor. Different vocabulary. Different theme. Different app.</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Token Key</w:t>
            </w:r>
          </w:p>
        </w:tc>
        <w:tc>
          <w:tcPr>
            <w:tcW w:type="dxa" w:w="20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Default (Retail)</w:t>
            </w:r>
          </w:p>
        </w:tc>
        <w:tc>
          <w:tcPr>
            <w:tcW w:type="dxa" w:w="41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Vertical Override Examples</w:t>
            </w:r>
          </w:p>
        </w:tc>
      </w:tr>
      <w:tr>
        <w:tc>
          <w:tcPr>
            <w:tcW w:type="dxa" w:w="3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employee.label.singular</w:t>
            </w:r>
          </w:p>
        </w:tc>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Employee</w:t>
            </w:r>
          </w:p>
        </w:tc>
        <w:tc>
          <w:tcPr>
            <w:tcW w:type="dxa" w:w="41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Barista / Budtender / Server / Associate</w:t>
            </w:r>
          </w:p>
        </w:tc>
      </w:tr>
      <w:tr>
        <w:tc>
          <w:tcPr>
            <w:tcW w:type="dxa" w:w="3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location.label.singular</w:t>
            </w:r>
          </w:p>
        </w:tc>
        <w:tc>
          <w:tcPr>
            <w:tcW w:type="dxa" w:w="2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Location</w:t>
            </w:r>
          </w:p>
        </w:tc>
        <w:tc>
          <w:tcPr>
            <w:tcW w:type="dxa" w:w="41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Café / Store / Dispensary / Branch</w:t>
            </w:r>
          </w:p>
        </w:tc>
      </w:tr>
      <w:tr>
        <w:tc>
          <w:tcPr>
            <w:tcW w:type="dxa" w:w="3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cash_drawer.label.singular</w:t>
            </w:r>
          </w:p>
        </w:tc>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Cash Drawer</w:t>
            </w:r>
          </w:p>
        </w:tc>
        <w:tc>
          <w:tcPr>
            <w:tcW w:type="dxa" w:w="41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Register / Till / Safe</w:t>
            </w:r>
          </w:p>
        </w:tc>
      </w:tr>
      <w:tr>
        <w:tc>
          <w:tcPr>
            <w:tcW w:type="dxa" w:w="3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transaction.label.singular</w:t>
            </w:r>
          </w:p>
        </w:tc>
        <w:tc>
          <w:tcPr>
            <w:tcW w:type="dxa" w:w="2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Transaction</w:t>
            </w:r>
          </w:p>
        </w:tc>
        <w:tc>
          <w:tcPr>
            <w:tcW w:type="dxa" w:w="41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Check / Receipt / Order / Sale</w:t>
            </w:r>
          </w:p>
        </w:tc>
      </w:tr>
      <w:tr>
        <w:tc>
          <w:tcPr>
            <w:tcW w:type="dxa" w:w="3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chirp.label.singular</w:t>
            </w:r>
          </w:p>
        </w:tc>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Alert</w:t>
            </w:r>
          </w:p>
        </w:tc>
        <w:tc>
          <w:tcPr>
            <w:tcW w:type="dxa" w:w="41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Chirp (admin) / Flag / Notice</w:t>
            </w:r>
          </w:p>
        </w:tc>
      </w:tr>
      <w:tr>
        <w:tc>
          <w:tcPr>
            <w:tcW w:type="dxa" w:w="3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void.label.singular</w:t>
            </w:r>
          </w:p>
        </w:tc>
        <w:tc>
          <w:tcPr>
            <w:tcW w:type="dxa" w:w="2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Void</w:t>
            </w:r>
          </w:p>
        </w:tc>
        <w:tc>
          <w:tcPr>
            <w:tcW w:type="dxa" w:w="41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Cancellation / Reversal / Adjustment</w:t>
            </w:r>
          </w:p>
        </w:tc>
      </w:tr>
      <w:tr>
        <w:tc>
          <w:tcPr>
            <w:tcW w:type="dxa" w:w="3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case.label.singular</w:t>
            </w:r>
          </w:p>
        </w:tc>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Case</w:t>
            </w:r>
          </w:p>
        </w:tc>
        <w:tc>
          <w:tcPr>
            <w:tcW w:type="dxa" w:w="41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Investigation / Incident / Review</w:t>
            </w:r>
          </w:p>
        </w:tc>
      </w:tr>
    </w:tbl>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4.  The Unified Statement</w:t>
      </w:r>
    </w:p>
    <w:p>
      <w:pPr>
        <w:pBdr>
          <w:bottom w:val="single" w:color="B8860B" w:sz="8" w:space="1"/>
        </w:pBdr>
        <w:spacing w:before="0" w:after="0"/>
      </w:pPr>
    </w:p>
    <w:p>
      <w:pPr>
        <w:spacing w:before="0" w:after="0"/>
      </w:pPr>
      <w:r>
        <w:rPr>
          <w:sz w:val="20"/>
          <w:szCs w:val="20"/>
        </w:rPr>
        <w:t xml:space="preserve"/>
      </w:r>
    </w:p>
    <w:p>
      <w:pPr>
        <w:spacing w:before="160" w:after="40"/>
        <w:jc w:val="center"/>
      </w:pPr>
      <w:r>
        <w:rPr>
          <w:rFonts w:ascii="Arial" w:cs="Arial" w:eastAsia="Arial" w:hAnsi="Arial"/>
          <w:i/>
          <w:iCs/>
          <w:color w:val="4A4A4A"/>
          <w:sz w:val="22"/>
          <w:szCs w:val="22"/>
        </w:rPr>
        <w:t xml:space="preserve">“If this is right we can make any app.”</w:t>
      </w:r>
    </w:p>
    <w:p>
      <w:pPr>
        <w:spacing w:before="0" w:after="240"/>
        <w:jc w:val="center"/>
      </w:pPr>
      <w:r>
        <w:rPr>
          <w:rFonts w:ascii="Arial" w:cs="Arial" w:eastAsia="Arial" w:hAnsi="Arial"/>
          <w:color w:val="B8860B"/>
          <w:sz w:val="20"/>
          <w:szCs w:val="20"/>
        </w:rPr>
        <w:t xml:space="preserve">— Geoffrey, February 28, 2026</w:t>
      </w: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Three layers. One principle. The following table states it explicitly so it cannot be lost in implementation.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47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Consequence</w:t>
            </w:r>
          </w:p>
        </w:tc>
      </w:tr>
      <w:tr>
        <w:tc>
          <w:tcPr>
            <w:tcW w:type="dxa" w:w="2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Bitcoin layer</w:t>
            </w:r>
          </w:p>
        </w:tc>
        <w:tc>
          <w:tcPr>
            <w:tcW w:type="dxa" w:w="2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Hash chain per merchant</w:t>
            </w:r>
          </w:p>
        </w:tc>
        <w:tc>
          <w:tcPr>
            <w:tcW w:type="dxa" w:w="47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Cryptographic isolation. Per-merchant evidence. Independently anchored to Bitcoin. Linear scaling proven by volume analysis.</w:t>
            </w:r>
          </w:p>
        </w:tc>
      </w:tr>
      <w:tr>
        <w:tc>
          <w:tcPr>
            <w:tcW w:type="dxa" w:w="2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Postgres layer</w:t>
            </w:r>
          </w:p>
        </w:tc>
        <w:tc>
          <w:tcPr>
            <w:tcW w:type="dxa" w:w="2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Partition per merchant</w:t>
            </w:r>
          </w:p>
        </w:tc>
        <w:tc>
          <w:tcPr>
            <w:tcW w:type="dxa" w:w="47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Relational isolation. Per-merchant data. Independently archivable. DROP TABLE, not DELETE. Flexible period granularity per merchant.</w:t>
            </w:r>
          </w:p>
        </w:tc>
      </w:tr>
      <w:tr>
        <w:tc>
          <w:tcPr>
            <w:tcW w:type="dxa" w:w="2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Presentation layer</w:t>
            </w:r>
          </w:p>
        </w:tc>
        <w:tc>
          <w:tcPr>
            <w:tcW w:type="dxa" w:w="2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Vocabulary pack per merchant</w:t>
            </w:r>
          </w:p>
        </w:tc>
        <w:tc>
          <w:tcPr>
            <w:tcW w:type="dxa" w:w="47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Linguistic isolation. Per-merchant terminology. Independently configurable. No rebuild, no redeploy. Vertical-agnostic by construction.</w:t>
            </w:r>
          </w:p>
        </w:tc>
      </w:tr>
    </w:tbl>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principle does not stop at three layers. The Multi-POS Translation Layer (Tom’s ARTS POSlog architecture) applies the same isolation at the intake layer: </w:t>
      </w:r>
      <w:r>
        <w:rPr>
          <w:rFonts w:ascii="Arial" w:cs="Arial" w:eastAsia="Arial" w:hAnsi="Arial"/>
          <w:color w:val="0D0D0D"/>
          <w:sz w:val="22"/>
          <w:szCs w:val="22"/>
        </w:rPr>
        <w:t xml:space="preserve">Square is one parser. Clover is one parser. Toast is one parser. Each parser converts a vendor’s native event format into the canonical CRDM schema. </w:t>
      </w:r>
      <w:r>
        <w:rPr>
          <w:rFonts w:ascii="Arial" w:cs="Arial" w:eastAsia="Arial" w:hAnsi="Arial"/>
          <w:color w:val="0D0D0D"/>
          <w:sz w:val="22"/>
          <w:szCs w:val="22"/>
        </w:rPr>
        <w:t xml:space="preserve">The CRDM never changes. The Chirp detection rules never change. The Fox case management never changes. </w:t>
      </w:r>
      <w:r>
        <w:rPr>
          <w:rFonts w:ascii="Arial" w:cs="Arial" w:eastAsia="Arial" w:hAnsi="Arial"/>
          <w:color w:val="0D0D0D"/>
          <w:sz w:val="22"/>
          <w:szCs w:val="22"/>
        </w:rPr>
        <w:t xml:space="preserve">Add a parser, add a POS integration. The canonical layer is untouched.</w:t>
      </w:r>
    </w:p>
    <w:p>
      <w:pPr>
        <w:spacing w:before="0" w:after="160"/>
        <w:jc w:val="both"/>
      </w:pPr>
      <w:r>
        <w:rPr>
          <w:rFonts w:ascii="Arial" w:cs="Arial" w:eastAsia="Arial" w:hAnsi="Arial"/>
          <w:color w:val="0D0D0D"/>
          <w:sz w:val="22"/>
          <w:szCs w:val="22"/>
        </w:rPr>
        <w:t xml:space="preserve">The patent’s “multiple embodiments” section applies the same isolation at the application layer: </w:t>
      </w:r>
      <w:r>
        <w:rPr>
          <w:rFonts w:ascii="Arial" w:cs="Arial" w:eastAsia="Arial" w:hAnsi="Arial"/>
          <w:color w:val="0D0D0D"/>
          <w:sz w:val="22"/>
          <w:szCs w:val="22"/>
        </w:rPr>
        <w:t xml:space="preserve">retail, healthcare, supply chain, legal, insurance, government. </w:t>
      </w:r>
      <w:r>
        <w:rPr>
          <w:rFonts w:ascii="Arial" w:cs="Arial" w:eastAsia="Arial" w:hAnsi="Arial"/>
          <w:color w:val="0D0D0D"/>
          <w:sz w:val="22"/>
          <w:szCs w:val="22"/>
        </w:rPr>
        <w:t xml:space="preserve">Each embodiment has identical architecture at Nodes 1–3 (intake, hash, seal) and Nodes 5–6 (Merkle, inscription). </w:t>
      </w:r>
      <w:r>
        <w:rPr>
          <w:rFonts w:ascii="Arial" w:cs="Arial" w:eastAsia="Arial" w:hAnsi="Arial"/>
          <w:color w:val="0D0D0D"/>
          <w:sz w:val="22"/>
          <w:szCs w:val="22"/>
        </w:rPr>
        <w:t xml:space="preserve">Only Node 4 (the application projection) changes. The immutability layer is untouched.</w:t>
      </w:r>
    </w:p>
    <w:p>
      <w:pPr>
        <w:pBdr>
          <w:top w:val="single" w:color="2C4A6E" w:sz="4"/>
          <w:bottom w:val="single" w:color="2C4A6E" w:sz="4"/>
          <w:left w:val="single" w:color="2C4A6E" w:sz="4"/>
          <w:right w:val="single" w:color="2C4A6E" w:sz="4"/>
        </w:pBdr>
        <w:shd w:fill="1A1A2E" w:val="clear"/>
        <w:spacing w:before="160" w:after="160"/>
        <w:ind w:left="360" w:right="360"/>
      </w:pPr>
      <w:r>
        <w:rPr>
          <w:rFonts w:ascii="Courier New" w:cs="Courier New" w:eastAsia="Courier New" w:hAnsi="Courier New"/>
          <w:color w:val="A8D8A8"/>
          <w:sz w:val="18"/>
          <w:szCs w:val="18"/>
        </w:rPr>
        <w:t xml:space="preserve">Intake Layer:      parser_square → CRDM    |  parser_clover → CRDM    |  parser_toast → CRDM</w:t>
      </w:r>
      <w:r>
        <w:rPr>
          <w:rFonts w:ascii="Courier New" w:cs="Courier New" w:eastAsia="Courier New" w:hAnsi="Courier New"/>
          <w:color w:val="A8D8A8"/>
          <w:sz w:val="18"/>
          <w:szCs w:val="18"/>
        </w:rPr>
        <w:br/>
        <w:t xml:space="preserve">                   (per-source isolation)</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Bitcoin Layer:     hash_chain_m001  |  hash_chain_m002  |  hash_chain_m003</w:t>
      </w:r>
      <w:r>
        <w:rPr>
          <w:rFonts w:ascii="Courier New" w:cs="Courier New" w:eastAsia="Courier New" w:hAnsi="Courier New"/>
          <w:color w:val="A8D8A8"/>
          <w:sz w:val="18"/>
          <w:szCs w:val="18"/>
        </w:rPr>
        <w:br/>
        <w:t xml:space="preserve">                   (per-merchant isolation)</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Postgres Layer:    txn_m001_2026_01 |  txn_m002_2026_01 |  txn_m_ent_2026_Q1</w:t>
      </w:r>
      <w:r>
        <w:rPr>
          <w:rFonts w:ascii="Courier New" w:cs="Courier New" w:eastAsia="Courier New" w:hAnsi="Courier New"/>
          <w:color w:val="A8D8A8"/>
          <w:sz w:val="18"/>
          <w:szCs w:val="18"/>
        </w:rPr>
        <w:br/>
        <w:t xml:space="preserve">                   (per-merchant partition isolation)</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Application Layer: node4_retail  |  node4_healthcare  |  node4_supply_chain</w:t>
      </w:r>
      <w:r>
        <w:rPr>
          <w:rFonts w:ascii="Courier New" w:cs="Courier New" w:eastAsia="Courier New" w:hAnsi="Courier New"/>
          <w:color w:val="A8D8A8"/>
          <w:sz w:val="18"/>
          <w:szCs w:val="18"/>
        </w:rPr>
        <w:br/>
        <w:t xml:space="preserve">                   (per-embodiment projection isolation)</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Presentation Layer: vocab_m001.json | vocab_m002.json | vocab_m_ent.json</w:t>
      </w:r>
      <w:r>
        <w:rPr>
          <w:rFonts w:ascii="Courier New" w:cs="Courier New" w:eastAsia="Courier New" w:hAnsi="Courier New"/>
          <w:color w:val="A8D8A8"/>
          <w:sz w:val="18"/>
          <w:szCs w:val="18"/>
        </w:rPr>
        <w:br/>
        <w:t xml:space="preserve">                   (per-merchant linguistic isolation)</w:t>
      </w:r>
      <w:r>
        <w:rPr>
          <w:rFonts w:ascii="Courier New" w:cs="Courier New" w:eastAsia="Courier New" w:hAnsi="Courier New"/>
          <w:color w:val="A8D8A8"/>
          <w:sz w:val="18"/>
          <w:szCs w:val="18"/>
        </w:rPr>
        <w:br/>
        <w:t xml:space="preserve"/>
      </w:r>
      <w:r>
        <w:rPr>
          <w:rFonts w:ascii="Courier New" w:cs="Courier New" w:eastAsia="Courier New" w:hAnsi="Courier New"/>
          <w:color w:val="A8D8A8"/>
          <w:sz w:val="18"/>
          <w:szCs w:val="18"/>
        </w:rPr>
        <w:br/>
        <w:t xml:space="preserve">Principle:  Isolate at every layer. Independence is the scaling primitive.</w:t>
      </w:r>
    </w:p>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5.  The tLog-to-gLog Lineage</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gLog is not a response to the tLog. It is the tLog’s successor, designed by someone who built enterprise retail systems for thirty years, </w:t>
      </w:r>
      <w:r>
        <w:rPr>
          <w:rFonts w:ascii="Arial" w:cs="Arial" w:eastAsia="Arial" w:hAnsi="Arial"/>
          <w:color w:val="0D0D0D"/>
          <w:sz w:val="22"/>
          <w:szCs w:val="22"/>
        </w:rPr>
        <w:t xml:space="preserve">watched the tLog fail in the most consequential way possible, and spent the subsequent decade in possession of the exact set of tools needed to fix it. </w:t>
      </w:r>
      <w:r>
        <w:rPr>
          <w:rFonts w:ascii="Arial" w:cs="Arial" w:eastAsia="Arial" w:hAnsi="Arial"/>
          <w:color w:val="0D0D0D"/>
          <w:sz w:val="22"/>
          <w:szCs w:val="22"/>
        </w:rPr>
        <w:t xml:space="preserve">The lineage is not accidental. It is the entire point.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5700"/>
      </w:tblGrid>
      <w:tr>
        <w:trPr>
          <w:tblHeader/>
        </w:trPr>
        <w:tc>
          <w:tcPr>
            <w:tcW w:type="dxa" w:w="8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5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57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Significance</w:t>
            </w:r>
          </w:p>
        </w:tc>
      </w:tr>
      <w:tr>
        <w:tc>
          <w:tcPr>
            <w:tcW w:type="dxa" w:w="8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1986</w:t>
            </w:r>
          </w:p>
        </w:tc>
        <w:tc>
          <w:tcPr>
            <w:tcW w:type="dxa" w:w="25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IBM 4690 / tLog</w:t>
            </w:r>
          </w:p>
        </w:tc>
        <w:tc>
          <w:tcPr>
            <w:tcW w:type="dxa" w:w="57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Universal retail transaction log. Mutable. Institution-controlled. 70%+ market share.</w:t>
            </w:r>
          </w:p>
        </w:tc>
      </w:tr>
      <w:tr>
        <w:tc>
          <w:tcPr>
            <w:tcW w:type="dxa" w:w="8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1995–2001</w:t>
            </w:r>
          </w:p>
        </w:tc>
        <w:tc>
          <w:tcPr>
            <w:tcW w:type="dxa" w:w="25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Founder: Big Four consulting</w:t>
            </w:r>
          </w:p>
        </w:tc>
        <w:tc>
          <w:tcPr>
            <w:tcW w:type="dxa" w:w="57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Industry research on where retail technology was headed. Strategy layer.</w:t>
            </w:r>
          </w:p>
        </w:tc>
      </w:tr>
      <w:tr>
        <w:tc>
          <w:tcPr>
            <w:tcW w:type="dxa" w:w="8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2001–2008</w:t>
            </w:r>
          </w:p>
        </w:tc>
        <w:tc>
          <w:tcPr>
            <w:tcW w:type="dxa" w:w="25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Founder: IBM enterprise systems</w:t>
            </w:r>
          </w:p>
        </w:tc>
        <w:tc>
          <w:tcPr>
            <w:tcW w:type="dxa" w:w="57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Built Oracle, EDI, POS infrastructure for the world’s largest retailers. Field-level exposure to tLog failures.</w:t>
            </w:r>
          </w:p>
        </w:tc>
      </w:tr>
      <w:tr>
        <w:tc>
          <w:tcPr>
            <w:tcW w:type="dxa" w:w="8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2006–2016</w:t>
            </w:r>
          </w:p>
        </w:tc>
        <w:tc>
          <w:tcPr>
            <w:tcW w:type="dxa" w:w="25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SysRepublic / Appriss Retail</w:t>
            </w:r>
          </w:p>
        </w:tc>
        <w:tc>
          <w:tcPr>
            <w:tcW w:type="dxa" w:w="57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Co-founded the SaaS platform aggregating more private retail transaction data than any system in the industry. EBR before cloud had a name.</w:t>
            </w:r>
          </w:p>
        </w:tc>
      </w:tr>
      <w:tr>
        <w:tc>
          <w:tcPr>
            <w:tcW w:type="dxa" w:w="8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2009</w:t>
            </w:r>
          </w:p>
        </w:tc>
        <w:tc>
          <w:tcPr>
            <w:tcW w:type="dxa" w:w="25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Bitcoin genesis block</w:t>
            </w:r>
          </w:p>
        </w:tc>
        <w:tc>
          <w:tcPr>
            <w:tcW w:type="dxa" w:w="57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Satoshi Nakamoto. The UTXO model. Proof-of-work. The first immutable public ledger.</w:t>
            </w:r>
          </w:p>
        </w:tc>
      </w:tr>
      <w:tr>
        <w:tc>
          <w:tcPr>
            <w:tcW w:type="dxa" w:w="8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2016–2023</w:t>
            </w:r>
          </w:p>
        </w:tc>
        <w:tc>
          <w:tcPr>
            <w:tcW w:type="dxa" w:w="25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tLog’s slow death</w:t>
            </w:r>
          </w:p>
        </w:tc>
        <w:tc>
          <w:tcPr>
            <w:tcW w:type="dxa" w:w="57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4690 platform end-of-life. Cloud-native POS fragmentation. No successor to the universal transaction record.</w:t>
            </w:r>
          </w:p>
        </w:tc>
      </w:tr>
      <w:tr>
        <w:tc>
          <w:tcPr>
            <w:tcW w:type="dxa" w:w="8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2023</w:t>
            </w:r>
          </w:p>
        </w:tc>
        <w:tc>
          <w:tcPr>
            <w:tcW w:type="dxa" w:w="25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Ordinals protocol</w:t>
            </w:r>
          </w:p>
        </w:tc>
        <w:tc>
          <w:tcPr>
            <w:tcW w:type="dxa" w:w="57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Casey Rodarmor. Arbitrary data inscribed to Bitcoin satoshis. The inscription primitive becomes available.</w:t>
            </w:r>
          </w:p>
        </w:tc>
      </w:tr>
      <w:tr>
        <w:tc>
          <w:tcPr>
            <w:tcW w:type="dxa" w:w="8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2024</w:t>
            </w:r>
          </w:p>
        </w:tc>
        <w:tc>
          <w:tcPr>
            <w:tcW w:type="dxa" w:w="25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The design decision</w:t>
            </w:r>
          </w:p>
        </w:tc>
        <w:tc>
          <w:tcPr>
            <w:tcW w:type="dxa" w:w="57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The founder maps the tLog failure modes to the UTXO model. Per-merchant hash chain. Bilateral verification. Bitcoin anchor.</w:t>
            </w:r>
          </w:p>
        </w:tc>
      </w:tr>
      <w:tr>
        <w:tc>
          <w:tcPr>
            <w:tcW w:type="dxa" w:w="8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2025–2026</w:t>
            </w:r>
          </w:p>
        </w:tc>
        <w:tc>
          <w:tcPr>
            <w:tcW w:type="dxa" w:w="25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GrowDirect / Canary LP</w:t>
            </w:r>
          </w:p>
        </w:tc>
        <w:tc>
          <w:tcPr>
            <w:tcW w:type="dxa" w:w="57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CRDM. Staged immutability pipeline. gLog. The three-layer unified architecture. This document.</w:t>
            </w:r>
          </w:p>
        </w:tc>
      </w:tr>
      <w:tr>
        <w:tc>
          <w:tcPr>
            <w:tcW w:type="dxa" w:w="8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2026–∞</w:t>
            </w:r>
          </w:p>
        </w:tc>
        <w:tc>
          <w:tcPr>
            <w:tcW w:type="dxa" w:w="25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gLog</w:t>
            </w:r>
          </w:p>
        </w:tc>
        <w:tc>
          <w:tcPr>
            <w:tcW w:type="dxa" w:w="57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Permanent successor. Per-merchant. Append-only. Cryptographically bounded. Bitcoin-anchored. Any app.</w:t>
            </w:r>
          </w:p>
        </w:tc>
      </w:tr>
    </w:tbl>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through-line matters for two reasons. First, it establishes that the design decisions in this document were not made in ignorance of alternatives. </w:t>
      </w:r>
      <w:r>
        <w:rPr>
          <w:rFonts w:ascii="Arial" w:cs="Arial" w:eastAsia="Arial" w:hAnsi="Arial"/>
          <w:color w:val="0D0D0D"/>
          <w:sz w:val="22"/>
          <w:szCs w:val="22"/>
        </w:rPr>
        <w:t xml:space="preserve">They were made by someone who had operated the incumbent system at scale, watched it fail at the worst possible moment, </w:t>
      </w:r>
      <w:r>
        <w:rPr>
          <w:rFonts w:ascii="Arial" w:cs="Arial" w:eastAsia="Arial" w:hAnsi="Arial"/>
          <w:color w:val="0D0D0D"/>
          <w:sz w:val="22"/>
          <w:szCs w:val="22"/>
        </w:rPr>
        <w:t xml:space="preserve">and waited for the technical primitives needed to build something categorically better. The wait was twenty years.</w:t>
      </w:r>
    </w:p>
    <w:p>
      <w:pPr>
        <w:spacing w:before="0" w:after="160"/>
        <w:jc w:val="both"/>
      </w:pPr>
      <w:r>
        <w:rPr>
          <w:rFonts w:ascii="Arial" w:cs="Arial" w:eastAsia="Arial" w:hAnsi="Arial"/>
          <w:color w:val="0D0D0D"/>
          <w:sz w:val="22"/>
          <w:szCs w:val="22"/>
        </w:rPr>
        <w:t xml:space="preserve">Second, it establishes the provenance of the patent claims. The staged immutability pipeline is not an academic construction. </w:t>
      </w:r>
      <w:r>
        <w:rPr>
          <w:rFonts w:ascii="Arial" w:cs="Arial" w:eastAsia="Arial" w:hAnsi="Arial"/>
          <w:color w:val="0D0D0D"/>
          <w:sz w:val="22"/>
          <w:szCs w:val="22"/>
        </w:rPr>
        <w:t xml:space="preserve">It is a direct inversion of the tLog’s structural failure modes, implemented using technical primitives that did not exist when the tLog was designed. </w:t>
      </w:r>
      <w:r>
        <w:rPr>
          <w:rFonts w:ascii="Arial" w:cs="Arial" w:eastAsia="Arial" w:hAnsi="Arial"/>
          <w:color w:val="0D0D0D"/>
          <w:sz w:val="22"/>
          <w:szCs w:val="22"/>
        </w:rPr>
        <w:t xml:space="preserve">The non-obviousness argument — that a person of ordinary skill in the art would not be motivated to combine these six domains without understanding that the moat lies in permanent, trustless, network-agnostic notarization — </w:t>
      </w:r>
      <w:r>
        <w:rPr>
          <w:rFonts w:ascii="Arial" w:cs="Arial" w:eastAsia="Arial" w:hAnsi="Arial"/>
          <w:color w:val="0D0D0D"/>
          <w:sz w:val="22"/>
          <w:szCs w:val="22"/>
        </w:rPr>
        <w:t xml:space="preserve">is grounded in a career spent inside the system being replaced.</w:t>
      </w:r>
    </w:p>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6.  The Competitive Moat</w:t>
      </w:r>
    </w:p>
    <w:p>
      <w:pPr>
        <w:pBdr>
          <w:bottom w:val="single" w:color="B8860B" w:sz="8" w:space="1"/>
        </w:pBdr>
        <w:spacing w:before="0" w:after="0"/>
      </w:pPr>
    </w:p>
    <w:p>
      <w:pPr>
        <w:spacing w:before="0" w:after="0"/>
      </w:pPr>
      <w:r>
        <w:rPr>
          <w:sz w:val="20"/>
          <w:szCs w:val="20"/>
        </w:rPr>
        <w:t xml:space="preserve"/>
      </w:r>
    </w:p>
    <w:p>
      <w:pPr>
        <w:pStyle w:val="Heading2"/>
        <w:spacing w:before="360" w:after="100"/>
      </w:pPr>
      <w:r>
        <w:rPr>
          <w:rFonts w:ascii="Arial" w:cs="Arial" w:eastAsia="Arial" w:hAnsi="Arial"/>
          <w:b/>
          <w:bCs/>
          <w:color w:val="1B3A5C"/>
          <w:sz w:val="26"/>
          <w:szCs w:val="26"/>
        </w:rPr>
        <w:t xml:space="preserve">6.1  VeriSign: The Model</w:t>
      </w:r>
    </w:p>
    <w:p>
      <w:pPr>
        <w:spacing w:before="0" w:after="160"/>
        <w:jc w:val="both"/>
      </w:pPr>
      <w:r>
        <w:rPr>
          <w:rFonts w:ascii="Arial" w:cs="Arial" w:eastAsia="Arial" w:hAnsi="Arial"/>
          <w:color w:val="0D0D0D"/>
          <w:sz w:val="22"/>
          <w:szCs w:val="22"/>
        </w:rPr>
        <w:t xml:space="preserve">In 1995, VeriSign spun out of RSA Security with a proposition: the commercial internet needs a trust layer. </w:t>
      </w:r>
      <w:r>
        <w:rPr>
          <w:rFonts w:ascii="Arial" w:cs="Arial" w:eastAsia="Arial" w:hAnsi="Arial"/>
          <w:color w:val="0D0D0D"/>
          <w:sz w:val="22"/>
          <w:szCs w:val="22"/>
        </w:rPr>
        <w:t xml:space="preserve">Websites need to prove they are who they say they are. Someone has to be the root certificate authority that browsers trust by default.</w:t>
      </w:r>
    </w:p>
    <w:p>
      <w:pPr>
        <w:spacing w:before="0" w:after="160"/>
        <w:jc w:val="both"/>
      </w:pPr>
      <w:r>
        <w:rPr>
          <w:rFonts w:ascii="Arial" w:cs="Arial" w:eastAsia="Arial" w:hAnsi="Arial"/>
          <w:color w:val="0D0D0D"/>
          <w:sz w:val="22"/>
          <w:szCs w:val="22"/>
        </w:rPr>
        <w:t xml:space="preserve">VeriSign claimed that position before the commercial internet existed. At peak, it issued more than three million SSL certificates across military, financial, and retail applications. </w:t>
      </w:r>
      <w:r>
        <w:rPr>
          <w:rFonts w:ascii="Arial" w:cs="Arial" w:eastAsia="Arial" w:hAnsi="Arial"/>
          <w:color w:val="0D0D0D"/>
          <w:sz w:val="22"/>
          <w:szCs w:val="22"/>
        </w:rPr>
        <w:t xml:space="preserve">It acquired Network Solutions for $21 billion in 2000, consolidating the </w:t>
      </w:r>
      <w:r>
        <w:rPr>
          <w:rFonts w:ascii="Arial" w:cs="Arial" w:eastAsia="Arial" w:hAnsi="Arial"/>
          <w:i/>
          <w:iCs/>
          <w:color w:val="0D0D0D"/>
          <w:sz w:val="22"/>
          <w:szCs w:val="22"/>
        </w:rPr>
        <w:t xml:space="preserve">.com</w:t>
      </w:r>
      <w:r>
        <w:rPr>
          <w:rFonts w:ascii="Arial" w:cs="Arial" w:eastAsia="Arial" w:hAnsi="Arial"/>
          <w:color w:val="0D0D0D"/>
          <w:sz w:val="22"/>
          <w:szCs w:val="22"/>
        </w:rPr>
        <w:t xml:space="preserve"> and </w:t>
      </w:r>
      <w:r>
        <w:rPr>
          <w:rFonts w:ascii="Arial" w:cs="Arial" w:eastAsia="Arial" w:hAnsi="Arial"/>
          <w:i/>
          <w:iCs/>
          <w:color w:val="0D0D0D"/>
          <w:sz w:val="22"/>
          <w:szCs w:val="22"/>
        </w:rPr>
        <w:t xml:space="preserve">.net</w:t>
      </w:r>
      <w:r>
        <w:rPr>
          <w:rFonts w:ascii="Arial" w:cs="Arial" w:eastAsia="Arial" w:hAnsi="Arial"/>
          <w:color w:val="0D0D0D"/>
          <w:sz w:val="22"/>
          <w:szCs w:val="22"/>
        </w:rPr>
        <w:t xml:space="preserve"> namespace. </w:t>
      </w:r>
      <w:r>
        <w:rPr>
          <w:rFonts w:ascii="Arial" w:cs="Arial" w:eastAsia="Arial" w:hAnsi="Arial"/>
          <w:color w:val="0D0D0D"/>
          <w:sz w:val="22"/>
          <w:szCs w:val="22"/>
        </w:rPr>
        <w:t xml:space="preserve">Today, stripped to its domain registry business, VeriSign generates $1.65 billion in annual revenue with near-zero marginal cost. </w:t>
      </w:r>
      <w:r>
        <w:rPr>
          <w:rFonts w:ascii="Arial" w:cs="Arial" w:eastAsia="Arial" w:hAnsi="Arial"/>
          <w:color w:val="0D0D0D"/>
          <w:sz w:val="22"/>
          <w:szCs w:val="22"/>
        </w:rPr>
        <w:t xml:space="preserve">Berkshire Hathaway is a significant holder. The position prints money because VeriSign claimed the root of the trust infrastructure before the market understood what trust infrastructure was.</w:t>
      </w:r>
    </w:p>
    <w:p>
      <w:pPr>
        <w:spacing w:before="0" w:after="160"/>
        <w:jc w:val="both"/>
      </w:pPr>
      <w:r>
        <w:rPr>
          <w:rFonts w:ascii="Arial" w:cs="Arial" w:eastAsia="Arial" w:hAnsi="Arial"/>
          <w:color w:val="0D0D0D"/>
          <w:sz w:val="22"/>
          <w:szCs w:val="22"/>
        </w:rPr>
        <w:t xml:space="preserve">The lesson: whoever establishes the canonical trust layer for a new category of commerce, before the market understands the category, owns the tollbooth permanently.</w:t>
      </w:r>
    </w:p>
    <w:p>
      <w:pPr>
        <w:pStyle w:val="Heading2"/>
        <w:spacing w:before="360" w:after="100"/>
      </w:pPr>
      <w:r>
        <w:rPr>
          <w:rFonts w:ascii="Arial" w:cs="Arial" w:eastAsia="Arial" w:hAnsi="Arial"/>
          <w:b/>
          <w:bCs/>
          <w:color w:val="1B3A5C"/>
          <w:sz w:val="26"/>
          <w:szCs w:val="26"/>
        </w:rPr>
        <w:t xml:space="preserve">6.2  The Fatal Flaw: VeriSign Was an Institution</w:t>
      </w:r>
    </w:p>
    <w:p>
      <w:pPr>
        <w:spacing w:before="0" w:after="160"/>
        <w:jc w:val="both"/>
      </w:pPr>
      <w:r>
        <w:rPr>
          <w:rFonts w:ascii="Arial" w:cs="Arial" w:eastAsia="Arial" w:hAnsi="Arial"/>
          <w:color w:val="0D0D0D"/>
          <w:sz w:val="22"/>
          <w:szCs w:val="22"/>
        </w:rPr>
        <w:t xml:space="preserve">VeriSign’s model had one structural vulnerability: it was a trusted third party. The entire SSL framework depended on a single assumption — that VeriSign’s servers were secure and VeriSign’s employees were honest. </w:t>
      </w:r>
      <w:r>
        <w:rPr>
          <w:rFonts w:ascii="Arial" w:cs="Arial" w:eastAsia="Arial" w:hAnsi="Arial"/>
          <w:color w:val="0D0D0D"/>
          <w:sz w:val="22"/>
          <w:szCs w:val="22"/>
        </w:rPr>
        <w:t xml:space="preserve">If either assumption failed, the trust model collapsed.</w:t>
      </w:r>
    </w:p>
    <w:p>
      <w:pPr>
        <w:spacing w:before="0" w:after="160"/>
        <w:jc w:val="both"/>
      </w:pPr>
      <w:r>
        <w:rPr>
          <w:rFonts w:ascii="Arial" w:cs="Arial" w:eastAsia="Arial" w:hAnsi="Arial"/>
          <w:color w:val="0D0D0D"/>
          <w:sz w:val="22"/>
          <w:szCs w:val="22"/>
        </w:rPr>
        <w:t xml:space="preserve">Both assumptions failed. In 2010, VeriSign’s corporate network was breached multiple times. The breaches were not disclosed to management for months, </w:t>
      </w:r>
      <w:r>
        <w:rPr>
          <w:rFonts w:ascii="Arial" w:cs="Arial" w:eastAsia="Arial" w:hAnsi="Arial"/>
          <w:color w:val="0D0D0D"/>
          <w:sz w:val="22"/>
          <w:szCs w:val="22"/>
        </w:rPr>
        <w:t xml:space="preserve">and not disclosed publicly until a quarterly SEC filing in 2011. </w:t>
      </w:r>
      <w:r>
        <w:rPr>
          <w:rFonts w:ascii="Arial" w:cs="Arial" w:eastAsia="Arial" w:hAnsi="Arial"/>
          <w:color w:val="0D0D0D"/>
          <w:sz w:val="22"/>
          <w:szCs w:val="22"/>
        </w:rPr>
        <w:t xml:space="preserve">In the same year, DigiNotar — a smaller CA operating on the same institutional trust model — was completely compromised. </w:t>
      </w:r>
      <w:r>
        <w:rPr>
          <w:rFonts w:ascii="Arial" w:cs="Arial" w:eastAsia="Arial" w:hAnsi="Arial"/>
          <w:color w:val="0D0D0D"/>
          <w:sz w:val="22"/>
          <w:szCs w:val="22"/>
        </w:rPr>
        <w:t xml:space="preserve">Attackers issued hundreds of fraudulent certificates, enabling man-in-the-middle attacks on Iranian Gmail users. </w:t>
      </w:r>
      <w:r>
        <w:rPr>
          <w:rFonts w:ascii="Arial" w:cs="Arial" w:eastAsia="Arial" w:hAnsi="Arial"/>
          <w:color w:val="0D0D0D"/>
          <w:sz w:val="22"/>
          <w:szCs w:val="22"/>
        </w:rPr>
        <w:t xml:space="preserve">DigiNotar was bankrupt within months.</w:t>
      </w:r>
    </w:p>
    <w:p>
      <w:pPr>
        <w:spacing w:before="0" w:after="160"/>
        <w:jc w:val="both"/>
      </w:pPr>
      <w:r>
        <w:rPr>
          <w:rFonts w:ascii="Arial" w:cs="Arial" w:eastAsia="Arial" w:hAnsi="Arial"/>
          <w:color w:val="0D0D0D"/>
          <w:sz w:val="22"/>
          <w:szCs w:val="22"/>
        </w:rPr>
        <w:t xml:space="preserve">The industry’s response was Certificate Transparency — public, append-only logs that record every certificate issued. </w:t>
      </w:r>
      <w:r>
        <w:rPr>
          <w:rFonts w:ascii="Arial" w:cs="Arial" w:eastAsia="Arial" w:hAnsi="Arial"/>
          <w:color w:val="0D0D0D"/>
          <w:sz w:val="22"/>
          <w:szCs w:val="22"/>
        </w:rPr>
        <w:t xml:space="preserve">A distributed verification layer bolted onto a broken institutional trust model. An admission that the original architecture had a flaw that could not be patched.</w:t>
      </w:r>
    </w:p>
    <w:p>
      <w:pPr>
        <w:pStyle w:val="Heading2"/>
        <w:spacing w:before="360" w:after="100"/>
      </w:pPr>
      <w:r>
        <w:rPr>
          <w:rFonts w:ascii="Arial" w:cs="Arial" w:eastAsia="Arial" w:hAnsi="Arial"/>
          <w:b/>
          <w:bCs/>
          <w:color w:val="1B3A5C"/>
          <w:sz w:val="26"/>
          <w:szCs w:val="26"/>
        </w:rPr>
        <w:t xml:space="preserve">6.3  GrowDirect: The Model Without the Flaw</w:t>
      </w:r>
    </w:p>
    <w:p>
      <w:pPr>
        <w:spacing w:before="0" w:after="160"/>
        <w:jc w:val="both"/>
      </w:pPr>
      <w:r>
        <w:rPr>
          <w:rFonts w:ascii="Arial" w:cs="Arial" w:eastAsia="Arial" w:hAnsi="Arial"/>
          <w:color w:val="0D0D0D"/>
          <w:sz w:val="22"/>
          <w:szCs w:val="22"/>
        </w:rPr>
        <w:t xml:space="preserve">GrowDirect claims the trust layer for commercial truth — proof that a transaction happened, when it happened, with a chain of custody that no institution can override. </w:t>
      </w:r>
      <w:r>
        <w:rPr>
          <w:rFonts w:ascii="Arial" w:cs="Arial" w:eastAsia="Arial" w:hAnsi="Arial"/>
          <w:color w:val="0D0D0D"/>
          <w:sz w:val="22"/>
          <w:szCs w:val="22"/>
        </w:rPr>
        <w:t xml:space="preserve">The position follows the VeriSign trajectory. The flaw does not.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58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VeriSign Model</w:t>
            </w:r>
          </w:p>
        </w:tc>
        <w:tc>
          <w:tcPr>
            <w:tcW w:type="dxa" w:w="358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GrowDirect / ElJeffe Model</w:t>
            </w:r>
          </w:p>
        </w:tc>
      </w:tr>
      <w:tr>
        <w:tc>
          <w:tcPr>
            <w:tcW w:type="dxa" w:w="2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Trust anchor</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VeriSign’s root certificate (institutional)</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Bitcoin blockchain (mathematical)</w:t>
            </w:r>
          </w:p>
        </w:tc>
      </w:tr>
      <w:tr>
        <w:tc>
          <w:tcPr>
            <w:tcW w:type="dxa" w:w="2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Breach surface</w:t>
            </w:r>
          </w:p>
        </w:tc>
        <w:tc>
          <w:tcPr>
            <w:tcW w:type="dxa" w:w="358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Central servers (breached 2010)</w:t>
            </w:r>
          </w:p>
        </w:tc>
        <w:tc>
          <w:tcPr>
            <w:tcW w:type="dxa" w:w="358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No central server to breach</w:t>
            </w:r>
          </w:p>
        </w:tc>
      </w:tr>
      <w:tr>
        <w:tc>
          <w:tcPr>
            <w:tcW w:type="dxa" w:w="2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Tamper method</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Key theft, rogue certificate issuance</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Requires &gt;50% of global hashrate</w:t>
            </w:r>
          </w:p>
        </w:tc>
      </w:tr>
      <w:tr>
        <w:tc>
          <w:tcPr>
            <w:tcW w:type="dxa" w:w="2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Verification</w:t>
            </w:r>
          </w:p>
        </w:tc>
        <w:tc>
          <w:tcPr>
            <w:tcW w:type="dxa" w:w="358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Check with VeriSign (institutional)</w:t>
            </w:r>
          </w:p>
        </w:tc>
        <w:tc>
          <w:tcPr>
            <w:tcW w:type="dxa" w:w="358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Verify hash locally (mathematical)</w:t>
            </w:r>
          </w:p>
        </w:tc>
      </w:tr>
      <w:tr>
        <w:tc>
          <w:tcPr>
            <w:tcW w:type="dxa" w:w="2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Failure mode</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Bankruptcy ends trust (DigiNotar)</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Inscriptions persist forever</w:t>
            </w:r>
          </w:p>
        </w:tc>
      </w:tr>
      <w:tr>
        <w:tc>
          <w:tcPr>
            <w:tcW w:type="dxa" w:w="2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Regulation surface</w:t>
            </w:r>
          </w:p>
        </w:tc>
        <w:tc>
          <w:tcPr>
            <w:tcW w:type="dxa" w:w="358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National jurisdiction (can be compelled)</w:t>
            </w:r>
          </w:p>
        </w:tc>
        <w:tc>
          <w:tcPr>
            <w:tcW w:type="dxa" w:w="358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No single jurisdiction</w:t>
            </w:r>
          </w:p>
        </w:tc>
      </w:tr>
      <w:tr>
        <w:tc>
          <w:tcPr>
            <w:tcW w:type="dxa" w:w="2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Marginal cost at scale</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Near-zero (SSL cert issuance)</w:t>
            </w:r>
          </w:p>
        </w:tc>
        <w:tc>
          <w:tcPr>
            <w:tcW w:type="dxa" w:w="358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Near-zero (validation API)</w:t>
            </w:r>
          </w:p>
        </w:tc>
      </w:tr>
    </w:tbl>
    <w:p>
      <w:pPr>
        <w:spacing w:before="0" w:after="0"/>
      </w:pPr>
      <w:r>
        <w:rPr>
          <w:sz w:val="20"/>
          <w:szCs w:val="20"/>
        </w:rPr>
        <w:t xml:space="preserve"/>
      </w:r>
    </w:p>
    <w:p>
      <w:pPr>
        <w:pStyle w:val="Heading2"/>
        <w:spacing w:before="360" w:after="100"/>
      </w:pPr>
      <w:r>
        <w:rPr>
          <w:rFonts w:ascii="Arial" w:cs="Arial" w:eastAsia="Arial" w:hAnsi="Arial"/>
          <w:b/>
          <w:bCs/>
          <w:color w:val="1B3A5C"/>
          <w:sz w:val="26"/>
          <w:szCs w:val="26"/>
        </w:rPr>
        <w:t xml:space="preserve">6.4  The Block Space Moat</w:t>
      </w:r>
    </w:p>
    <w:p>
      <w:pPr>
        <w:spacing w:before="0" w:after="160"/>
        <w:jc w:val="both"/>
      </w:pPr>
      <w:r>
        <w:rPr>
          <w:rFonts w:ascii="Arial" w:cs="Arial" w:eastAsia="Arial" w:hAnsi="Arial"/>
          <w:color w:val="0D0D0D"/>
          <w:sz w:val="22"/>
          <w:szCs w:val="22"/>
        </w:rPr>
        <w:t xml:space="preserve">The Genesis Pool is 10 million satoshis minted from the founder’s personal F2Pool mining reward. Not from venture capital. Not from a treasury allocation. </w:t>
      </w:r>
      <w:r>
        <w:rPr>
          <w:rFonts w:ascii="Arial" w:cs="Arial" w:eastAsia="Arial" w:hAnsi="Arial"/>
          <w:color w:val="0D0D0D"/>
          <w:sz w:val="22"/>
          <w:szCs w:val="22"/>
        </w:rPr>
        <w:t xml:space="preserve">From proof-of-work earned by the founder and immediately deployed as permanent infrastructure on the Bitcoin time chain.</w:t>
      </w:r>
    </w:p>
    <w:p>
      <w:pPr>
        <w:spacing w:before="0" w:after="160"/>
        <w:jc w:val="both"/>
      </w:pPr>
      <w:r>
        <w:rPr>
          <w:rFonts w:ascii="Arial" w:cs="Arial" w:eastAsia="Arial" w:hAnsi="Arial"/>
          <w:color w:val="0D0D0D"/>
          <w:sz w:val="22"/>
          <w:szCs w:val="22"/>
        </w:rPr>
        <w:t xml:space="preserve">Ordinal inscription ranges are to the Bitcoin verification layer what IP address blocks were to the early internet. </w:t>
      </w:r>
      <w:r>
        <w:rPr>
          <w:rFonts w:ascii="Arial" w:cs="Arial" w:eastAsia="Arial" w:hAnsi="Arial"/>
          <w:color w:val="0D0D0D"/>
          <w:sz w:val="22"/>
          <w:szCs w:val="22"/>
        </w:rPr>
        <w:t xml:space="preserve">In 1993, ARIN allocated IPv4 blocks for trivial administrative fees. By 2021, those blocks traded at $50 per address. </w:t>
      </w:r>
      <w:r>
        <w:rPr>
          <w:rFonts w:ascii="Arial" w:cs="Arial" w:eastAsia="Arial" w:hAnsi="Arial"/>
          <w:color w:val="0D0D0D"/>
          <w:sz w:val="22"/>
          <w:szCs w:val="22"/>
        </w:rPr>
        <w:t xml:space="preserve">The scarcity was not the numbers. It was the position: established early, integrated into infrastructure, compounding in utility with every device that connected.</w:t>
      </w:r>
    </w:p>
    <w:p>
      <w:pPr>
        <w:spacing w:before="0" w:after="160"/>
        <w:jc w:val="both"/>
      </w:pPr>
      <w:r>
        <w:rPr>
          <w:rFonts w:ascii="Arial" w:cs="Arial" w:eastAsia="Arial" w:hAnsi="Arial"/>
          <w:color w:val="0D0D0D"/>
          <w:sz w:val="22"/>
          <w:szCs w:val="22"/>
        </w:rPr>
        <w:t xml:space="preserve">The window to establish a comparable inscription range at current fee rates is measured in months, not years. </w:t>
      </w:r>
      <w:r>
        <w:rPr>
          <w:rFonts w:ascii="Arial" w:cs="Arial" w:eastAsia="Arial" w:hAnsi="Arial"/>
          <w:color w:val="0D0D0D"/>
          <w:sz w:val="22"/>
          <w:szCs w:val="22"/>
        </w:rPr>
        <w:t xml:space="preserve">Each halving cycle compresses the fee floor upward as miners rely more heavily on transaction fees. </w:t>
      </w:r>
      <w:r>
        <w:rPr>
          <w:rFonts w:ascii="Arial" w:cs="Arial" w:eastAsia="Arial" w:hAnsi="Arial"/>
          <w:color w:val="0D0D0D"/>
          <w:sz w:val="22"/>
          <w:szCs w:val="22"/>
        </w:rPr>
        <w:t xml:space="preserve">Under moderate adoption assumptions, sustained fee rates reach 30–100 sat/vbyte within 24 months. </w:t>
      </w:r>
      <w:r>
        <w:rPr>
          <w:rFonts w:ascii="Arial" w:cs="Arial" w:eastAsia="Arial" w:hAnsi="Arial"/>
          <w:color w:val="0D0D0D"/>
          <w:sz w:val="22"/>
          <w:szCs w:val="22"/>
        </w:rPr>
        <w:t xml:space="preserve">At that level, a bootstrapped competitor cannot economically establish a Genesis Pool from zero. </w:t>
      </w:r>
      <w:r>
        <w:rPr>
          <w:rFonts w:ascii="Arial" w:cs="Arial" w:eastAsia="Arial" w:hAnsi="Arial"/>
          <w:color w:val="0D0D0D"/>
          <w:sz w:val="22"/>
          <w:szCs w:val="22"/>
        </w:rPr>
        <w:t xml:space="preserve">The clock is the fee market. The urgency is mathematical.</w:t>
      </w:r>
    </w:p>
    <w:p>
      <w:pPr>
        <w:pStyle w:val="Heading2"/>
        <w:spacing w:before="360" w:after="100"/>
      </w:pPr>
      <w:r>
        <w:rPr>
          <w:rFonts w:ascii="Arial" w:cs="Arial" w:eastAsia="Arial" w:hAnsi="Arial"/>
          <w:b/>
          <w:bCs/>
          <w:color w:val="1B3A5C"/>
          <w:sz w:val="26"/>
          <w:szCs w:val="26"/>
        </w:rPr>
        <w:t xml:space="preserve">6.5  Compliance by Construction</w:t>
      </w:r>
    </w:p>
    <w:p>
      <w:pPr>
        <w:spacing w:before="0" w:after="160"/>
        <w:jc w:val="both"/>
      </w:pPr>
      <w:r>
        <w:rPr>
          <w:rFonts w:ascii="Arial" w:cs="Arial" w:eastAsia="Arial" w:hAnsi="Arial"/>
          <w:color w:val="0D0D0D"/>
          <w:sz w:val="22"/>
          <w:szCs w:val="22"/>
        </w:rPr>
        <w:t xml:space="preserve">Every major compliance framework — HIPAA, PCI-DSS, CCPA, SOC 2 — was designed to protect mutable records containing sensitive data. </w:t>
      </w:r>
      <w:r>
        <w:rPr>
          <w:rFonts w:ascii="Arial" w:cs="Arial" w:eastAsia="Arial" w:hAnsi="Arial"/>
          <w:color w:val="0D0D0D"/>
          <w:sz w:val="22"/>
          <w:szCs w:val="22"/>
        </w:rPr>
        <w:t xml:space="preserve">They assume sensitive data is present in the system and attempt to control access through rules, audits, and penalties. </w:t>
      </w:r>
      <w:r>
        <w:rPr>
          <w:rFonts w:ascii="Arial" w:cs="Arial" w:eastAsia="Arial" w:hAnsi="Arial"/>
          <w:color w:val="0D0D0D"/>
          <w:sz w:val="22"/>
          <w:szCs w:val="22"/>
        </w:rPr>
        <w:t xml:space="preserve">They are compliance by policy.</w:t>
      </w:r>
    </w:p>
    <w:p>
      <w:pPr>
        <w:spacing w:before="0" w:after="160"/>
        <w:jc w:val="both"/>
      </w:pPr>
      <w:r>
        <w:rPr>
          <w:rFonts w:ascii="Arial" w:cs="Arial" w:eastAsia="Arial" w:hAnsi="Arial"/>
          <w:color w:val="0D0D0D"/>
          <w:sz w:val="22"/>
          <w:szCs w:val="22"/>
        </w:rPr>
        <w:t xml:space="preserve">GrowDirect implements compliance by construction. Personal identifying information is cryptographically hashed before the event reaches the inscription layer. </w:t>
      </w:r>
      <w:r>
        <w:rPr>
          <w:rFonts w:ascii="Arial" w:cs="Arial" w:eastAsia="Arial" w:hAnsi="Arial"/>
          <w:color w:val="0D0D0D"/>
          <w:sz w:val="22"/>
          <w:szCs w:val="22"/>
        </w:rPr>
        <w:t xml:space="preserve">SHA-256 is a one-way function: given the hash, there is no known method to recover the original input in polynomial time. </w:t>
      </w:r>
      <w:r>
        <w:rPr>
          <w:rFonts w:ascii="Arial" w:cs="Arial" w:eastAsia="Arial" w:hAnsi="Arial"/>
          <w:color w:val="0D0D0D"/>
          <w:sz w:val="22"/>
          <w:szCs w:val="22"/>
        </w:rPr>
        <w:t xml:space="preserve">The Bitcoin layer contains zero PII. Not encrypted PII. Not tokenized PII. Not pseudonymized PII. </w:t>
      </w:r>
      <w:r>
        <w:rPr>
          <w:rFonts w:ascii="Arial" w:cs="Arial" w:eastAsia="Arial" w:hAnsi="Arial"/>
          <w:color w:val="0D0D0D"/>
          <w:sz w:val="22"/>
          <w:szCs w:val="22"/>
        </w:rPr>
        <w:t xml:space="preserve">The hash cannot be reversed. There is no key to steal. There is no decryption to compel.</w:t>
      </w:r>
    </w:p>
    <w:p>
      <w:pPr>
        <w:shd w:fill="F5E6C8" w:val="clear"/>
        <w:spacing w:before="240" w:after="240"/>
        <w:ind w:left="720" w:right="720"/>
      </w:pPr>
      <w:r>
        <w:rPr>
          <w:rFonts w:ascii="Arial" w:cs="Arial" w:eastAsia="Arial" w:hAnsi="Arial"/>
          <w:i/>
          <w:iCs/>
          <w:color w:val="1B3A5C"/>
          <w:sz w:val="24"/>
          <w:szCs w:val="24"/>
        </w:rPr>
        <w:t xml:space="preserve">GrowDirect does not claim to be more compliant than HIPAA or PCI-DSS. It claims to have eliminated the attack surface those frameworks were designed to protect.</w:t>
      </w:r>
    </w:p>
    <w:p>
      <w:pPr>
        <w:spacing w:before="0" w:after="160"/>
        <w:jc w:val="both"/>
      </w:pPr>
      <w:r>
        <w:rPr>
          <w:rFonts w:ascii="Arial" w:cs="Arial" w:eastAsia="Arial" w:hAnsi="Arial"/>
          <w:color w:val="0D0D0D"/>
          <w:sz w:val="22"/>
          <w:szCs w:val="22"/>
        </w:rPr>
        <w:t xml:space="preserve">The compliance frameworks remain relevant for the data layer — the merchant’s Postgres database where raw payloads are stored. </w:t>
      </w:r>
      <w:r>
        <w:rPr>
          <w:rFonts w:ascii="Arial" w:cs="Arial" w:eastAsia="Arial" w:hAnsi="Arial"/>
          <w:color w:val="0D0D0D"/>
          <w:sz w:val="22"/>
          <w:szCs w:val="22"/>
        </w:rPr>
        <w:t xml:space="preserve">GrowDirect does not replace those frameworks for data storage. </w:t>
      </w:r>
      <w:r>
        <w:rPr>
          <w:rFonts w:ascii="Arial" w:cs="Arial" w:eastAsia="Arial" w:hAnsi="Arial"/>
          <w:color w:val="0D0D0D"/>
          <w:sz w:val="22"/>
          <w:szCs w:val="22"/>
        </w:rPr>
        <w:t xml:space="preserve">It provides a separate verification layer where the compliance question does not arise because the premises of the compliance frameworks </w:t>
      </w:r>
      <w:r>
        <w:rPr>
          <w:rFonts w:ascii="Arial" w:cs="Arial" w:eastAsia="Arial" w:hAnsi="Arial"/>
          <w:color w:val="0D0D0D"/>
          <w:sz w:val="22"/>
          <w:szCs w:val="22"/>
        </w:rPr>
        <w:t xml:space="preserve">— sensitive data present, mutable records, institutional trust required — do not apply.</w:t>
      </w:r>
    </w:p>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7.  The “Any App” Consequence</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i/>
          <w:iCs/>
          <w:color w:val="0D0D0D"/>
          <w:sz w:val="22"/>
          <w:szCs w:val="22"/>
        </w:rPr>
        <w:t xml:space="preserve">“If this is right we can make any app.”</w:t>
      </w:r>
      <w:r>
        <w:rPr>
          <w:rFonts w:ascii="Arial" w:cs="Arial" w:eastAsia="Arial" w:hAnsi="Arial"/>
          <w:color w:val="0D0D0D"/>
          <w:sz w:val="22"/>
          <w:szCs w:val="22"/>
        </w:rPr>
        <w:t xml:space="preserve"> This is not a marketing claim. It is a technical statement with a precise meaning. Here is that meaning.</w:t>
      </w:r>
    </w:p>
    <w:p>
      <w:pPr>
        <w:pStyle w:val="Heading2"/>
        <w:spacing w:before="360" w:after="100"/>
      </w:pPr>
      <w:r>
        <w:rPr>
          <w:rFonts w:ascii="Arial" w:cs="Arial" w:eastAsia="Arial" w:hAnsi="Arial"/>
          <w:b/>
          <w:bCs/>
          <w:color w:val="1B3A5C"/>
          <w:sz w:val="26"/>
          <w:szCs w:val="26"/>
        </w:rPr>
        <w:t xml:space="preserve">7.1  The Multi-POS Proof</w:t>
      </w:r>
    </w:p>
    <w:p>
      <w:pPr>
        <w:spacing w:before="0" w:after="160"/>
        <w:jc w:val="both"/>
      </w:pPr>
      <w:r>
        <w:rPr>
          <w:rFonts w:ascii="Arial" w:cs="Arial" w:eastAsia="Arial" w:hAnsi="Arial"/>
          <w:color w:val="0D0D0D"/>
          <w:sz w:val="22"/>
          <w:szCs w:val="22"/>
        </w:rPr>
        <w:t xml:space="preserve">Tom’s Multi-POS Translation Layer applies merchant-first isolation at the data intake layer. </w:t>
      </w:r>
      <w:r>
        <w:rPr>
          <w:rFonts w:ascii="Arial" w:cs="Arial" w:eastAsia="Arial" w:hAnsi="Arial"/>
          <w:color w:val="0D0D0D"/>
          <w:sz w:val="22"/>
          <w:szCs w:val="22"/>
        </w:rPr>
        <w:t xml:space="preserve">Square has a native event format. Clover has a native event format. Toast has a native event format. </w:t>
      </w:r>
      <w:r>
        <w:rPr>
          <w:rFonts w:ascii="Arial" w:cs="Arial" w:eastAsia="Arial" w:hAnsi="Arial"/>
          <w:color w:val="0D0D0D"/>
          <w:sz w:val="22"/>
          <w:szCs w:val="22"/>
        </w:rPr>
        <w:t xml:space="preserve">Each has a dedicated parser that converts its native format into the canonical CRDM schema. </w:t>
      </w:r>
      <w:r>
        <w:rPr>
          <w:rFonts w:ascii="Arial" w:cs="Arial" w:eastAsia="Arial" w:hAnsi="Arial"/>
          <w:color w:val="0D0D0D"/>
          <w:sz w:val="22"/>
          <w:szCs w:val="22"/>
        </w:rPr>
        <w:t xml:space="preserve">The CRDM never changes. The Chirp detection rules never change. The Fox case management never changes. </w:t>
      </w:r>
      <w:r>
        <w:rPr>
          <w:rFonts w:ascii="Arial" w:cs="Arial" w:eastAsia="Arial" w:hAnsi="Arial"/>
          <w:color w:val="0D0D0D"/>
          <w:sz w:val="22"/>
          <w:szCs w:val="22"/>
        </w:rPr>
        <w:t xml:space="preserve">Add a parser, add a POS. The canonical layer is untouched.</w:t>
      </w:r>
    </w:p>
    <w:p>
      <w:pPr>
        <w:spacing w:before="0" w:after="160"/>
        <w:jc w:val="both"/>
      </w:pPr>
      <w:r>
        <w:rPr>
          <w:rFonts w:ascii="Arial" w:cs="Arial" w:eastAsia="Arial" w:hAnsi="Arial"/>
          <w:color w:val="0D0D0D"/>
          <w:sz w:val="22"/>
          <w:szCs w:val="22"/>
        </w:rPr>
        <w:t xml:space="preserve">This is the intake proof that the architecture is POS-agnostic. Square is not the platform. Square is one data source feeding into a platform that was designed from day one to accept any source.</w:t>
      </w:r>
    </w:p>
    <w:p>
      <w:pPr>
        <w:pStyle w:val="Heading2"/>
        <w:spacing w:before="360" w:after="100"/>
      </w:pPr>
      <w:r>
        <w:rPr>
          <w:rFonts w:ascii="Arial" w:cs="Arial" w:eastAsia="Arial" w:hAnsi="Arial"/>
          <w:b/>
          <w:bCs/>
          <w:color w:val="1B3A5C"/>
          <w:sz w:val="26"/>
          <w:szCs w:val="26"/>
        </w:rPr>
        <w:t xml:space="preserve">7.2  The Multiple Embodiments Proof</w:t>
      </w:r>
    </w:p>
    <w:p>
      <w:pPr>
        <w:spacing w:before="0" w:after="160"/>
        <w:jc w:val="both"/>
      </w:pPr>
      <w:r>
        <w:rPr>
          <w:rFonts w:ascii="Arial" w:cs="Arial" w:eastAsia="Arial" w:hAnsi="Arial"/>
          <w:color w:val="0D0D0D"/>
          <w:sz w:val="22"/>
          <w:szCs w:val="22"/>
        </w:rPr>
        <w:t xml:space="preserve">The patent’s multiple embodiments section is the application-layer proof. </w:t>
      </w:r>
      <w:r>
        <w:rPr>
          <w:rFonts w:ascii="Arial" w:cs="Arial" w:eastAsia="Arial" w:hAnsi="Arial"/>
          <w:color w:val="0D0D0D"/>
          <w:sz w:val="22"/>
          <w:szCs w:val="22"/>
        </w:rPr>
        <w:t xml:space="preserve">The six-node staged immutability pipeline is identical for retail, healthcare, supply chain, legal, insurance, and government applications. </w:t>
      </w:r>
      <w:r>
        <w:rPr>
          <w:rFonts w:ascii="Arial" w:cs="Arial" w:eastAsia="Arial" w:hAnsi="Arial"/>
          <w:color w:val="0D0D0D"/>
          <w:sz w:val="22"/>
          <w:szCs w:val="22"/>
        </w:rPr>
        <w:t xml:space="preserve">Only Node 4 — the application projection — changes. The application projection is derived state. </w:t>
      </w:r>
      <w:r>
        <w:rPr>
          <w:rFonts w:ascii="Arial" w:cs="Arial" w:eastAsia="Arial" w:hAnsi="Arial"/>
          <w:color w:val="0D0D0D"/>
          <w:sz w:val="22"/>
          <w:szCs w:val="22"/>
        </w:rPr>
        <w:t xml:space="preserve">It can be rebuilt from Node 3 (the immutable evidence store) at any time without touching the evidence. </w:t>
      </w:r>
      <w:r>
        <w:rPr>
          <w:rFonts w:ascii="Arial" w:cs="Arial" w:eastAsia="Arial" w:hAnsi="Arial"/>
          <w:color w:val="0D0D0D"/>
          <w:sz w:val="22"/>
          <w:szCs w:val="22"/>
        </w:rPr>
        <w:t xml:space="preserve">Add an application projection, add an industry vertical. The Bitcoin layer is untouched.</w:t>
      </w:r>
    </w:p>
    <w:p>
      <w:pPr>
        <w:pStyle w:val="Heading2"/>
        <w:spacing w:before="360" w:after="100"/>
      </w:pPr>
      <w:r>
        <w:rPr>
          <w:rFonts w:ascii="Arial" w:cs="Arial" w:eastAsia="Arial" w:hAnsi="Arial"/>
          <w:b/>
          <w:bCs/>
          <w:color w:val="1B3A5C"/>
          <w:sz w:val="26"/>
          <w:szCs w:val="26"/>
        </w:rPr>
        <w:t xml:space="preserve">7.3  The Vocabulary Pack Proof</w:t>
      </w:r>
    </w:p>
    <w:p>
      <w:pPr>
        <w:spacing w:before="0" w:after="160"/>
        <w:jc w:val="both"/>
      </w:pPr>
      <w:r>
        <w:rPr>
          <w:rFonts w:ascii="Arial" w:cs="Arial" w:eastAsia="Arial" w:hAnsi="Arial"/>
          <w:color w:val="0D0D0D"/>
          <w:sz w:val="22"/>
          <w:szCs w:val="22"/>
        </w:rPr>
        <w:t xml:space="preserve">The vocabulary pack is the presentation-layer proof. Swap the pack, change the application’s language without touching a line of code. </w:t>
      </w:r>
      <w:r>
        <w:rPr>
          <w:rFonts w:ascii="Arial" w:cs="Arial" w:eastAsia="Arial" w:hAnsi="Arial"/>
          <w:color w:val="0D0D0D"/>
          <w:sz w:val="22"/>
          <w:szCs w:val="22"/>
        </w:rPr>
        <w:t xml:space="preserve">A cannabis application where “Employee” is “Budtender” and “Transaction” is “Receipt” is the same codebase as a coffee shop application </w:t>
      </w:r>
      <w:r>
        <w:rPr>
          <w:rFonts w:ascii="Arial" w:cs="Arial" w:eastAsia="Arial" w:hAnsi="Arial"/>
          <w:color w:val="0D0D0D"/>
          <w:sz w:val="22"/>
          <w:szCs w:val="22"/>
        </w:rPr>
        <w:t xml:space="preserve">where “Employee” is “Barista” and “Cash Drawer” is “Register.”</w:t>
      </w:r>
      <w:r>
        <w:rPr>
          <w:rFonts w:ascii="Arial" w:cs="Arial" w:eastAsia="Arial" w:hAnsi="Arial"/>
          <w:color w:val="0D0D0D"/>
          <w:sz w:val="22"/>
          <w:szCs w:val="22"/>
        </w:rPr>
        <w:t xml:space="preserve"> Same partition strategy. Same hash chain. Same Bitcoin anchor. Different vocabulary pack. Different app.</w:t>
      </w:r>
    </w:p>
    <w:p>
      <w:pPr>
        <w:pStyle w:val="Heading2"/>
        <w:spacing w:before="360" w:after="100"/>
      </w:pPr>
      <w:r>
        <w:rPr>
          <w:rFonts w:ascii="Arial" w:cs="Arial" w:eastAsia="Arial" w:hAnsi="Arial"/>
          <w:b/>
          <w:bCs/>
          <w:color w:val="1B3A5C"/>
          <w:sz w:val="26"/>
          <w:szCs w:val="26"/>
        </w:rPr>
        <w:t xml:space="preserve">7.4  The Precise Claim</w:t>
      </w:r>
    </w:p>
    <w:p>
      <w:pPr>
        <w:spacing w:before="0" w:after="160"/>
        <w:jc w:val="both"/>
      </w:pPr>
      <w:r>
        <w:rPr>
          <w:rFonts w:ascii="Arial" w:cs="Arial" w:eastAsia="Arial" w:hAnsi="Arial"/>
          <w:color w:val="0D0D0D"/>
          <w:sz w:val="22"/>
          <w:szCs w:val="22"/>
        </w:rPr>
        <w:t xml:space="preserve">The “any app” claim holds under the following conditions, all of which are satisfied by the current architecture:</w:t>
      </w:r>
    </w:p>
    <w:p>
      <w:pPr>
        <w:pStyle w:val="ListParagraph"/>
        <w:numPr>
          <w:ilvl w:val="0"/>
          <w:numId w:val="2"/>
        </w:numPr>
        <w:spacing w:before="0" w:after="120"/>
        <w:ind w:left="720" w:hanging="360"/>
      </w:pPr>
      <w:r>
        <w:rPr>
          <w:rFonts w:ascii="Arial" w:cs="Arial" w:eastAsia="Arial" w:hAnsi="Arial"/>
          <w:b/>
          <w:bCs/>
          <w:color w:val="0D0D0D"/>
          <w:sz w:val="22"/>
          <w:szCs w:val="22"/>
        </w:rPr>
        <w:t xml:space="preserve">The intake layer is source-agnostic:</w:t>
      </w:r>
      <w:r>
        <w:rPr>
          <w:rFonts w:ascii="Arial" w:cs="Arial" w:eastAsia="Arial" w:hAnsi="Arial"/>
          <w:color w:val="0D0D0D"/>
          <w:sz w:val="22"/>
          <w:szCs w:val="22"/>
        </w:rPr>
        <w:t xml:space="preserve"> any webhook-originating event stream can be processed by adding a parser.</w:t>
      </w:r>
    </w:p>
    <w:p>
      <w:pPr>
        <w:pStyle w:val="ListParagraph"/>
        <w:numPr>
          <w:ilvl w:val="0"/>
          <w:numId w:val="2"/>
        </w:numPr>
        <w:spacing w:before="0" w:after="120"/>
        <w:ind w:left="720" w:hanging="360"/>
      </w:pPr>
      <w:r>
        <w:rPr>
          <w:rFonts w:ascii="Arial" w:cs="Arial" w:eastAsia="Arial" w:hAnsi="Arial"/>
          <w:b/>
          <w:bCs/>
          <w:color w:val="0D0D0D"/>
          <w:sz w:val="22"/>
          <w:szCs w:val="22"/>
        </w:rPr>
        <w:t xml:space="preserve">The canonical layer is industry-agnostic:</w:t>
      </w:r>
      <w:r>
        <w:rPr>
          <w:rFonts w:ascii="Arial" w:cs="Arial" w:eastAsia="Arial" w:hAnsi="Arial"/>
          <w:color w:val="0D0D0D"/>
          <w:sz w:val="22"/>
          <w:szCs w:val="22"/>
        </w:rPr>
        <w:t xml:space="preserve"> the CRDM encodes commercial events, not retail-specific events.</w:t>
      </w:r>
    </w:p>
    <w:p>
      <w:pPr>
        <w:pStyle w:val="ListParagraph"/>
        <w:numPr>
          <w:ilvl w:val="0"/>
          <w:numId w:val="2"/>
        </w:numPr>
        <w:spacing w:before="0" w:after="120"/>
        <w:ind w:left="720" w:hanging="360"/>
      </w:pPr>
      <w:r>
        <w:rPr>
          <w:rFonts w:ascii="Arial" w:cs="Arial" w:eastAsia="Arial" w:hAnsi="Arial"/>
          <w:b/>
          <w:bCs/>
          <w:color w:val="0D0D0D"/>
          <w:sz w:val="22"/>
          <w:szCs w:val="22"/>
        </w:rPr>
        <w:t xml:space="preserve">The Bitcoin layer is application-agnostic:</w:t>
      </w:r>
      <w:r>
        <w:rPr>
          <w:rFonts w:ascii="Arial" w:cs="Arial" w:eastAsia="Arial" w:hAnsi="Arial"/>
          <w:color w:val="0D0D0D"/>
          <w:sz w:val="22"/>
          <w:szCs w:val="22"/>
        </w:rPr>
        <w:t xml:space="preserve"> the hash chain and inscription are identical regardless of what the event represents.</w:t>
      </w:r>
    </w:p>
    <w:p>
      <w:pPr>
        <w:pStyle w:val="ListParagraph"/>
        <w:numPr>
          <w:ilvl w:val="0"/>
          <w:numId w:val="2"/>
        </w:numPr>
        <w:spacing w:before="0" w:after="120"/>
        <w:ind w:left="720" w:hanging="360"/>
      </w:pPr>
      <w:r>
        <w:rPr>
          <w:rFonts w:ascii="Arial" w:cs="Arial" w:eastAsia="Arial" w:hAnsi="Arial"/>
          <w:b/>
          <w:bCs/>
          <w:color w:val="0D0D0D"/>
          <w:sz w:val="22"/>
          <w:szCs w:val="22"/>
        </w:rPr>
        <w:t xml:space="preserve">The Postgres layer is merchant-agnostic:</w:t>
      </w:r>
      <w:r>
        <w:rPr>
          <w:rFonts w:ascii="Arial" w:cs="Arial" w:eastAsia="Arial" w:hAnsi="Arial"/>
          <w:color w:val="0D0D0D"/>
          <w:sz w:val="22"/>
          <w:szCs w:val="22"/>
        </w:rPr>
        <w:t xml:space="preserve"> the partition strategy applies uniformly to any merchant in any vertical.</w:t>
      </w:r>
    </w:p>
    <w:p>
      <w:pPr>
        <w:pStyle w:val="ListParagraph"/>
        <w:numPr>
          <w:ilvl w:val="0"/>
          <w:numId w:val="2"/>
        </w:numPr>
        <w:spacing w:before="0" w:after="120"/>
        <w:ind w:left="720" w:hanging="360"/>
      </w:pPr>
      <w:r>
        <w:rPr>
          <w:rFonts w:ascii="Arial" w:cs="Arial" w:eastAsia="Arial" w:hAnsi="Arial"/>
          <w:b/>
          <w:bCs/>
          <w:color w:val="0D0D0D"/>
          <w:sz w:val="22"/>
          <w:szCs w:val="22"/>
        </w:rPr>
        <w:t xml:space="preserve">The presentation layer is vertical-agnostic:</w:t>
      </w:r>
      <w:r>
        <w:rPr>
          <w:rFonts w:ascii="Arial" w:cs="Arial" w:eastAsia="Arial" w:hAnsi="Arial"/>
          <w:color w:val="0D0D0D"/>
          <w:sz w:val="22"/>
          <w:szCs w:val="22"/>
        </w:rPr>
        <w:t xml:space="preserve"> vocabulary packs cover any terminology mapping without code changes.</w:t>
      </w:r>
    </w:p>
    <w:p>
      <w:pPr>
        <w:spacing w:before="0" w:after="160"/>
        <w:jc w:val="both"/>
      </w:pPr>
      <w:r>
        <w:rPr>
          <w:rFonts w:ascii="Arial" w:cs="Arial" w:eastAsia="Arial" w:hAnsi="Arial"/>
          <w:color w:val="0D0D0D"/>
          <w:sz w:val="22"/>
          <w:szCs w:val="22"/>
        </w:rPr>
        <w:t xml:space="preserve">The architecture does not need to be extended to support a new vertical. It needs to be configured. </w:t>
      </w:r>
      <w:r>
        <w:rPr>
          <w:rFonts w:ascii="Arial" w:cs="Arial" w:eastAsia="Arial" w:hAnsi="Arial"/>
          <w:color w:val="0D0D0D"/>
          <w:sz w:val="22"/>
          <w:szCs w:val="22"/>
        </w:rPr>
        <w:t xml:space="preserve">Configuration, not code. That is what “any app” means.</w:t>
      </w:r>
    </w:p>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8.  Intellectual Provenance</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following documents constitute the prior art and intellectual lineage of the unified architecture thesis. </w:t>
      </w:r>
      <w:r>
        <w:rPr>
          <w:rFonts w:ascii="Arial" w:cs="Arial" w:eastAsia="Arial" w:hAnsi="Arial"/>
          <w:color w:val="0D0D0D"/>
          <w:sz w:val="22"/>
          <w:szCs w:val="22"/>
        </w:rPr>
        <w:t xml:space="preserve">They are listed in the order in which the ideas compound, not the order in which they were produced. </w:t>
      </w:r>
      <w:r>
        <w:rPr>
          <w:rFonts w:ascii="Arial" w:cs="Arial" w:eastAsia="Arial" w:hAnsi="Arial"/>
          <w:color w:val="0D0D0D"/>
          <w:sz w:val="22"/>
          <w:szCs w:val="22"/>
        </w:rPr>
        <w:t xml:space="preserve">All documents are classified MAXIMUM CONFIDENTIAL and are stored in the GrowDirect project file system.</w:t>
      </w:r>
    </w:p>
    <w:p>
      <w:pPr>
        <w:spacing w:before="0" w:after="0"/>
      </w:pPr>
      <w:r>
        <w:rPr>
          <w:sz w:val="20"/>
          <w:szCs w:val="20"/>
        </w:rPr>
        <w:t xml:space="preserve"/>
      </w:r>
    </w:p>
    <w:p>
      <w:pPr>
        <w:pStyle w:val="Heading3"/>
        <w:spacing w:before="280" w:after="80"/>
      </w:pPr>
      <w:r>
        <w:rPr>
          <w:rFonts w:ascii="Arial" w:cs="Arial" w:eastAsia="Arial" w:hAnsi="Arial"/>
          <w:b/>
          <w:bCs/>
          <w:color w:val="2C4A6E"/>
          <w:sz w:val="22"/>
          <w:szCs w:val="22"/>
        </w:rPr>
        <w:t xml:space="preserve">Patent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9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PhD_StagedImmutability_PatentSchematic_v1.0.md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Patent</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Six-node architecture. Triple subscriber pattern. Write-once evidence store. Bilateral verification. Ordinal inscription. Key custody moat.</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PhD_StagedImmutability_VolumeAnalysis_v1.0.md</w:t>
            </w:r>
          </w:p>
        </w:tc>
        <w:tc>
          <w:tcPr>
            <w:tcW w:type="dxa" w:w="9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Patent</w:t>
            </w:r>
          </w:p>
        </w:tc>
        <w:tc>
          <w:tcPr>
            <w:tcW w:type="dxa" w:w="50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Black Friday throughput proof. Linear scaling analysis. Per-merchant chain as the isolation primitive. Queue failure mitigation.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PhD_StagedImmutability_BitcoinFrame_v1.0.md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Patent</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Bitcoin parallel: settlement finality, proof-of-work, immutable ledger, no trusted intermediary. Investor thesis framing.</w:t>
            </w:r>
          </w:p>
        </w:tc>
      </w:tr>
    </w:tbl>
    <w:p>
      <w:pPr>
        <w:spacing w:before="0" w:after="0"/>
      </w:pPr>
      <w:r>
        <w:rPr>
          <w:sz w:val="20"/>
          <w:szCs w:val="20"/>
        </w:rPr>
        <w:t xml:space="preserve"/>
      </w:r>
    </w:p>
    <w:p>
      <w:pPr>
        <w:pStyle w:val="Heading3"/>
        <w:spacing w:before="280" w:after="80"/>
      </w:pPr>
      <w:r>
        <w:rPr>
          <w:rFonts w:ascii="Arial" w:cs="Arial" w:eastAsia="Arial" w:hAnsi="Arial"/>
          <w:b/>
          <w:bCs/>
          <w:color w:val="2C4A6E"/>
          <w:sz w:val="22"/>
          <w:szCs w:val="22"/>
        </w:rPr>
        <w:t xml:space="preserve">Lineage and Founder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9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PhD_tLogToGlog_FounderCase_v1.0.md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Narrative</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The tLog failure modes. The field length incident. The human cost. The founder’s personal exposure. The gLog inversion.</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PhD_B054_Brief5_TlogToGlog_v2.0.md</w:t>
            </w:r>
          </w:p>
        </w:tc>
        <w:tc>
          <w:tcPr>
            <w:tcW w:type="dxa" w:w="9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Investor</w:t>
            </w:r>
          </w:p>
        </w:tc>
        <w:tc>
          <w:tcPr>
            <w:tcW w:type="dxa" w:w="50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IBM had the tLog. Geoffrey built the gLog. Career arc as investment thesis.</w:t>
            </w:r>
          </w:p>
        </w:tc>
      </w:tr>
    </w:tbl>
    <w:p>
      <w:pPr>
        <w:spacing w:before="0" w:after="0"/>
      </w:pPr>
      <w:r>
        <w:rPr>
          <w:sz w:val="20"/>
          <w:szCs w:val="20"/>
        </w:rPr>
        <w:t xml:space="preserve"/>
      </w:r>
    </w:p>
    <w:p>
      <w:pPr>
        <w:pStyle w:val="Heading3"/>
        <w:spacing w:before="280" w:after="80"/>
      </w:pPr>
      <w:r>
        <w:rPr>
          <w:rFonts w:ascii="Arial" w:cs="Arial" w:eastAsia="Arial" w:hAnsi="Arial"/>
          <w:b/>
          <w:bCs/>
          <w:color w:val="2C4A6E"/>
          <w:sz w:val="22"/>
          <w:szCs w:val="22"/>
        </w:rPr>
        <w:t xml:space="preserve">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9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PhD_Layer5_BlockSpaceMoat_Thesis.md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Moat</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Block space as write access. Genesis Pool. Fee window. Historical accumulation. Network effects.</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PhD_VeriSign_Analogy_InvestorBrief.md</w:t>
            </w:r>
          </w:p>
        </w:tc>
        <w:tc>
          <w:tcPr>
            <w:tcW w:type="dxa" w:w="9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Moat</w:t>
            </w:r>
          </w:p>
        </w:tc>
        <w:tc>
          <w:tcPr>
            <w:tcW w:type="dxa" w:w="50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VeriSign structural parallel. The fatal flaw (institutional trust). GrowDirect’s upgrade (proof-of-work). Revenue trajectory.</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PhD_B053_ComplianceByConstruction_Brief.md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Moat</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SHA-256 as one-way function. No PII on chain. Compliance by construction vs. compliance by policy.</w:t>
            </w:r>
          </w:p>
        </w:tc>
      </w:tr>
    </w:tbl>
    <w:p>
      <w:pPr>
        <w:spacing w:before="0" w:after="0"/>
      </w:pPr>
      <w:r>
        <w:rPr>
          <w:sz w:val="20"/>
          <w:szCs w:val="20"/>
        </w:rPr>
        <w:t xml:space="preserve"/>
      </w:r>
    </w:p>
    <w:p>
      <w:pPr>
        <w:pStyle w:val="Heading3"/>
        <w:spacing w:before="280" w:after="80"/>
      </w:pPr>
      <w:r>
        <w:rPr>
          <w:rFonts w:ascii="Arial" w:cs="Arial" w:eastAsia="Arial" w:hAnsi="Arial"/>
          <w:b/>
          <w:bCs/>
          <w:color w:val="2C4A6E"/>
          <w:sz w:val="22"/>
          <w:szCs w:val="22"/>
        </w:rPr>
        <w:t xml:space="preserve">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12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7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CRDM_v1.0.md</w:t>
            </w:r>
          </w:p>
        </w:tc>
        <w:tc>
          <w:tcPr>
            <w:tcW w:type="dxa" w:w="1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Architecture</w:t>
            </w:r>
          </w:p>
        </w:tc>
        <w:tc>
          <w:tcPr>
            <w:tcW w:type="dxa" w:w="47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Canonical data model. 22 Chirp rules. Seven data sources. 73/107 field coverage. Enterprise bones, SMB skin.</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GrowDirect_Unified_Data_Model_v1.0.md</w:t>
            </w:r>
          </w:p>
        </w:tc>
        <w:tc>
          <w:tcPr>
            <w:tcW w:type="dxa" w:w="1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Architecture</w:t>
            </w:r>
          </w:p>
        </w:tc>
        <w:tc>
          <w:tcPr>
            <w:tcW w:type="dxa" w:w="47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Three-database Postgres. GSLM patterns. Partition strategy. Monthly child tables.</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Multi_POS_Translation_Layer_Architecture_v1.0.md</w:t>
            </w:r>
          </w:p>
        </w:tc>
        <w:tc>
          <w:tcPr>
            <w:tcW w:type="dxa" w:w="12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Architecture</w:t>
            </w:r>
          </w:p>
        </w:tc>
        <w:tc>
          <w:tcPr>
            <w:tcW w:type="dxa" w:w="47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ARTS POSlog 6.0 pattern. Parser-per-source. POS-agnostic canonical schema.</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SCHEMA_QUICK_REFERENCE.md</w:t>
            </w:r>
          </w:p>
        </w:tc>
        <w:tc>
          <w:tcPr>
            <w:tcW w:type="dxa" w:w="12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Architecture</w:t>
            </w:r>
          </w:p>
        </w:tc>
        <w:tc>
          <w:tcPr>
            <w:tcW w:type="dxa" w:w="47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Three-DB overview. Indexing strategy. Data flow: transaction to case.</w:t>
            </w:r>
          </w:p>
        </w:tc>
      </w:tr>
    </w:tbl>
    <w:p>
      <w:pPr>
        <w:spacing w:before="0" w:after="0"/>
      </w:pPr>
      <w:r>
        <w:rPr>
          <w:sz w:val="20"/>
          <w:szCs w:val="20"/>
        </w:rPr>
        <w:t xml:space="preserve"/>
      </w:r>
    </w:p>
    <w:p>
      <w:pPr>
        <w:pStyle w:val="Heading3"/>
        <w:spacing w:before="280" w:after="80"/>
      </w:pPr>
      <w:r>
        <w:rPr>
          <w:rFonts w:ascii="Arial" w:cs="Arial" w:eastAsia="Arial" w:hAnsi="Arial"/>
          <w:b/>
          <w:bCs/>
          <w:color w:val="2C4A6E"/>
          <w:sz w:val="22"/>
          <w:szCs w:val="22"/>
        </w:rPr>
        <w:t xml:space="preserve">Presentation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9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ADR-PLA-001_Presentation_Layer_Architecture.md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ADR</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Four-layer stack. Token keys. Vocabulary resolution order. Bolt.diy input model. Revenue implications.</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Canary_Generic_Frontend_Blueprint_v1.0.md</w:t>
            </w:r>
          </w:p>
        </w:tc>
        <w:tc>
          <w:tcPr>
            <w:tcW w:type="dxa" w:w="9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Output</w:t>
            </w:r>
          </w:p>
        </w:tc>
        <w:tc>
          <w:tcPr>
            <w:tcW w:type="dxa" w:w="50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Functional Blueprint v1.0. Design tokens. Component patterns. Module architecture.</w:t>
            </w:r>
          </w:p>
        </w:tc>
      </w:tr>
    </w:tbl>
    <w:p>
      <w:pPr>
        <w:spacing w:before="0" w:after="0"/>
      </w:pPr>
      <w:r>
        <w:rPr>
          <w:sz w:val="20"/>
          <w:szCs w:val="20"/>
        </w:rPr>
        <w:t xml:space="preserve"/>
      </w:r>
    </w:p>
    <w:p>
      <w:pPr>
        <w:pStyle w:val="Heading3"/>
        <w:spacing w:before="280" w:after="80"/>
      </w:pPr>
      <w:r>
        <w:rPr>
          <w:rFonts w:ascii="Arial" w:cs="Arial" w:eastAsia="Arial" w:hAnsi="Arial"/>
          <w:b/>
          <w:bCs/>
          <w:color w:val="2C4A6E"/>
          <w:sz w:val="22"/>
          <w:szCs w:val="22"/>
        </w:rPr>
        <w:t xml:space="preserve">Founder Sessions (Voice and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9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Jeffe_Brainstorm_2026-02-22.md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Session</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Guided Operations Companion. “Opinionated over flexible.” SMS notifications. MVP lock.</w:t>
            </w:r>
          </w:p>
        </w:tc>
      </w:tr>
      <w:tr>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Jeffe_Grok_Sessions_2026-02-20.md</w:t>
            </w:r>
          </w:p>
        </w:tc>
        <w:tc>
          <w:tcPr>
            <w:tcW w:type="dxa" w:w="9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Session</w:t>
            </w:r>
          </w:p>
        </w:tc>
        <w:tc>
          <w:tcPr>
            <w:tcW w:type="dxa" w:w="50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Infrastructure validation. Wyoming DAO. Cloud architecture.</w:t>
            </w:r>
          </w:p>
        </w:tc>
      </w:tr>
      <w:tr>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Jeffe_Grok_Retro_Computing_2026-02-25.md</w:t>
            </w:r>
          </w:p>
        </w:tc>
        <w:tc>
          <w:tcPr>
            <w:tcW w:type="dxa" w:w="9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Session</w:t>
            </w:r>
          </w:p>
        </w:tc>
        <w:tc>
          <w:tcPr>
            <w:tcW w:type="dxa" w:w="50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Apple II discovery. TRS-80 origin. Apple ID as digital fingerprint. Ubuntu QA box.</w:t>
            </w:r>
          </w:p>
        </w:tc>
      </w:tr>
    </w:tbl>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9.  Open Decisions and Next Steps</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This document is the intellectual foundation. The following decisions are pending implementation and must be made consistently with the principles it establishes.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340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Is Being Decided</w:t>
            </w:r>
          </w:p>
        </w:tc>
        <w:tc>
          <w:tcPr>
            <w:tcW w:type="dxa" w:w="3960"/>
            <w:tcBorders>
              <w:top w:val="single" w:color="2C4A6E" w:sz="6"/>
              <w:left w:val="none" w:color="FFFFFF" w:sz="0"/>
              <w:bottom w:val="single" w:color="2C4A6E" w:sz="6"/>
              <w:right w:val="none" w:color="FFFFFF" w:sz="0"/>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 From This Document</w:t>
            </w:r>
          </w:p>
        </w:tc>
      </w:tr>
      <w:tr>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Partition key design
(Tom – B-068-A)</w:t>
            </w:r>
          </w:p>
        </w:tc>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Composite merchant × period key vs. period-only. Flexible granularity config in merchants.partition_config. DDL for E1-F6 through E1-F11 new tables.</w:t>
            </w:r>
          </w:p>
        </w:tc>
        <w:tc>
          <w:tcPr>
            <w:tcW w:type="dxa" w:w="39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The partition is the Postgres expression of the hash chain. The design must reflect merchant-first isolation, not just query performance.</w:t>
            </w:r>
          </w:p>
        </w:tc>
      </w:tr>
      <w:tr>
        <w:tc>
          <w:tcPr>
            <w:tcW w:type="dxa" w:w="2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Blueprint v2.0 tokenization
(Condor – B-068-B)</w:t>
            </w:r>
          </w:p>
        </w:tc>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Strip all display strings from Blueprint v1.0. Replace with {{token.key}} references. Produce token registry.</w:t>
            </w:r>
          </w:p>
        </w:tc>
        <w:tc>
          <w:tcPr>
            <w:tcW w:type="dxa" w:w="39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No hardcoded strings. Every token key naming convention must be consistent with CRDM field names.</w:t>
            </w:r>
          </w:p>
        </w:tc>
      </w:tr>
      <w:tr>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Locale and vocabulary files
(Condor – B-068-C)</w:t>
            </w:r>
          </w:p>
        </w:tc>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en-US.json. default_vocabulary.json. vocabulary_template.json. Vertical override examples.</w:t>
            </w:r>
          </w:p>
        </w:tc>
        <w:tc>
          <w:tcPr>
            <w:tcW w:type="dxa" w:w="39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Depends on token registry from B-068-B. Vocabulary-overridable tokens must be flagged explicitly.</w:t>
            </w:r>
          </w:p>
        </w:tc>
      </w:tr>
      <w:tr>
        <w:tc>
          <w:tcPr>
            <w:tcW w:type="dxa" w:w="20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Vocabulary schema
(Tom – B-068-D)</w:t>
            </w:r>
          </w:p>
        </w:tc>
        <w:tc>
          <w:tcPr>
            <w:tcW w:type="dxa" w:w="340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merchant_vocabulary table. Resolution function. merchants.locale and vocabulary_enabled fields.</w:t>
            </w:r>
          </w:p>
        </w:tc>
        <w:tc>
          <w:tcPr>
            <w:tcW w:type="dxa" w:w="3960"/>
            <w:tcBorders>
              <w:top w:val="single" w:color="2C4A6E" w:sz="2"/>
              <w:left w:val="none" w:color="FFFFFF" w:sz="0"/>
              <w:bottom w:val="single" w:color="2C4A6E" w:sz="2"/>
              <w:right w:val="none" w:color="FFFFFF" w:sz="0"/>
            </w:tcBorders>
            <w:shd w:fill="F7FAFD" w:val="clear"/>
            <w:tcMar>
              <w:top w:type="dxa" w:w="80"/>
              <w:left w:type="dxa" w:w="120"/>
              <w:bottom w:type="dxa" w:w="80"/>
              <w:right w:type="dxa" w:w="120"/>
            </w:tcMar>
          </w:tcPr>
          <w:p>
            <w:r>
              <w:rPr>
                <w:rFonts w:ascii="Arial" w:cs="Arial" w:eastAsia="Arial" w:hAnsi="Arial"/>
                <w:color w:val="0D0D0D"/>
                <w:sz w:val="19"/>
                <w:szCs w:val="19"/>
              </w:rPr>
              <w:t xml:space="preserve">Per-merchant rows. Same isolation layer as per-merchant partitions. Consistent with ADR resolution order.</w:t>
            </w:r>
          </w:p>
        </w:tc>
      </w:tr>
      <w:tr>
        <w:tc>
          <w:tcPr>
            <w:tcW w:type="dxa" w:w="20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White paper
(PhD – B-068-E)</w:t>
            </w:r>
          </w:p>
        </w:tc>
        <w:tc>
          <w:tcPr>
            <w:tcW w:type="dxa" w:w="340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This document. Primary source. Routes to Jeffe (approval), Syd (patent review), Tom (reads before DDL), Condor (reads before tokenization).</w:t>
            </w:r>
          </w:p>
        </w:tc>
        <w:tc>
          <w:tcPr>
            <w:tcW w:type="dxa" w:w="3960"/>
            <w:tcBorders>
              <w:top w:val="single" w:color="2C4A6E" w:sz="2"/>
              <w:left w:val="none" w:color="FFFFFF" w:sz="0"/>
              <w:bottom w:val="single" w:color="2C4A6E" w:sz="2"/>
              <w:right w:val="none" w:color="FFFFFF" w:sz="0"/>
            </w:tcBorders>
            <w:shd w:fill="FFFFFF" w:val="clear"/>
            <w:tcMar>
              <w:top w:type="dxa" w:w="80"/>
              <w:left w:type="dxa" w:w="120"/>
              <w:bottom w:type="dxa" w:w="80"/>
              <w:right w:type="dxa" w:w="120"/>
            </w:tcMar>
          </w:tcPr>
          <w:p>
            <w:r>
              <w:rPr>
                <w:rFonts w:ascii="Arial" w:cs="Arial" w:eastAsia="Arial" w:hAnsi="Arial"/>
                <w:color w:val="0D0D0D"/>
                <w:sz w:val="19"/>
                <w:szCs w:val="19"/>
              </w:rPr>
              <w:t xml:space="preserve">Must exist before implementation fragments the intellectual frame.</w:t>
            </w:r>
          </w:p>
        </w:tc>
      </w:tr>
    </w:tbl>
    <w:p>
      <w:pPr>
        <w:spacing w:before="0" w:after="0"/>
      </w:pPr>
      <w:r>
        <w:rPr>
          <w:sz w:val="40"/>
          <w:szCs w:val="40"/>
        </w:rPr>
        <w:t xml:space="preserve"/>
      </w:r>
    </w:p>
    <w:p>
      <w:pPr>
        <w:pStyle w:val="Heading1"/>
        <w:spacing w:before="480" w:after="120"/>
      </w:pPr>
      <w:r>
        <w:rPr>
          <w:rFonts w:ascii="Arial" w:cs="Arial" w:eastAsia="Arial" w:hAnsi="Arial"/>
          <w:b/>
          <w:bCs/>
          <w:color w:val="0D1B2A"/>
          <w:sz w:val="36"/>
          <w:szCs w:val="36"/>
        </w:rPr>
        <w:t xml:space="preserve">10.  Conclusion</w:t>
      </w:r>
    </w:p>
    <w:p>
      <w:pPr>
        <w:pBdr>
          <w:bottom w:val="single" w:color="B8860B" w:sz="8" w:space="1"/>
        </w:pBdr>
        <w:spacing w:before="0" w:after="0"/>
      </w:pPr>
    </w:p>
    <w:p>
      <w:pPr>
        <w:spacing w:before="0" w:after="0"/>
      </w:pPr>
      <w:r>
        <w:rPr>
          <w:sz w:val="20"/>
          <w:szCs w:val="20"/>
        </w:rPr>
        <w:t xml:space="preserve"/>
      </w:r>
    </w:p>
    <w:p>
      <w:pPr>
        <w:spacing w:before="0" w:after="160"/>
        <w:jc w:val="both"/>
      </w:pPr>
      <w:r>
        <w:rPr>
          <w:rFonts w:ascii="Arial" w:cs="Arial" w:eastAsia="Arial" w:hAnsi="Arial"/>
          <w:color w:val="0D0D0D"/>
          <w:sz w:val="22"/>
          <w:szCs w:val="22"/>
        </w:rPr>
        <w:t xml:space="preserve">The IBM 4690 tLog was the architecture of institutional trust. It failed because the institution could not be trusted. </w:t>
      </w:r>
      <w:r>
        <w:rPr>
          <w:rFonts w:ascii="Arial" w:cs="Arial" w:eastAsia="Arial" w:hAnsi="Arial"/>
          <w:color w:val="0D0D0D"/>
          <w:sz w:val="22"/>
          <w:szCs w:val="22"/>
        </w:rPr>
        <w:t xml:space="preserve">The gLog is the architecture of mathematical certainty. It does not fail for the same reason, because the same reason does not apply.</w:t>
      </w:r>
    </w:p>
    <w:p>
      <w:pPr>
        <w:spacing w:before="0" w:after="160"/>
        <w:jc w:val="both"/>
      </w:pPr>
      <w:r>
        <w:rPr>
          <w:rFonts w:ascii="Arial" w:cs="Arial" w:eastAsia="Arial" w:hAnsi="Arial"/>
          <w:color w:val="0D0D0D"/>
          <w:sz w:val="22"/>
          <w:szCs w:val="22"/>
        </w:rPr>
        <w:t xml:space="preserve">Three decisions — the per-merchant hash chain, the per-merchant partition, the per-merchant vocabulary pack — are one decision stated three times. </w:t>
      </w:r>
      <w:r>
        <w:rPr>
          <w:rFonts w:ascii="Arial" w:cs="Arial" w:eastAsia="Arial" w:hAnsi="Arial"/>
          <w:color w:val="0D0D0D"/>
          <w:sz w:val="22"/>
          <w:szCs w:val="22"/>
        </w:rPr>
        <w:t xml:space="preserve">The decision is: bound the state at the merchant boundary. Make every chain independent. Make every record self-verifying. </w:t>
      </w:r>
      <w:r>
        <w:rPr>
          <w:rFonts w:ascii="Arial" w:cs="Arial" w:eastAsia="Arial" w:hAnsi="Arial"/>
          <w:color w:val="0D0D0D"/>
          <w:sz w:val="22"/>
          <w:szCs w:val="22"/>
        </w:rPr>
        <w:t xml:space="preserve">Make every interface configurable without touching the foundation.</w:t>
      </w:r>
    </w:p>
    <w:p>
      <w:pPr>
        <w:spacing w:before="0" w:after="160"/>
        <w:jc w:val="both"/>
      </w:pPr>
      <w:r>
        <w:rPr>
          <w:rFonts w:ascii="Arial" w:cs="Arial" w:eastAsia="Arial" w:hAnsi="Arial"/>
          <w:color w:val="0D0D0D"/>
          <w:sz w:val="22"/>
          <w:szCs w:val="22"/>
        </w:rPr>
        <w:t xml:space="preserve">That decision, consistently applied at every layer of the stack, produces an architecture that is: </w:t>
      </w:r>
      <w:r>
        <w:rPr>
          <w:rFonts w:ascii="Arial" w:cs="Arial" w:eastAsia="Arial" w:hAnsi="Arial"/>
          <w:color w:val="0D0D0D"/>
          <w:sz w:val="22"/>
          <w:szCs w:val="22"/>
        </w:rPr>
        <w:t xml:space="preserve">POS-agnostic at intake. Industry-agnostic at the canonical layer. Vertically-agnostic at the presentation layer. </w:t>
      </w:r>
      <w:r>
        <w:rPr>
          <w:rFonts w:ascii="Arial" w:cs="Arial" w:eastAsia="Arial" w:hAnsi="Arial"/>
          <w:color w:val="0D0D0D"/>
          <w:sz w:val="22"/>
          <w:szCs w:val="22"/>
        </w:rPr>
        <w:t xml:space="preserve">Permanently anchored at the Bitcoin layer. Linearly scalable at every layer. Independently verifiable at every layer.</w:t>
      </w:r>
    </w:p>
    <w:p>
      <w:pPr>
        <w:spacing w:before="0" w:after="160"/>
        <w:jc w:val="both"/>
      </w:pPr>
      <w:r>
        <w:rPr>
          <w:rFonts w:ascii="Arial" w:cs="Arial" w:eastAsia="Arial" w:hAnsi="Arial"/>
          <w:color w:val="0D0D0D"/>
          <w:sz w:val="22"/>
          <w:szCs w:val="22"/>
        </w:rPr>
        <w:t xml:space="preserve">VeriSign proved that the trust layer is the most valuable position in any commercial infrastructure. </w:t>
      </w:r>
      <w:r>
        <w:rPr>
          <w:rFonts w:ascii="Arial" w:cs="Arial" w:eastAsia="Arial" w:hAnsi="Arial"/>
          <w:color w:val="0D0D0D"/>
          <w:sz w:val="22"/>
          <w:szCs w:val="22"/>
        </w:rPr>
        <w:t xml:space="preserve">GrowDirect claims that position for commercial truth and removes the flaw that made VeriSign vulnerable. </w:t>
      </w:r>
      <w:r>
        <w:rPr>
          <w:rFonts w:ascii="Arial" w:cs="Arial" w:eastAsia="Arial" w:hAnsi="Arial"/>
          <w:color w:val="0D0D0D"/>
          <w:sz w:val="22"/>
          <w:szCs w:val="22"/>
        </w:rPr>
        <w:t xml:space="preserve">The window is the current fee cycle. The blocks are already written.</w:t>
      </w:r>
    </w:p>
    <w:p>
      <w:pPr>
        <w:shd w:fill="F5E6C8" w:val="clear"/>
        <w:spacing w:before="240" w:after="240"/>
        <w:ind w:left="720" w:right="720"/>
      </w:pPr>
      <w:r>
        <w:rPr>
          <w:rFonts w:ascii="Arial" w:cs="Arial" w:eastAsia="Arial" w:hAnsi="Arial"/>
          <w:i/>
          <w:iCs/>
          <w:color w:val="1B3A5C"/>
          <w:sz w:val="24"/>
          <w:szCs w:val="24"/>
        </w:rPr>
        <w:t xml:space="preserve">The institution that owned the log could not be trusted to maintain it. So we removed the institution. The record lives on Bitcoin. Forever.</w:t>
      </w:r>
    </w:p>
    <w:p>
      <w:pPr>
        <w:spacing w:before="0" w:after="0"/>
      </w:pPr>
      <w:r>
        <w:rPr>
          <w:sz w:val="40"/>
          <w:szCs w:val="40"/>
        </w:rPr>
        <w:t xml:space="preserve"/>
      </w:r>
    </w:p>
    <w:p>
      <w:pPr>
        <w:pBdr>
          <w:bottom w:val="single" w:color="B8860B" w:sz="16" w:space="1"/>
        </w:pBdr>
        <w:spacing w:before="0" w:after="0"/>
      </w:pPr>
    </w:p>
    <w:p>
      <w:pPr>
        <w:spacing w:before="0" w:after="0"/>
      </w:pPr>
      <w:r>
        <w:rPr>
          <w:sz w:val="20"/>
          <w:szCs w:val="20"/>
        </w:rPr>
        <w:t xml:space="preserve"/>
      </w:r>
    </w:p>
    <w:p>
      <w:pPr>
        <w:spacing w:before="0" w:after="60"/>
        <w:jc w:val="center"/>
      </w:pPr>
      <w:r>
        <w:rPr>
          <w:rFonts w:ascii="Arial" w:cs="Arial" w:eastAsia="Arial" w:hAnsi="Arial"/>
          <w:color w:val="4A4A4A"/>
          <w:sz w:val="20"/>
          <w:szCs w:val="20"/>
        </w:rPr>
        <w:t xml:space="preserve">GrowDirect Research Framework</w:t>
      </w:r>
    </w:p>
    <w:p>
      <w:pPr>
        <w:spacing w:before="0" w:after="60"/>
        <w:jc w:val="center"/>
      </w:pPr>
      <w:r>
        <w:rPr>
          <w:rFonts w:ascii="Arial" w:cs="Arial" w:eastAsia="Arial" w:hAnsi="Arial"/>
          <w:i/>
          <w:iCs/>
          <w:color w:val="4A4A4A"/>
          <w:sz w:val="20"/>
          <w:szCs w:val="20"/>
        </w:rPr>
        <w:t xml:space="preserve">From tLog to gLog to Any App — The Unified Architecture Thesis</w:t>
      </w:r>
    </w:p>
    <w:p>
      <w:pPr>
        <w:spacing w:before="0" w:after="60"/>
        <w:jc w:val="center"/>
      </w:pPr>
      <w:r>
        <w:rPr>
          <w:rFonts w:ascii="Arial" w:cs="Arial" w:eastAsia="Arial" w:hAnsi="Arial"/>
          <w:color w:val="4A4A4A"/>
          <w:sz w:val="20"/>
          <w:szCs w:val="20"/>
        </w:rPr>
        <w:t xml:space="preserve">Version 1.0  ·  February 28, 2026  ·  MAXIMUM CONFIDENTIAL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4A6E" w:sz="4" w:space="6"/>
      </w:pBdr>
      <w:jc w:val="center"/>
    </w:pPr>
    <w:r>
      <w:rPr>
        <w:rFonts w:ascii="Arial" w:cs="Arial" w:eastAsia="Arial" w:hAnsi="Arial"/>
        <w:color w:val="4A4A4A"/>
        <w:sz w:val="18"/>
        <w:szCs w:val="18"/>
      </w:rPr>
      <w:t xml:space="preserve">GrowDirect · MAXIMUM CONFIDENTIAL ·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1B3A5C"/>
      <w:sz w:val="26"/>
      <w:szCs w:val="26"/>
    </w:rPr>
  </w:style>
  <w:style w:type="paragraph" w:styleId="Heading3">
    <w:name w:val="Heading 3"/>
    <w:basedOn w:val="Normal"/>
    <w:next w:val="Normal"/>
    <w:qFormat/>
    <w:pPr>
      <w:spacing w:before="280" w:after="80"/>
      <w:outlineLvl w:val="2"/>
    </w:pPr>
    <w:rPr>
      <w:rFonts w:ascii="Arial" w:cs="Arial" w:eastAsia="Arial" w:hAnsi="Arial"/>
      <w:b/>
      <w:bCs/>
      <w:color w:val="2C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2026-02-28T19:58:21.434Z</dcterms:created>
  <dcterms:modified xsi:type="dcterms:W3CDTF">2026-02-28T19:58:21.435Z</dcterms:modified>
</cp:coreProperties>
</file>

<file path=docProps/custom.xml><?xml version="1.0" encoding="utf-8"?>
<Properties xmlns="http://schemas.openxmlformats.org/officeDocument/2006/custom-properties" xmlns:vt="http://schemas.openxmlformats.org/officeDocument/2006/docPropsVTypes"/>
</file>