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F1729"/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DDD8CD"/>
          <w:spacing w:val="20"/>
          <w:sz w:val="18"/>
          <w:szCs w:val="18"/>
        </w:rPr>
        <w:t xml:space="preserve">INTERNAL BRIEF  ·  2026-05-05</w:t>
      </w:r>
    </w:p>
    <w:p>
      <w:pPr>
        <w:spacing w:after="80" w:before="160"/>
      </w:pPr>
      <w:r>
        <w:rPr>
          <w:rFonts w:ascii="Arial" w:cs="Arial" w:eastAsia="Arial" w:hAnsi="Arial"/>
          <w:color w:val="F4F1EA"/>
          <w:sz w:val="52"/>
          <w:szCs w:val="52"/>
        </w:rPr>
        <w:t xml:space="preserve">Atlas View</w:t>
      </w:r>
    </w:p>
    <w:p>
      <w:pPr>
        <w:spacing w:after="320" w:before="0"/>
      </w:pPr>
      <w:r>
        <w:rPr>
          <w:rFonts w:ascii="Arial" w:cs="Arial" w:eastAsia="Arial" w:hAnsi="Arial"/>
          <w:color w:val="DDD8CD"/>
          <w:sz w:val="44"/>
          <w:szCs w:val="44"/>
        </w:rPr>
        <w:t xml:space="preserve">Deployment Posture</w:t>
      </w:r>
    </w:p>
    <w:p>
      <w:pPr>
        <w:pBdr>
          <w:left w:val="single" w:color="F2C94C" w:sz="12" w:space="12"/>
        </w:pBdr>
        <w:spacing w:after="400" w:before="0"/>
        <w:ind w:left="240"/>
      </w:pPr>
      <w:r>
        <w:rPr>
          <w:rFonts w:ascii="Arial" w:cs="Arial" w:eastAsia="Arial" w:hAnsi="Arial"/>
          <w:i/>
          <w:iCs/>
          <w:color w:val="F4F1EA"/>
          <w:sz w:val="22"/>
          <w:szCs w:val="22"/>
        </w:rPr>
        <w:t xml:space="preserve">Three brand claims require infrastructure to be true. Without it, they are marketing copy.</w:t>
      </w:r>
    </w:p>
    <w:p>
      <w:pPr>
        <w:pBdr>
          <w:bottom w:val="single" w:color="1F2D4A" w:sz="4" w:space="1"/>
        </w:pBdr>
        <w:spacing w:after="240" w:before="24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4FC3DC"/>
          <w:spacing w:val="30"/>
          <w:sz w:val="20"/>
          <w:szCs w:val="20"/>
        </w:rPr>
        <w:t xml:space="preserve">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C3DC"/>
                <w:spacing w:val="20"/>
                <w:sz w:val="18"/>
                <w:szCs w:val="18"/>
              </w:rPr>
              <w:t xml:space="preserve">BRAND CLAIM</w:t>
            </w:r>
          </w:p>
        </w:tc>
        <w:tc>
          <w:tcPr>
            <w:tcW w:type="dxa" w:w="57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C3DC"/>
                <w:spacing w:val="20"/>
                <w:sz w:val="18"/>
                <w:szCs w:val="18"/>
              </w:rPr>
              <w:t xml:space="preserve">WHAT IT REQUIRES</w:t>
            </w:r>
          </w:p>
        </w:tc>
      </w:tr>
      <w:tr>
        <w:tc>
          <w:tcPr>
            <w:tcW w:type="dxa" w:w="36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2C94C"/>
                <w:sz w:val="18"/>
                <w:szCs w:val="18"/>
              </w:rPr>
              <w:t xml:space="preserve">"Listening Systems that keep the operating model intelligent"</w:t>
            </w:r>
          </w:p>
        </w:tc>
        <w:tc>
          <w:tcPr>
            <w:tcW w:type="dxa" w:w="57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Compute that runs continuously. A scheduler, a data store, a wire substrate. Not a spreadsheet.</w:t>
            </w:r>
          </w:p>
        </w:tc>
      </w:tr>
      <w:tr>
        <w:tc>
          <w:tcPr>
            <w:tcW w:type="dxa" w:w="36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2C94C"/>
                <w:sz w:val="18"/>
                <w:szCs w:val="18"/>
              </w:rPr>
              <w:t xml:space="preserve">"We invoice when the cost line moves"</w:t>
            </w:r>
          </w:p>
        </w:tc>
        <w:tc>
          <w:tcPr>
            <w:tcW w:type="dxa" w:w="57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A baseline captured before work starts. A diff engine comparing after. An audit trail that survives the engagement.</w:t>
            </w:r>
          </w:p>
        </w:tc>
      </w:tr>
      <w:tr>
        <w:tc>
          <w:tcPr>
            <w:tcW w:type="dxa" w:w="36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2C94C"/>
                <w:sz w:val="18"/>
                <w:szCs w:val="18"/>
              </w:rPr>
              <w:t xml:space="preserve">"We agree the baseline before any work starts"</w:t>
            </w:r>
          </w:p>
        </w:tc>
        <w:tc>
          <w:tcPr>
            <w:tcW w:type="dxa" w:w="57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A structured artifact stored, versioned, and queryable. A schema-fragment in AlloyDB, not a slide.</w:t>
            </w:r>
          </w:p>
        </w:tc>
      </w:tr>
    </w:tbl>
    <w:p>
      <w:pPr>
        <w:spacing w:after="240" w:before="160"/>
      </w:pPr>
      <w:r>
        <w:rPr>
          <w:rFonts w:ascii="Arial" w:cs="Arial" w:eastAsia="Arial" w:hAnsi="Arial"/>
          <w:color w:val="F4F1EA"/>
          <w:sz w:val="20"/>
          <w:szCs w:val="20"/>
        </w:rPr>
        <w:t xml:space="preserve">Deliver these claims manually and Ruptiv cannot scale, cannot compound, and cannot prove the outcome to a skeptical CFO.</w:t>
      </w:r>
    </w:p>
    <w:p>
      <w:pPr>
        <w:pBdr>
          <w:bottom w:val="single" w:color="1F2D4A" w:sz="4" w:space="1"/>
        </w:pBdr>
        <w:spacing w:after="240" w:before="24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4FC3DC"/>
          <w:spacing w:val="30"/>
          <w:sz w:val="20"/>
          <w:szCs w:val="20"/>
        </w:rPr>
        <w:t xml:space="preserve">DEPLOYMENT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c>
          <w:tcPr>
            <w:tcW w:type="dxa" w:w="15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C3DC"/>
                <w:spacing w:val="20"/>
                <w:sz w:val="18"/>
                <w:szCs w:val="18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C3DC"/>
                <w:spacing w:val="20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C3DC"/>
                <w:spacing w:val="20"/>
                <w:sz w:val="18"/>
                <w:szCs w:val="18"/>
              </w:rPr>
              <w:t xml:space="preserve">PROS</w:t>
            </w:r>
          </w:p>
        </w:tc>
        <w:tc>
          <w:tcPr>
            <w:tcW w:type="dxa" w:w="30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C3DC"/>
                <w:spacing w:val="20"/>
                <w:sz w:val="18"/>
                <w:szCs w:val="18"/>
              </w:rPr>
              <w:t xml:space="preserve">CONS</w:t>
            </w:r>
          </w:p>
        </w:tc>
      </w:tr>
      <w:tr>
        <w:tc>
          <w:tcPr>
            <w:tcW w:type="dxa" w:w="15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2C94C"/>
                <w:sz w:val="18"/>
                <w:szCs w:val="18"/>
              </w:rPr>
              <w:t xml:space="preserve">A — GCP Shared</w:t>
            </w:r>
          </w:p>
        </w:tc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Shared GCP project; all engagements on a single AlloyDB + Cloud Run stack</w:t>
            </w:r>
          </w:p>
        </w:tc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Cheapest to operate. Patterns index compounds. Fastest to deploy.</w:t>
            </w:r>
          </w:p>
        </w:tc>
        <w:tc>
          <w:tcPr>
            <w:tcW w:type="dxa" w:w="30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Carries the security posture. Data co-mingled (schema isolation). Procurement friction at enterprise clients.</w:t>
            </w:r>
          </w:p>
        </w:tc>
      </w:tr>
      <w:tr>
        <w:tc>
          <w:tcPr>
            <w:tcW w:type="dxa" w:w="15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2C94C"/>
                <w:sz w:val="18"/>
                <w:szCs w:val="18"/>
              </w:rPr>
              <w:t xml:space="preserve">B — Customer GCP</w:t>
            </w:r>
          </w:p>
        </w:tc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Deploy Atlas View into the client's own GCP project per engagement</w:t>
            </w:r>
          </w:p>
        </w:tc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Clean data residency. No infra costs. Enterprise-friendly.</w:t>
            </w:r>
          </w:p>
        </w:tc>
        <w:tc>
          <w:tcPr>
            <w:tcW w:type="dxa" w:w="30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Patterns index breaks. Each engagement is an island. Deployment overhead per client.</w:t>
            </w:r>
          </w:p>
        </w:tc>
      </w:tr>
      <w:tr>
        <w:tc>
          <w:tcPr>
            <w:tcW w:type="dxa" w:w="15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2C94C"/>
                <w:sz w:val="18"/>
                <w:szCs w:val="18"/>
              </w:rPr>
              <w:t xml:space="preserve">C — Workstation</w:t>
            </w:r>
          </w:p>
        </w:tc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Postgres + pgvector on MacBook Pro; no cloud</w:t>
            </w:r>
          </w:p>
        </w:tc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Zero cloud spend. Works air-gapped. Fully portable.</w:t>
            </w:r>
          </w:p>
        </w:tc>
        <w:tc>
          <w:tcPr>
            <w:tcW w:type="dxa" w:w="30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No Listening System heartbeat without laptop open. No cross-engagement index. Data requires explicit sync.</w:t>
            </w:r>
          </w:p>
        </w:tc>
      </w:tr>
    </w:tbl>
    <w:p>
      <w:pPr>
        <w:pBdr>
          <w:bottom w:val="single" w:color="1F2D4A" w:sz="4" w:space="1"/>
        </w:pBdr>
        <w:spacing w:after="240" w:before="24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4FC3DC"/>
          <w:spacing w:val="30"/>
          <w:sz w:val="20"/>
          <w:szCs w:val="20"/>
        </w:rPr>
        <w:t xml:space="preserve">DECISION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F2C94C"/>
          <w:sz w:val="22"/>
          <w:szCs w:val="22"/>
        </w:rPr>
        <w:t xml:space="preserve">Two-tier posture: shared control plane + per-engagement execution tier.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C3DC"/>
                <w:spacing w:val="20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C3DC"/>
                <w:spacing w:val="20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43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C3DC"/>
                <w:spacing w:val="20"/>
                <w:sz w:val="18"/>
                <w:szCs w:val="18"/>
              </w:rPr>
              <w:t xml:space="preserve">WHAT IT HOLDS</w:t>
            </w:r>
          </w:p>
        </w:tc>
      </w:tr>
      <w:tr>
        <w:tc>
          <w:tcPr>
            <w:tcW w:type="dxa" w:w="20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2C94C"/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30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GCP shared — always-on</w:t>
            </w:r>
          </w:p>
        </w:tc>
        <w:tc>
          <w:tcPr>
            <w:tcW w:type="dxa" w:w="43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Patterns index only. Cross-engagement synthesis. Imprint registry. No raw engagement data.</w:t>
            </w:r>
          </w:p>
        </w:tc>
      </w:tr>
      <w:tr>
        <w:tc>
          <w:tcPr>
            <w:tcW w:type="dxa" w:w="20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2C94C"/>
                <w:sz w:val="18"/>
                <w:szCs w:val="18"/>
              </w:rPr>
              <w:t xml:space="preserve">Execution Tier</w:t>
            </w:r>
          </w:p>
        </w:tc>
        <w:tc>
          <w:tcPr>
            <w:tcW w:type="dxa" w:w="30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Per-engagement: customer GCP preferred, workstation fallback</w:t>
            </w:r>
          </w:p>
        </w:tc>
        <w:tc>
          <w:tcPr>
            <w:tcW w:type="dxa" w:w="43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Fragment store. Vault. Listening System heartbeats. Transcript and schema-fragment records for that engagement.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color w:val="F4F1EA"/>
          <w:sz w:val="20"/>
          <w:szCs w:val="20"/>
        </w:rPr>
        <w:t xml:space="preserve">The Patterns index is the compounding surface. It holds abstract patterns only — no client-identifiable data.</w:t>
      </w:r>
    </w:p>
    <w:p>
      <w:pPr>
        <w:spacing w:after="120" w:before="0"/>
      </w:pPr>
      <w:r>
        <w:rPr>
          <w:rFonts w:ascii="Arial" w:cs="Arial" w:eastAsia="Arial" w:hAnsi="Arial"/>
          <w:color w:val="F4F1EA"/>
          <w:sz w:val="20"/>
          <w:szCs w:val="20"/>
        </w:rPr>
        <w:t xml:space="preserve">Raw engagement data stays in the client's perimeter. Customer GCP is the target. Workstation is acceptable for Phase 1 or air-gapped clients.</w:t>
      </w:r>
    </w:p>
    <w:p>
      <w:pPr>
        <w:pBdr>
          <w:bottom w:val="single" w:color="1F2D4A" w:sz="4" w:space="1"/>
        </w:pBdr>
        <w:spacing w:after="240" w:before="24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4FC3DC"/>
          <w:spacing w:val="30"/>
          <w:sz w:val="20"/>
          <w:szCs w:val="20"/>
        </w:rPr>
        <w:t xml:space="preserve">DEPLOYMENT FOOTPRINT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4FC3DC"/>
          <w:sz w:val="20"/>
          <w:szCs w:val="20"/>
        </w:rPr>
        <w:t xml:space="preserve">Control Plane — always running: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F4F1EA"/>
          <w:sz w:val="20"/>
          <w:szCs w:val="20"/>
        </w:rPr>
        <w:t xml:space="preserve">AlloyDB Serverless (non-prod) → ~$30-50/month while no active synthesizer jobs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F4F1EA"/>
          <w:sz w:val="20"/>
          <w:szCs w:val="20"/>
        </w:rPr>
        <w:t xml:space="preserve">Cloud Run (Synthesizer imprint) → zero when idle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F4F1EA"/>
          <w:sz w:val="20"/>
          <w:szCs w:val="20"/>
        </w:rPr>
        <w:t xml:space="preserve">Pub/Sub (pattern event bus) → negligible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b/>
          <w:bCs/>
          <w:color w:val="F2C94C"/>
          <w:sz w:val="20"/>
          <w:szCs w:val="20"/>
        </w:rPr>
        <w:t xml:space="preserve">Total holding cost: ~$50/month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FC3DC"/>
          <w:sz w:val="20"/>
          <w:szCs w:val="20"/>
        </w:rPr>
        <w:t xml:space="preserve">Per-Engagement Execution — deployed at engagement start: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F4F1EA"/>
          <w:sz w:val="20"/>
          <w:szCs w:val="20"/>
        </w:rPr>
        <w:t xml:space="preserve">Option 1: Customer's GCP project — deploy AlloyDB + Cloud Run + Scheduler; client pays the bill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F4F1EA"/>
          <w:sz w:val="20"/>
          <w:szCs w:val="20"/>
        </w:rPr>
        <w:t xml:space="preserve">Option 2: MacBook Pro running Postgres + pgvector (Docker) — zero cloud cost; works anywhere</w:t>
      </w:r>
    </w:p>
    <w:p>
      <w:pPr>
        <w:pStyle w:val="ListParagraph"/>
        <w:numPr>
          <w:ilvl w:val="0"/>
          <w:numId w:val="2"/>
        </w:numPr>
        <w:spacing w:after="160" w:before="0"/>
      </w:pPr>
      <w:r>
        <w:rPr>
          <w:rFonts w:ascii="Arial" w:cs="Arial" w:eastAsia="Arial" w:hAnsi="Arial"/>
          <w:color w:val="F4F1EA"/>
          <w:sz w:val="20"/>
          <w:szCs w:val="20"/>
        </w:rPr>
        <w:t xml:space="preserve">Engagement teardown: fragment store exported to cold archive, workstation wiped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4FC3DC"/>
          <w:sz w:val="20"/>
          <w:szCs w:val="20"/>
        </w:rPr>
        <w:t xml:space="preserve">Travel kit (Option 2):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F4F1EA"/>
          <w:sz w:val="20"/>
          <w:szCs w:val="20"/>
        </w:rPr>
        <w:t xml:space="preserve">MacBook Pro M-series, 32GB RAM minimum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F4F1EA"/>
          <w:sz w:val="20"/>
          <w:szCs w:val="20"/>
        </w:rPr>
        <w:t xml:space="preserve">Docker: postgres:17-pgvector, cloud-run-emulator, ollama</w:t>
      </w:r>
    </w:p>
    <w:p>
      <w:pPr>
        <w:pStyle w:val="ListParagraph"/>
        <w:numPr>
          <w:ilvl w:val="0"/>
          <w:numId w:val="2"/>
        </w:numPr>
        <w:spacing w:after="240" w:before="0"/>
      </w:pPr>
      <w:r>
        <w:rPr>
          <w:rFonts w:ascii="Courier New" w:cs="Courier New" w:eastAsia="Courier New" w:hAnsi="Courier New"/>
          <w:color w:val="F4F1EA"/>
          <w:sz w:val="20"/>
          <w:szCs w:val="20"/>
        </w:rPr>
        <w:t xml:space="preserve">One-command bootstrap: make engagement-init SLUG=clientname-2026-Q2</w:t>
      </w:r>
    </w:p>
    <w:p>
      <w:pPr>
        <w:pBdr>
          <w:bottom w:val="single" w:color="1F2D4A" w:sz="4" w:space="1"/>
        </w:pBdr>
        <w:spacing w:after="240" w:before="24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4FC3DC"/>
          <w:spacing w:val="30"/>
          <w:sz w:val="20"/>
          <w:szCs w:val="20"/>
        </w:rPr>
        <w:t xml:space="preserve">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C3DC"/>
                <w:spacing w:val="20"/>
                <w:sz w:val="18"/>
                <w:szCs w:val="18"/>
              </w:rPr>
              <w:t xml:space="preserve">LAYER</w:t>
            </w:r>
          </w:p>
        </w:tc>
        <w:tc>
          <w:tcPr>
            <w:tcW w:type="dxa" w:w="37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C3DC"/>
                <w:spacing w:val="20"/>
                <w:sz w:val="18"/>
                <w:szCs w:val="18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4FC3DC"/>
                <w:spacing w:val="20"/>
                <w:sz w:val="18"/>
                <w:szCs w:val="18"/>
              </w:rPr>
              <w:t xml:space="preserve">WHERE IT LIVES</w:t>
            </w:r>
          </w:p>
        </w:tc>
      </w:tr>
      <w:tr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2C94C"/>
                <w:sz w:val="18"/>
                <w:szCs w:val="18"/>
              </w:rPr>
              <w:t xml:space="preserve">Atlas View substrate</w:t>
            </w:r>
          </w:p>
        </w:tc>
        <w:tc>
          <w:tcPr>
            <w:tcW w:type="dxa" w:w="37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AlloyDB schema, Cloud Run services, imprint format</w:t>
            </w:r>
          </w:p>
        </w:tc>
        <w:tc>
          <w:tcPr>
            <w:tcW w:type="dxa" w:w="32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GCP control plane</w:t>
            </w:r>
          </w:p>
        </w:tc>
      </w:tr>
      <w:tr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2C94C"/>
                <w:sz w:val="18"/>
                <w:szCs w:val="18"/>
              </w:rPr>
              <w:t xml:space="preserve">Patterns index</w:t>
            </w:r>
          </w:p>
        </w:tc>
        <w:tc>
          <w:tcPr>
            <w:tcW w:type="dxa" w:w="37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Cross-engagement synthesis. The compounding surface.</w:t>
            </w:r>
          </w:p>
        </w:tc>
        <w:tc>
          <w:tcPr>
            <w:tcW w:type="dxa" w:w="32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GCP control plane — persistent</w:t>
            </w:r>
          </w:p>
        </w:tc>
      </w:tr>
      <w:tr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2C94C"/>
                <w:sz w:val="18"/>
                <w:szCs w:val="18"/>
              </w:rPr>
              <w:t xml:space="preserve">Engagement execution</w:t>
            </w:r>
          </w:p>
        </w:tc>
        <w:tc>
          <w:tcPr>
            <w:tcW w:type="dxa" w:w="37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Fragment store, vault, Listening System heartbeats</w:t>
            </w:r>
          </w:p>
        </w:tc>
        <w:tc>
          <w:tcPr>
            <w:tcW w:type="dxa" w:w="32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Client perimeter — per engagement</w:t>
            </w:r>
          </w:p>
        </w:tc>
      </w:tr>
      <w:tr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2C94C"/>
                <w:sz w:val="18"/>
                <w:szCs w:val="18"/>
              </w:rPr>
              <w:t xml:space="preserve">Method layer</w:t>
            </w:r>
          </w:p>
        </w:tc>
        <w:tc>
          <w:tcPr>
            <w:tcW w:type="dxa" w:w="37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Five-D System, Sparring Partner definitions, Listening System logic</w:t>
            </w:r>
          </w:p>
        </w:tc>
        <w:tc>
          <w:tcPr>
            <w:tcW w:type="dxa" w:w="32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Delivered as imprints at engagement start</w:t>
            </w:r>
          </w:p>
        </w:tc>
      </w:tr>
      <w:tr>
        <w:tc>
          <w:tcPr>
            <w:tcW w:type="dxa" w:w="24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1F2D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2C94C"/>
                <w:sz w:val="18"/>
                <w:szCs w:val="18"/>
              </w:rPr>
              <w:t xml:space="preserve">Brand surface</w:t>
            </w:r>
          </w:p>
        </w:tc>
        <w:tc>
          <w:tcPr>
            <w:tcW w:type="dxa" w:w="376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Atlas View UI, Sparring Partner cards</w:t>
            </w:r>
          </w:p>
        </w:tc>
        <w:tc>
          <w:tcPr>
            <w:tcW w:type="dxa" w:w="3200"/>
            <w:tcBorders>
              <w:top w:val="single" w:color="1F2D4A" w:sz="1"/>
              <w:left w:val="single" w:color="1F2D4A" w:sz="1"/>
              <w:bottom w:val="single" w:color="1F2D4A" w:sz="1"/>
              <w:right w:val="single" w:color="1F2D4A" w:sz="1"/>
            </w:tcBorders>
            <w:shd w:fill="0F17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4F1EA"/>
                <w:sz w:val="18"/>
                <w:szCs w:val="18"/>
              </w:rPr>
              <w:t xml:space="preserve">Deep Ink ground. Signal Yellow active nodes.</w:t>
            </w:r>
          </w:p>
        </w:tc>
      </w:tr>
    </w:tbl>
    <w:p>
      <w:pPr>
        <w:pBdr>
          <w:bottom w:val="single" w:color="1F2D4A" w:sz="4" w:space="1"/>
        </w:pBdr>
        <w:spacing w:after="240" w:before="24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4FC3DC"/>
          <w:spacing w:val="30"/>
          <w:sz w:val="20"/>
          <w:szCs w:val="20"/>
        </w:rPr>
        <w:t xml:space="preserve">DECISION GATE</w:t>
      </w:r>
    </w:p>
    <w:p>
      <w:pPr>
        <w:spacing w:after="160" w:before="0"/>
      </w:pPr>
      <w:r>
        <w:rPr>
          <w:rFonts w:ascii="Arial" w:cs="Arial" w:eastAsia="Arial" w:hAnsi="Arial"/>
          <w:color w:val="F4F1EA"/>
          <w:sz w:val="20"/>
          <w:szCs w:val="20"/>
        </w:rPr>
        <w:t xml:space="preserve">Two questions at engagement start. No other decisions required.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b/>
          <w:bCs/>
          <w:color w:val="F4F1EA"/>
          <w:sz w:val="20"/>
          <w:szCs w:val="20"/>
        </w:rPr>
        <w:t xml:space="preserve">Is the client GCP-capable? </w:t>
      </w:r>
      <w:r>
        <w:rPr>
          <w:rFonts w:ascii="Arial" w:cs="Arial" w:eastAsia="Arial" w:hAnsi="Arial"/>
          <w:color w:val="F4F1EA"/>
          <w:sz w:val="20"/>
          <w:szCs w:val="20"/>
        </w:rPr>
        <w:t xml:space="preserve">Yes: deploy into their project.  No: workstation tier.</w:t>
      </w:r>
    </w:p>
    <w:p>
      <w:pPr>
        <w:pStyle w:val="ListParagraph"/>
        <w:numPr>
          <w:ilvl w:val="0"/>
          <w:numId w:val="3"/>
        </w:numPr>
        <w:spacing w:after="320" w:before="0"/>
      </w:pPr>
      <w:r>
        <w:rPr>
          <w:rFonts w:ascii="Arial" w:cs="Arial" w:eastAsia="Arial" w:hAnsi="Arial"/>
          <w:b/>
          <w:bCs/>
          <w:color w:val="F4F1EA"/>
          <w:sz w:val="20"/>
          <w:szCs w:val="20"/>
        </w:rPr>
        <w:t xml:space="preserve">Is the client air-gapped or high-security? </w:t>
      </w:r>
      <w:r>
        <w:rPr>
          <w:rFonts w:ascii="Arial" w:cs="Arial" w:eastAsia="Arial" w:hAnsi="Arial"/>
          <w:color w:val="F4F1EA"/>
          <w:sz w:val="20"/>
          <w:szCs w:val="20"/>
        </w:rPr>
        <w:t xml:space="preserve">Yes: workstation only, no control plane sync.  No: sync pattern abstractions to control plane after engagement closes.</w:t>
      </w:r>
    </w:p>
    <w:p>
      <w:pPr>
        <w:spacing w:after="0" w:before="480"/>
        <w:jc w:val="right"/>
      </w:pPr>
      <w:r>
        <w:rPr>
          <w:rFonts w:ascii="Arial" w:cs="Arial" w:eastAsia="Arial" w:hAnsi="Arial"/>
          <w:i/>
          <w:iCs/>
          <w:color w:val="F2C94C"/>
          <w:sz w:val="22"/>
          <w:szCs w:val="22"/>
        </w:rPr>
        <w:t xml:space="preserve">Workflows, reinvented.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  <w:rPr>
        <w:rFonts w:ascii="Arial" w:cs="Arial" w:eastAsia="Arial" w:hAnsi="Arial"/>
        <w:color w:val="4FC3D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b/>
        <w:bCs/>
        <w:color w:val="4FC3D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2026-05-05T11:53:09.618Z</dcterms:created>
  <dcterms:modified xsi:type="dcterms:W3CDTF">2026-05-05T11:53:09.619Z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