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4B"/>
          <w:sz w:val="56"/>
          <w:szCs w:val="56"/>
        </w:rPr>
        <w:t xml:space="preserve">OWL SEARCH</w:t>
      </w:r>
    </w:p>
    <w:p>
      <w:pPr>
        <w:spacing w:after="100"/>
        <w:jc w:val="center"/>
      </w:pPr>
      <w:r>
        <w:rPr>
          <w:rFonts w:ascii="Arial" w:cs="Arial" w:eastAsia="Arial" w:hAnsi="Arial"/>
          <w:color w:val="2E75B6"/>
          <w:sz w:val="32"/>
          <w:szCs w:val="32"/>
        </w:rPr>
        <w:t xml:space="preserve">Natural Language to Structured Query Engine</w:t>
      </w:r>
    </w:p>
    <w:p>
      <w:pPr>
        <w:spacing w:after="400"/>
        <w:jc w:val="center"/>
      </w:pPr>
      <w:r>
        <w:rPr>
          <w:rFonts w:ascii="Arial" w:cs="Arial" w:eastAsia="Arial" w:hAnsi="Arial"/>
          <w:color w:val="666666"/>
          <w:sz w:val="24"/>
          <w:szCs w:val="24"/>
        </w:rPr>
        <w:t xml:space="preserve">Product Requirements Document v1.0</w:t>
      </w:r>
    </w:p>
    <w:p>
      <w:pPr>
        <w:spacing w:after="80"/>
        <w:jc w:val="center"/>
      </w:pPr>
      <w:r>
        <w:rPr>
          <w:rFonts w:ascii="Arial" w:cs="Arial" w:eastAsia="Arial" w:hAnsi="Arial"/>
          <w:color w:val="333333"/>
          <w:sz w:val="22"/>
          <w:szCs w:val="22"/>
        </w:rPr>
        <w:t xml:space="preserve">Canary LP | GrowDirect Inc.</w:t>
      </w:r>
    </w:p>
    <w:p>
      <w:pPr>
        <w:spacing w:after="80"/>
        <w:jc w:val="center"/>
      </w:pPr>
      <w:r>
        <w:rPr>
          <w:rFonts w:ascii="Arial" w:cs="Arial" w:eastAsia="Arial" w:hAnsi="Arial"/>
          <w:color w:val="666666"/>
          <w:sz w:val="22"/>
          <w:szCs w:val="22"/>
        </w:rPr>
        <w:t xml:space="preserve">March 6, 2026</w:t>
      </w:r>
    </w:p>
    <w:p>
      <w:pPr>
        <w:spacing w:after="600"/>
        <w:jc w:val="center"/>
      </w:pPr>
      <w:r>
        <w:rPr>
          <w:rFonts w:ascii="Arial" w:cs="Arial" w:eastAsia="Arial" w:hAnsi="Arial"/>
          <w:b/>
          <w:bCs/>
          <w:color w:val="CC0000"/>
          <w:sz w:val="20"/>
          <w:szCs w:val="20"/>
        </w:rPr>
        <w:t xml:space="preserve">Classification: Internal — Confidential</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ALX (COO)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Contributors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Tom (Architect), Jeremy (Quant), Eva (PM)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Linear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GRO-137</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 Pending Review</w:t>
            </w:r>
          </w:p>
        </w:tc>
      </w:tr>
    </w:tbl>
    <w:p>
      <w:r>
        <w:br w:type="page"/>
      </w:r>
    </w:p>
    <w:p>
      <w:pPr>
        <w:pStyle w:val="Heading1"/>
        <w:spacing w:after="200" w:before="360"/>
      </w:pPr>
      <w:r>
        <w:rPr>
          <w:rFonts w:ascii="Arial" w:cs="Arial" w:eastAsia="Arial" w:hAnsi="Arial"/>
          <w:b/>
          <w:bCs/>
          <w:color w:val="1B3A4B"/>
          <w:sz w:val="32"/>
          <w:szCs w:val="32"/>
        </w:rPr>
        <w:t xml:space="preserve">1. Executive Summary</w:t>
      </w:r>
    </w:p>
    <w:p>
      <w:pPr>
        <w:spacing w:after="120"/>
      </w:pPr>
      <w:r>
        <w:rPr>
          <w:rFonts w:ascii="Arial" w:cs="Arial" w:eastAsia="Arial" w:hAnsi="Arial"/>
          <w:sz w:val="22"/>
          <w:szCs w:val="22"/>
        </w:rPr>
        <w:t xml:space="preserve">Owl Search is a new MCP tool that lets Square merchants query their transaction data using plain English. The merchant types a question like “show me all refunds over $50 by Maria this week” and Owl translates it into a structured, typed, operator-aware database query — then returns results in the same closed-loop envelope format as every other Owl response.</w:t>
      </w:r>
    </w:p>
    <w:p>
      <w:pPr>
        <w:spacing w:after="120"/>
      </w:pPr>
      <w:r>
        <w:rPr>
          <w:rFonts w:ascii="Arial" w:cs="Arial" w:eastAsia="Arial" w:hAnsi="Arial"/>
          <w:sz w:val="22"/>
          <w:szCs w:val="22"/>
        </w:rPr>
        <w:t xml:space="preserve">The module converts natural language questions into parameterized PostgreSQL queries using a 5-stage pipeline: Parse (LLM) → Validate → Build → Execute → Format. Only stage 1 uses the LLM — stages 2 through 5 are fully deterministic. The system enforces mandatory tenant scoping, typed operator vocabularies, and relationship-aware joins across three Canary databases.</w:t>
      </w:r>
    </w:p>
    <w:p>
      <w:pPr>
        <w:spacing w:after="120"/>
      </w:pPr>
      <w:r>
        <w:rPr>
          <w:rFonts w:ascii="Arial" w:cs="Arial" w:eastAsia="Arial" w:hAnsi="Arial"/>
          <w:sz w:val="22"/>
          <w:szCs w:val="22"/>
        </w:rPr>
        <w:t xml:space="preserve">The key insight: the LLM’s job is narrow. It parses natural language into a structured intent object that maps to the field registry. From there, everything is typed, validated, parameterized, and scoped. The merchant gets conversational access to their data without any SQL exposure or injection surface.</w:t>
      </w:r>
    </w:p>
    <w:p>
      <w:r>
        <w:br w:type="page"/>
      </w:r>
    </w:p>
    <w:p>
      <w:pPr>
        <w:pStyle w:val="Heading1"/>
        <w:spacing w:after="200" w:before="360"/>
      </w:pPr>
      <w:r>
        <w:rPr>
          <w:rFonts w:ascii="Arial" w:cs="Arial" w:eastAsia="Arial" w:hAnsi="Arial"/>
          <w:b/>
          <w:bCs/>
          <w:color w:val="1B3A4B"/>
          <w:sz w:val="32"/>
          <w:szCs w:val="32"/>
        </w:rPr>
        <w:t xml:space="preserve">2. Architecture</w:t>
      </w:r>
    </w:p>
    <w:p>
      <w:pPr>
        <w:pStyle w:val="Heading2"/>
        <w:spacing w:after="160" w:before="280"/>
      </w:pPr>
      <w:r>
        <w:rPr>
          <w:rFonts w:ascii="Arial" w:cs="Arial" w:eastAsia="Arial" w:hAnsi="Arial"/>
          <w:b/>
          <w:bCs/>
          <w:color w:val="2E75B6"/>
          <w:sz w:val="28"/>
          <w:szCs w:val="28"/>
        </w:rPr>
        <w:t xml:space="preserve">2.1 System Flow</w:t>
      </w:r>
    </w:p>
    <w:p>
      <w:pPr>
        <w:spacing w:after="120"/>
      </w:pPr>
      <w:r>
        <w:rPr>
          <w:rFonts w:ascii="Arial" w:cs="Arial" w:eastAsia="Arial" w:hAnsi="Arial"/>
          <w:sz w:val="22"/>
          <w:szCs w:val="22"/>
        </w:rPr>
        <w:t xml:space="preserve">The search flow has five stages, each with a clear input/output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1680"/>
        <w:gridCol w:w="1680"/>
      </w:tblGrid>
      <w:tr>
        <w:tc>
          <w:tcPr>
            <w:tcW w:type="dxa" w:w="1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6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Uses LLM?</w:t>
            </w:r>
          </w:p>
        </w:tc>
        <w:tc>
          <w:tcPr>
            <w:tcW w:type="dxa" w:w="16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Module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Parse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language query + merchant context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StructuredIntent: fields, operators, values, domain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intent.py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Validate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StructuredIntent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Validated intent: type-checked, operator-verified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validator.py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Build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Validated intent + merchant_id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Parameterized SQL + bind params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builder.py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Execute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 params + merchant_id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 set (rows, columns, types)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executor.py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Format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 set + personality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Closed-loop Owl envelope (alert_set/memo/number)</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facade.py</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Critical design principle: </w:t>
      </w:r>
      <w:r>
        <w:rPr>
          <w:rFonts w:ascii="Arial" w:cs="Arial" w:eastAsia="Arial" w:hAnsi="Arial"/>
          <w:sz w:val="22"/>
          <w:szCs w:val="22"/>
        </w:rPr>
        <w:t xml:space="preserve">Only Stage 1 uses the LLM. Stages 2–5 are fully deterministic. If the Owl (Ollama) is down, the search tool returns a structured error suggesting the merchant use the filter UI instead. We never generate SQL from raw LLM output — the LLM produces a structured intent object, which is validated against the field registry before any SQL is built.</w:t>
      </w:r>
    </w:p>
    <w:p>
      <w:pPr>
        <w:pStyle w:val="Heading2"/>
        <w:spacing w:after="160" w:before="280"/>
      </w:pPr>
      <w:r>
        <w:rPr>
          <w:rFonts w:ascii="Arial" w:cs="Arial" w:eastAsia="Arial" w:hAnsi="Arial"/>
          <w:b/>
          <w:bCs/>
          <w:color w:val="2E75B6"/>
          <w:sz w:val="28"/>
          <w:szCs w:val="28"/>
        </w:rPr>
        <w:t xml:space="preserve">2.2 The Field Registry</w:t>
      </w:r>
    </w:p>
    <w:p>
      <w:pPr>
        <w:spacing w:after="120"/>
      </w:pPr>
      <w:r>
        <w:rPr>
          <w:rFonts w:ascii="Arial" w:cs="Arial" w:eastAsia="Arial" w:hAnsi="Arial"/>
          <w:sz w:val="22"/>
          <w:szCs w:val="22"/>
        </w:rPr>
        <w:t xml:space="preserve">The field registry is the heart of Owl Search. It’s a static catalog of every searchable CRDM field across three databases, with type families, valid operators, and natural language aliases that let the LLM map merchant questions to database columns.</w:t>
      </w:r>
    </w:p>
    <w:p>
      <w:pPr>
        <w:pStyle w:val="Heading3"/>
        <w:spacing w:after="120" w:before="200"/>
      </w:pPr>
      <w:r>
        <w:rPr>
          <w:rFonts w:ascii="Arial" w:cs="Arial" w:eastAsia="Arial" w:hAnsi="Arial"/>
          <w:b/>
          <w:bCs/>
          <w:color w:val="3D8B37"/>
          <w:sz w:val="24"/>
          <w:szCs w:val="24"/>
        </w:rPr>
        <w:t xml:space="preserve">2.2.1 Registry Entry Schema</w:t>
      </w:r>
    </w:p>
    <w:p>
      <w:pPr>
        <w:spacing w:after="120"/>
      </w:pPr>
      <w:r>
        <w:rPr>
          <w:rFonts w:ascii="Arial" w:cs="Arial" w:eastAsia="Arial" w:hAnsi="Arial"/>
          <w:sz w:val="22"/>
          <w:szCs w:val="22"/>
        </w:rPr>
        <w:t xml:space="preserve">Each searchable field has this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search_key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identifier: {table}.{column}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Human-readable name shown to merchant (e.g. “Refund Amount”)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column_name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Actual PostgreSQL column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table_name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table (e.g. transactions)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type_family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of: text, numeric, datetime, boolean, guid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database this field belongs to (app, sales, metrics)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operators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 operators for this field (from type_family mapping)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aliases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language aliases the LLM can resolve (e.g. “refund amount”, “total”)</w:t>
            </w:r>
          </w:p>
        </w:tc>
      </w:tr>
    </w:tbl>
    <w:p>
      <w:pPr>
        <w:pStyle w:val="Heading3"/>
        <w:spacing w:after="120" w:before="200"/>
      </w:pPr>
      <w:r>
        <w:rPr>
          <w:rFonts w:ascii="Arial" w:cs="Arial" w:eastAsia="Arial" w:hAnsi="Arial"/>
          <w:b/>
          <w:bCs/>
          <w:color w:val="3D8B37"/>
          <w:sz w:val="24"/>
          <w:szCs w:val="24"/>
        </w:rPr>
        <w:t xml:space="preserve">2.2.2 Type-to-Operator Mapping</w:t>
      </w:r>
    </w:p>
    <w:p>
      <w:pPr>
        <w:spacing w:after="120"/>
      </w:pPr>
      <w:r>
        <w:rPr>
          <w:rFonts w:ascii="Arial" w:cs="Arial" w:eastAsia="Arial" w:hAnsi="Arial"/>
          <w:sz w:val="22"/>
          <w:szCs w:val="22"/>
        </w:rPr>
        <w:t xml:space="preserve">Each type family maps to a specific set of valid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Type Family</w:t>
            </w:r>
          </w:p>
        </w:tc>
        <w:tc>
          <w:tcPr>
            <w:tcW w:type="dxa" w:w="7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Operators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equal, not_equal, contains, not_contains, starts_with, ends_with, is_null, is_not_null, in_list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numeric</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equal, not_equal, greater_than, greater_equal, less_than, less_equal, between, is_null, is_not_null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equal, not_equal, greater_than, greater_equal, less_than, less_equal, between, is_null, is_not_null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equal, is_null, is_not_null, is_true, is_false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equal, not_equal, is_null, is_not_null</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22 total operators </w:t>
      </w:r>
      <w:r>
        <w:rPr>
          <w:rFonts w:ascii="Arial" w:cs="Arial" w:eastAsia="Arial" w:hAnsi="Arial"/>
          <w:sz w:val="22"/>
          <w:szCs w:val="22"/>
        </w:rPr>
        <w:t xml:space="preserve">across 5 type families. Each operator knows its SQL template, how many bind parameters it needs, and which type families it supports. The LLM is given the operator vocabulary in its system prompt so it can only select valid operators for each field.</w:t>
      </w:r>
    </w:p>
    <w:p>
      <w:r>
        <w:br w:type="page"/>
      </w:r>
    </w:p>
    <w:p>
      <w:pPr>
        <w:pStyle w:val="Heading1"/>
        <w:spacing w:after="200" w:before="360"/>
      </w:pPr>
      <w:r>
        <w:rPr>
          <w:rFonts w:ascii="Arial" w:cs="Arial" w:eastAsia="Arial" w:hAnsi="Arial"/>
          <w:b/>
          <w:bCs/>
          <w:color w:val="1B3A4B"/>
          <w:sz w:val="32"/>
          <w:szCs w:val="32"/>
        </w:rPr>
        <w:t xml:space="preserve">3. Implementation</w:t>
      </w:r>
    </w:p>
    <w:p>
      <w:pPr>
        <w:pStyle w:val="Heading2"/>
        <w:spacing w:after="160" w:before="280"/>
      </w:pPr>
      <w:r>
        <w:rPr>
          <w:rFonts w:ascii="Arial" w:cs="Arial" w:eastAsia="Arial" w:hAnsi="Arial"/>
          <w:b/>
          <w:bCs/>
          <w:color w:val="2E75B6"/>
          <w:sz w:val="28"/>
          <w:szCs w:val="28"/>
        </w:rPr>
        <w:t xml:space="preserve">3.1 New Files</w:t>
      </w:r>
    </w:p>
    <w:p>
      <w:pPr>
        <w:spacing w:after="120"/>
      </w:pPr>
      <w:r>
        <w:rPr>
          <w:rFonts w:ascii="Arial" w:cs="Arial" w:eastAsia="Arial" w:hAnsi="Arial"/>
          <w:sz w:val="22"/>
          <w:szCs w:val="22"/>
        </w:rPr>
        <w:t xml:space="preserve">All new code lives under canary/services/owl/search/: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__init__.py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 init, exports public API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registry.py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CRDM field catalog. 50+ searchable fields across 11 tables, 60+ natural language aliases. Three-database coverage (app, sales, metrics).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operators.py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 typed search operators with parameterized SQL templates. Each operator defines its SQL fragment, bind parameter count, type family support, and value validation.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intent.py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intent parser. Takes natural language + field registry context, returns StructuredIntent via Ollama. This is the only LLM-dependent module.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validator.py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Validates StructuredIntent against field registry. Checks field existence, operator-type compatibility, value types, table validity, and limit ranges.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builder.py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Builds parameterized PostgreSQL from validated intent. Handles cross-table JOINs, mandatory merchant_id scoping, aggregations, GROUP BY, ORDER BY, and LIMIT.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executor.py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Executes parameterized SQL via SQLAlchemy. Enforces 5-second statement timeout, sets RLS merchant context, returns typed result set.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facade.py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entry point (owl_search). Orchestrates the 5-stage pipeline and formats results into closed-loop Owl envelopes.</w:t>
            </w:r>
          </w:p>
        </w:tc>
      </w:tr>
    </w:tbl>
    <w:p>
      <w:pPr>
        <w:pStyle w:val="Heading2"/>
        <w:spacing w:after="160" w:before="280"/>
      </w:pPr>
      <w:r>
        <w:rPr>
          <w:rFonts w:ascii="Arial" w:cs="Arial" w:eastAsia="Arial" w:hAnsi="Arial"/>
          <w:b/>
          <w:bCs/>
          <w:color w:val="2E75B6"/>
          <w:sz w:val="28"/>
          <w:szCs w:val="28"/>
        </w:rPr>
        <w:t xml:space="preserve">3.2 Modified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canary/services/owl/tools.py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new “search” MCP tool with _handle_search() pointing to owl_search facade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canary/services/owl/router.py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search intent keywords to personality routing (Jim for LP queries, PhD for metric queries)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canary/blueprints/owl_api.py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change — tools.py registration auto-exposes via /owl/tools</w:t>
            </w:r>
          </w:p>
        </w:tc>
      </w:tr>
    </w:tbl>
    <w:p>
      <w:pPr>
        <w:pStyle w:val="Heading2"/>
        <w:spacing w:after="160" w:before="280"/>
      </w:pPr>
      <w:r>
        <w:rPr>
          <w:rFonts w:ascii="Arial" w:cs="Arial" w:eastAsia="Arial" w:hAnsi="Arial"/>
          <w:b/>
          <w:bCs/>
          <w:color w:val="2E75B6"/>
          <w:sz w:val="28"/>
          <w:szCs w:val="28"/>
        </w:rPr>
        <w:t xml:space="preserve">3.3 Security Model</w:t>
      </w:r>
    </w:p>
    <w:p>
      <w:pPr>
        <w:spacing w:after="120"/>
      </w:pPr>
      <w:r>
        <w:rPr>
          <w:rFonts w:ascii="Arial" w:cs="Arial" w:eastAsia="Arial" w:hAnsi="Arial"/>
          <w:sz w:val="22"/>
          <w:szCs w:val="22"/>
        </w:rPr>
        <w:t xml:space="preserve">Three layers of protection,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Mandatory Scoping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query automatically includes WHERE merchant_id = :merchant_id. Injected by the builder. Cannot be overridden by LLM output or user input.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Parameterized SQL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user values are bind parameters (:name style). No string interpolation. No SQL injection surface.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Timeout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5-second execution limit via SET LOCAL statement_timeout. If the query takes longer, PostgreSQL kills it. Prevents runaway full-table scans.</w:t>
            </w:r>
          </w:p>
        </w:tc>
      </w:tr>
    </w:tbl>
    <w:p>
      <w:r>
        <w:br w:type="page"/>
      </w:r>
    </w:p>
    <w:p>
      <w:pPr>
        <w:pStyle w:val="Heading1"/>
        <w:spacing w:after="200" w:before="360"/>
      </w:pPr>
      <w:r>
        <w:rPr>
          <w:rFonts w:ascii="Arial" w:cs="Arial" w:eastAsia="Arial" w:hAnsi="Arial"/>
          <w:b/>
          <w:bCs/>
          <w:color w:val="1B3A4B"/>
          <w:sz w:val="32"/>
          <w:szCs w:val="32"/>
        </w:rPr>
        <w:t xml:space="preserve">4. Intent Parser: LLM Prompt Design</w:t>
      </w:r>
    </w:p>
    <w:p>
      <w:pPr>
        <w:spacing w:after="120"/>
      </w:pPr>
      <w:r>
        <w:rPr>
          <w:rFonts w:ascii="Arial" w:cs="Arial" w:eastAsia="Arial" w:hAnsi="Arial"/>
          <w:sz w:val="22"/>
          <w:szCs w:val="22"/>
        </w:rPr>
        <w:t xml:space="preserve">The intent parser is where natural language becomes structured data. The LLM’s job is narrow and well-defined: parse merchant questions into a StructuredIntent object that matches the field registry.</w:t>
      </w:r>
    </w:p>
    <w:p>
      <w:pPr>
        <w:pStyle w:val="Heading2"/>
        <w:spacing w:after="160" w:before="280"/>
      </w:pPr>
      <w:r>
        <w:rPr>
          <w:rFonts w:ascii="Arial" w:cs="Arial" w:eastAsia="Arial" w:hAnsi="Arial"/>
          <w:b/>
          <w:bCs/>
          <w:color w:val="2E75B6"/>
          <w:sz w:val="28"/>
          <w:szCs w:val="28"/>
        </w:rPr>
        <w:t xml:space="preserve">4.1 System Prompt Strategy</w:t>
      </w:r>
    </w:p>
    <w:p>
      <w:pPr>
        <w:spacing w:after="120"/>
      </w:pPr>
      <w:r>
        <w:rPr>
          <w:rFonts w:ascii="Arial" w:cs="Arial" w:eastAsia="Arial" w:hAnsi="Arial"/>
          <w:sz w:val="22"/>
          <w:szCs w:val="22"/>
        </w:rPr>
        <w:t xml:space="preserve">The LLM receives:</w:t>
      </w:r>
    </w:p>
    <w:p>
      <w:pPr>
        <w:pStyle w:val="ListParagraph"/>
        <w:numPr>
          <w:ilvl w:val="0"/>
          <w:numId w:val="2"/>
        </w:numPr>
      </w:pPr>
      <w:r>
        <w:rPr>
          <w:rFonts w:ascii="Arial" w:cs="Arial" w:eastAsia="Arial" w:hAnsi="Arial"/>
          <w:sz w:val="22"/>
          <w:szCs w:val="22"/>
        </w:rPr>
        <w:t xml:space="preserve">The field registry for this merchant’s domain (search keys, display names, type families, valid operators)</w:t>
      </w:r>
    </w:p>
    <w:p>
      <w:pPr>
        <w:pStyle w:val="ListParagraph"/>
        <w:numPr>
          <w:ilvl w:val="0"/>
          <w:numId w:val="2"/>
        </w:numPr>
      </w:pPr>
      <w:r>
        <w:rPr>
          <w:rFonts w:ascii="Arial" w:cs="Arial" w:eastAsia="Arial" w:hAnsi="Arial"/>
          <w:sz w:val="22"/>
          <w:szCs w:val="22"/>
        </w:rPr>
        <w:t xml:space="preserve">The operator vocabulary with plain-English descriptions (“between” = “in the range from X to Y”)</w:t>
      </w:r>
    </w:p>
    <w:p>
      <w:pPr>
        <w:pStyle w:val="ListParagraph"/>
        <w:numPr>
          <w:ilvl w:val="0"/>
          <w:numId w:val="2"/>
        </w:numPr>
      </w:pPr>
      <w:r>
        <w:rPr>
          <w:rFonts w:ascii="Arial" w:cs="Arial" w:eastAsia="Arial" w:hAnsi="Arial"/>
          <w:sz w:val="22"/>
          <w:szCs w:val="22"/>
        </w:rPr>
        <w:t xml:space="preserve">A strict output schema (JSON) for StructuredIntent</w:t>
      </w:r>
    </w:p>
    <w:p>
      <w:pPr>
        <w:pStyle w:val="ListParagraph"/>
        <w:numPr>
          <w:ilvl w:val="0"/>
          <w:numId w:val="2"/>
        </w:numPr>
      </w:pPr>
      <w:r>
        <w:rPr>
          <w:rFonts w:ascii="Arial" w:cs="Arial" w:eastAsia="Arial" w:hAnsi="Arial"/>
          <w:sz w:val="22"/>
          <w:szCs w:val="22"/>
        </w:rPr>
        <w:t xml:space="preserve">The merchant’s natural language query</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The LLM does NOT receive: </w:t>
      </w:r>
      <w:r>
        <w:rPr>
          <w:rFonts w:ascii="Arial" w:cs="Arial" w:eastAsia="Arial" w:hAnsi="Arial"/>
          <w:sz w:val="22"/>
          <w:szCs w:val="22"/>
        </w:rPr>
        <w:t xml:space="preserve">database credentials, table names, SQL syntax, join paths, or any implementation detail. It sees the same abstraction layer a merchant would see in a form-based search UI — field labels, valid operators, and type constraints.</w:t>
      </w:r>
    </w:p>
    <w:p>
      <w:pPr>
        <w:pStyle w:val="Heading2"/>
        <w:spacing w:after="160" w:before="280"/>
      </w:pPr>
      <w:r>
        <w:rPr>
          <w:rFonts w:ascii="Arial" w:cs="Arial" w:eastAsia="Arial" w:hAnsi="Arial"/>
          <w:b/>
          <w:bCs/>
          <w:color w:val="2E75B6"/>
          <w:sz w:val="28"/>
          <w:szCs w:val="28"/>
        </w:rPr>
        <w:t xml:space="preserve">4.2 StructuredIntent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list[FilterCondition]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filter conditions. Each has: field (search key), operator,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list[str]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tables inferred from the query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sort_by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str|null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 field search key. Null = use default (most recent first)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sort_order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asc or desc (default: desc)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results to return (default 25, max 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str|null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Aggregate function: count, sum, avg, min, max. Null = detail query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aggregation_field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str|null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to aggregate on (required for sum/avg/min/max)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group_by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str|null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Group-by field for aggregate queries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LLM’s self-assessed confidence in the parse (0.0–1.0)</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8"/>
          <w:szCs w:val="28"/>
        </w:rPr>
        <w:t xml:space="preserve">4.3 Example Translations</w:t>
      </w:r>
    </w:p>
    <w:p>
      <w:pPr>
        <w:spacing w:after="120"/>
      </w:pPr>
      <w:r>
        <w:rPr>
          <w:rFonts w:ascii="Arial" w:cs="Arial" w:eastAsia="Arial" w:hAnsi="Arial"/>
          <w:i/>
          <w:iCs/>
          <w:sz w:val="22"/>
          <w:szCs w:val="22"/>
        </w:rPr>
        <w:t xml:space="preserve">“Show me all refunds over $50 by Maria this week” becomes:</w:t>
      </w:r>
    </w:p>
    <w:p>
      <w:pPr>
        <w:spacing w:after="120"/>
      </w:pPr>
      <w:r>
        <w:rPr>
          <w:rFonts w:ascii="Arial" w:cs="Arial" w:eastAsia="Arial" w:hAnsi="Arial"/>
          <w:sz w:val="22"/>
          <w:szCs w:val="22"/>
        </w:rPr>
        <w:t xml:space="preserve">filters: [{field: "transactions.transaction_type", operator: "equal", value: "RETURN"}, {field: "transactions.amount_cents", operator: "greater_than", value: 5000}, {field: "employees.employee_name", operator: "contains", value: "Maria"}, {field: "transactions.transaction_date", operator: "greater_than", value: "&lt;this_week_start&gt;"}]</w:t>
      </w:r>
    </w:p>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“How many voids happened last month?” becomes:</w:t>
      </w:r>
    </w:p>
    <w:p>
      <w:pPr>
        <w:spacing w:after="120"/>
      </w:pPr>
      <w:r>
        <w:rPr>
          <w:rFonts w:ascii="Arial" w:cs="Arial" w:eastAsia="Arial" w:hAnsi="Arial"/>
          <w:sz w:val="22"/>
          <w:szCs w:val="22"/>
        </w:rPr>
        <w:t xml:space="preserve">filters: [{field: "transactions.transaction_type", operator: "equal", value: "VOID"}, {field: "transactions.transaction_date", operator: "between", value: ["&lt;last_month_start&gt;", "&lt;last_month_end&gt;"]}], aggregation: "count"</w:t>
      </w:r>
    </w:p>
    <w:p>
      <w:r>
        <w:br w:type="page"/>
      </w:r>
    </w:p>
    <w:p>
      <w:pPr>
        <w:pStyle w:val="Heading1"/>
        <w:spacing w:after="200" w:before="360"/>
      </w:pPr>
      <w:r>
        <w:rPr>
          <w:rFonts w:ascii="Arial" w:cs="Arial" w:eastAsia="Arial" w:hAnsi="Arial"/>
          <w:b/>
          <w:bCs/>
          <w:color w:val="1B3A4B"/>
          <w:sz w:val="32"/>
          <w:szCs w:val="32"/>
        </w:rPr>
        <w:t xml:space="preserve">5. Closed-Loop Integration</w:t>
      </w:r>
    </w:p>
    <w:p>
      <w:pPr>
        <w:spacing w:after="120"/>
      </w:pPr>
      <w:r>
        <w:rPr>
          <w:rFonts w:ascii="Arial" w:cs="Arial" w:eastAsia="Arial" w:hAnsi="Arial"/>
          <w:sz w:val="22"/>
          <w:szCs w:val="22"/>
        </w:rPr>
        <w:t xml:space="preserve">Owl Search results flow through the existing output_formatter.py. This is critical — every search result terminates in a merchant action. No orphan data dumps.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Result Type</w:t>
            </w:r>
          </w:p>
        </w:tc>
        <w:tc>
          <w:tcPr>
            <w:tcW w:type="dxa" w:w="25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Output Format</w:t>
            </w:r>
          </w:p>
        </w:tc>
        <w:tc>
          <w:tcPr>
            <w:tcW w:type="dxa" w:w="25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Exit Actions</w:t>
            </w:r>
          </w:p>
        </w:tc>
        <w:tc>
          <w:tcPr>
            <w:tcW w:type="dxa" w:w="25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Closes To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list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alert_set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case / Follow up / Resolve / Dismiss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resolved_or_case_opened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Count/aggregate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 deeper / Got it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resolved_or_drilled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Pattern summary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Archive / Share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archived_or_shared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 steps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checklist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checklist / Save template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completed_or_saved</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Fox integration: </w:t>
      </w:r>
      <w:r>
        <w:rPr>
          <w:rFonts w:ascii="Arial" w:cs="Arial" w:eastAsia="Arial" w:hAnsi="Arial"/>
          <w:sz w:val="22"/>
          <w:szCs w:val="22"/>
        </w:rPr>
        <w:t xml:space="preserve">When a search result surfaces transactions that warrant investigation, the “Follow up” action creates GUID references in the Fox evidence locker pointing back to the RaaS raw data store. Canary is a lens, not a database — search results reference source data, they don’t copy it.</w:t>
      </w:r>
    </w:p>
    <w:p>
      <w:r>
        <w:br w:type="page"/>
      </w:r>
    </w:p>
    <w:p>
      <w:pPr>
        <w:pStyle w:val="Heading1"/>
        <w:spacing w:after="200" w:before="360"/>
      </w:pPr>
      <w:r>
        <w:rPr>
          <w:rFonts w:ascii="Arial" w:cs="Arial" w:eastAsia="Arial" w:hAnsi="Arial"/>
          <w:b/>
          <w:bCs/>
          <w:color w:val="1B3A4B"/>
          <w:sz w:val="32"/>
          <w:szCs w:val="32"/>
        </w:rPr>
        <w:t xml:space="preserve">6.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60"/>
      </w:tblGrid>
      <w:tr>
        <w:tc>
          <w:tcPr>
            <w:tcW w:type="dxa" w:w="1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7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7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7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registry + operators. Static catalog for all three databases.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registry.py, operators.py. Unit tests.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running, CRDM tables exist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Intent parser + validator + builder. NL → SQL pipeline with mandatory scoping.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intent.py, validator.py, builder.py. Integration tests.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 Ollama running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Executor + MCP tool registration + output formatting. End-to-end search via /owl/tools.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executor.py, facade.py, tools.py update. Smoke tests.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 Flask stack running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Cross-table joins, aggregate queries, GROUP BY support. Employee/product enrichment in results.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test suite across all query patterns.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 all three databases</w:t>
            </w:r>
          </w:p>
        </w:tc>
      </w:tr>
    </w:tbl>
    <w:p>
      <w:r>
        <w:br w:type="page"/>
      </w:r>
    </w:p>
    <w:p>
      <w:pPr>
        <w:pStyle w:val="Heading1"/>
        <w:spacing w:after="200" w:before="360"/>
      </w:pPr>
      <w:r>
        <w:rPr>
          <w:rFonts w:ascii="Arial" w:cs="Arial" w:eastAsia="Arial" w:hAnsi="Arial"/>
          <w:b/>
          <w:bCs/>
          <w:color w:val="1B3A4B"/>
          <w:sz w:val="32"/>
          <w:szCs w:val="32"/>
        </w:rPr>
        <w:t xml:space="preserve">7. Guardrails and Constraints</w:t>
      </w:r>
    </w:p>
    <w:p>
      <w:pPr>
        <w:pStyle w:val="ListParagraph"/>
        <w:numPr>
          <w:ilvl w:val="0"/>
          <w:numId w:val="3"/>
        </w:numPr>
        <w:spacing w:after="100"/>
      </w:pPr>
      <w:r>
        <w:rPr>
          <w:rFonts w:ascii="Arial" w:cs="Arial" w:eastAsia="Arial" w:hAnsi="Arial"/>
          <w:b/>
          <w:bCs/>
          <w:sz w:val="22"/>
          <w:szCs w:val="22"/>
        </w:rPr>
        <w:t xml:space="preserve">PostgreSQL only. No SQLite. No exceptions. (Per Canary/CLAUDE.md)</w:t>
      </w:r>
    </w:p>
    <w:p>
      <w:pPr>
        <w:pStyle w:val="ListParagraph"/>
        <w:numPr>
          <w:ilvl w:val="0"/>
          <w:numId w:val="3"/>
        </w:numPr>
        <w:spacing w:after="100"/>
      </w:pPr>
      <w:r>
        <w:rPr>
          <w:rFonts w:ascii="Arial" w:cs="Arial" w:eastAsia="Arial" w:hAnsi="Arial"/>
          <w:sz w:val="22"/>
          <w:szCs w:val="22"/>
        </w:rPr>
        <w:t xml:space="preserve">The LLM never sees SQL, table names, or database credentials. It sees field labels and operator names.</w:t>
      </w:r>
    </w:p>
    <w:p>
      <w:pPr>
        <w:pStyle w:val="ListParagraph"/>
        <w:numPr>
          <w:ilvl w:val="0"/>
          <w:numId w:val="3"/>
        </w:numPr>
        <w:spacing w:after="100"/>
      </w:pPr>
      <w:r>
        <w:rPr>
          <w:rFonts w:ascii="Arial" w:cs="Arial" w:eastAsia="Arial" w:hAnsi="Arial"/>
          <w:sz w:val="22"/>
          <w:szCs w:val="22"/>
        </w:rPr>
        <w:t xml:space="preserve">All queries are parameterized. Zero string interpolation of user values into SQL.</w:t>
      </w:r>
    </w:p>
    <w:p>
      <w:pPr>
        <w:pStyle w:val="ListParagraph"/>
        <w:numPr>
          <w:ilvl w:val="0"/>
          <w:numId w:val="3"/>
        </w:numPr>
        <w:spacing w:after="100"/>
      </w:pPr>
      <w:r>
        <w:rPr>
          <w:rFonts w:ascii="Arial" w:cs="Arial" w:eastAsia="Arial" w:hAnsi="Arial"/>
          <w:sz w:val="22"/>
          <w:szCs w:val="22"/>
        </w:rPr>
        <w:t xml:space="preserve">Mandatory merchant_id scoping on every query. The builder rejects any intent without it.</w:t>
      </w:r>
    </w:p>
    <w:p>
      <w:pPr>
        <w:pStyle w:val="ListParagraph"/>
        <w:numPr>
          <w:ilvl w:val="0"/>
          <w:numId w:val="3"/>
        </w:numPr>
        <w:spacing w:after="100"/>
      </w:pPr>
      <w:r>
        <w:rPr>
          <w:rFonts w:ascii="Arial" w:cs="Arial" w:eastAsia="Arial" w:hAnsi="Arial"/>
          <w:sz w:val="22"/>
          <w:szCs w:val="22"/>
        </w:rPr>
        <w:t xml:space="preserve">5-second query timeout. No unbounded full-table scans.</w:t>
      </w:r>
    </w:p>
    <w:p>
      <w:pPr>
        <w:pStyle w:val="ListParagraph"/>
        <w:numPr>
          <w:ilvl w:val="0"/>
          <w:numId w:val="3"/>
        </w:numPr>
        <w:spacing w:after="100"/>
      </w:pPr>
      <w:r>
        <w:rPr>
          <w:rFonts w:ascii="Arial" w:cs="Arial" w:eastAsia="Arial" w:hAnsi="Arial"/>
          <w:sz w:val="22"/>
          <w:szCs w:val="22"/>
        </w:rPr>
        <w:t xml:space="preserve">100-row result limit. If more results exist, the response says so and suggests narrowing the query.</w:t>
      </w:r>
    </w:p>
    <w:p>
      <w:pPr>
        <w:pStyle w:val="ListParagraph"/>
        <w:numPr>
          <w:ilvl w:val="0"/>
          <w:numId w:val="3"/>
        </w:numPr>
        <w:spacing w:after="100"/>
      </w:pPr>
      <w:r>
        <w:rPr>
          <w:rFonts w:ascii="Arial" w:cs="Arial" w:eastAsia="Arial" w:hAnsi="Arial"/>
          <w:sz w:val="22"/>
          <w:szCs w:val="22"/>
        </w:rPr>
        <w:t xml:space="preserve">Graceful degradation: if Ollama is down, the search tool returns a structured error. It does not attempt to parse NL without the LLM.</w:t>
      </w:r>
    </w:p>
    <w:p>
      <w:pPr>
        <w:pStyle w:val="ListParagraph"/>
        <w:numPr>
          <w:ilvl w:val="0"/>
          <w:numId w:val="3"/>
        </w:numPr>
        <w:spacing w:after="100"/>
      </w:pPr>
      <w:r>
        <w:rPr>
          <w:rFonts w:ascii="Arial" w:cs="Arial" w:eastAsia="Arial" w:hAnsi="Arial"/>
          <w:sz w:val="22"/>
          <w:szCs w:val="22"/>
        </w:rPr>
        <w:t xml:space="preserve">Read-only. Owl Search cannot INSERT, UPDATE, or DELETE. The database connection uses a read-only role.</w:t>
      </w:r>
    </w:p>
    <w:p>
      <w:pPr>
        <w:pStyle w:val="ListParagraph"/>
        <w:numPr>
          <w:ilvl w:val="0"/>
          <w:numId w:val="3"/>
        </w:numPr>
        <w:spacing w:after="100"/>
      </w:pPr>
      <w:r>
        <w:rPr>
          <w:rFonts w:ascii="Arial" w:cs="Arial" w:eastAsia="Arial" w:hAnsi="Arial"/>
          <w:sz w:val="22"/>
          <w:szCs w:val="22"/>
        </w:rPr>
        <w:t xml:space="preserve">Every search result flows through output_formatter.py. Every result has exit actions and closes_to. No orphan data.</w:t>
      </w:r>
    </w:p>
    <w:p>
      <w:r>
        <w:br w:type="page"/>
      </w:r>
    </w:p>
    <w:p>
      <w:pPr>
        <w:pStyle w:val="Heading1"/>
        <w:spacing w:after="200" w:before="360"/>
      </w:pPr>
      <w:r>
        <w:rPr>
          <w:rFonts w:ascii="Arial" w:cs="Arial" w:eastAsia="Arial" w:hAnsi="Arial"/>
          <w:b/>
          <w:bCs/>
          <w:color w:val="1B3A4B"/>
          <w:sz w:val="32"/>
          <w:szCs w:val="32"/>
        </w:rPr>
        <w:t xml:space="preserve">8.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7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Intent parse accuracy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&gt;85% correct on first try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Validated against hand-labeled test queries (50 query test suite)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latency (p95)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&lt;3 seconds end-to-end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Measured from NL input to formatted response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SQL injection surface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parameterized queries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analysis + integration test with injection payloads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Merchant scoping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queries include merchant_id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Builder always injects it; unit tested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Fallback reliability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error within 500ms when Ollama is down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Smoke test: kill Ollama, send search, verify error format</w:t>
            </w:r>
          </w:p>
        </w:tc>
      </w:tr>
    </w:tbl>
    <w:p>
      <w:pPr>
        <w:spacing w:before="600"/>
      </w:pPr>
    </w:p>
    <w:p>
      <w:pPr>
        <w:pBdr>
          <w:top w:val="single" w:color="1B3A4B" w:sz="6" w:space="8"/>
        </w:pBdr>
      </w:pPr>
      <w:r>
        <w:rPr>
          <w:rFonts w:ascii="Arial" w:cs="Arial" w:eastAsia="Arial" w:hAnsi="Arial"/>
          <w:i/>
          <w:iCs/>
          <w:color w:val="1B3A4B"/>
          <w:sz w:val="22"/>
          <w:szCs w:val="22"/>
        </w:rPr>
        <w:t xml:space="preserve">“We don’t want to add to the stress. We want to ease it.” — Jeffe, Feb 26, 2026</w:t>
      </w:r>
    </w:p>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Canary LP | GrowDirect Inc.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6" w:space="1"/>
      </w:pBdr>
      <w:tabs>
        <w:tab w:val="right" w:pos="9026"/>
      </w:tabs>
    </w:pPr>
    <w:r>
      <w:rPr>
        <w:rFonts w:ascii="Arial" w:cs="Arial" w:eastAsia="Arial" w:hAnsi="Arial"/>
        <w:b/>
        <w:bCs/>
        <w:color w:val="1B3A4B"/>
        <w:sz w:val="18"/>
        <w:szCs w:val="18"/>
      </w:rPr>
      <w:t xml:space="preserve">Canary LP </w:t>
    </w:r>
    <w:r>
      <w:rPr>
        <w:rFonts w:ascii="Arial" w:cs="Arial" w:eastAsia="Arial" w:hAnsi="Arial"/>
        <w:color w:val="888888"/>
        <w:sz w:val="18"/>
        <w:szCs w:val="18"/>
      </w:rPr>
      <w:t xml:space="preserve">| Owl Search PRD | GrowDirect Inc.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4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8B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2026-03-06T17:53:42.398Z</dcterms:created>
  <dcterms:modified xsi:type="dcterms:W3CDTF">2026-03-06T17:53:42.398Z</dcterms:modified>
</cp:coreProperties>
</file>

<file path=docProps/custom.xml><?xml version="1.0" encoding="utf-8"?>
<Properties xmlns="http://schemas.openxmlformats.org/officeDocument/2006/custom-properties" xmlns:vt="http://schemas.openxmlformats.org/officeDocument/2006/docPropsVTypes"/>
</file>