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left"/>
      </w:pPr>
      <w:r>
        <w:rPr>
          <w:rFonts w:ascii="Calibri" w:cs="Calibri" w:eastAsia="Calibri" w:hAnsi="Calibri"/>
          <w:b/>
          <w:bCs/>
          <w:color w:val="FBBF24"/>
          <w:sz w:val="48"/>
          <w:szCs w:val="48"/>
        </w:rPr>
        <w:t xml:space="preserve">CANARY</w:t>
      </w:r>
    </w:p>
    <w:p>
      <w:pPr>
        <w:spacing w:after="40"/>
      </w:pPr>
      <w:r>
        <w:rPr>
          <w:rFonts w:ascii="Calibri" w:cs="Calibri" w:eastAsia="Calibri" w:hAnsi="Calibri"/>
          <w:color w:val="6B7280"/>
          <w:spacing w:val="200"/>
          <w:sz w:val="20"/>
          <w:szCs w:val="20"/>
        </w:rPr>
        <w:t xml:space="preserve">EARLY WARNING LP</w:t>
      </w:r>
    </w:p>
    <w:p>
      <w:pPr>
        <w:spacing w:after="200"/>
      </w:pPr>
      <w:r>
        <w:rPr>
          <w:rFonts w:ascii="Calibri" w:cs="Calibri" w:eastAsia="Calibri" w:hAnsi="Calibri"/>
          <w:b/>
          <w:bCs/>
          <w:color w:val="0D1117"/>
          <w:sz w:val="36"/>
          <w:szCs w:val="36"/>
        </w:rPr>
        <w:t xml:space="preserve">Competitive Landscape Analysis</w:t>
      </w:r>
    </w:p>
    <w:p>
      <w:pPr>
        <w:spacing w:after="80"/>
      </w:pPr>
      <w:r>
        <w:rPr>
          <w:rFonts w:ascii="Calibri" w:cs="Calibri" w:eastAsia="Calibri" w:hAnsi="Calibri"/>
          <w:i/>
          <w:iCs/>
          <w:color w:val="6B7280"/>
          <w:sz w:val="22"/>
          <w:szCs w:val="22"/>
        </w:rPr>
        <w:t xml:space="preserve">Follow-Up to Square Market Opportunity Briefing</w:t>
      </w:r>
    </w:p>
    <w:p>
      <w:pPr>
        <w:spacing w:after="400"/>
      </w:pPr>
      <w:r>
        <w:rPr>
          <w:rFonts w:ascii="Calibri" w:cs="Calibri" w:eastAsia="Calibri" w:hAnsi="Calibri"/>
          <w:color w:val="9CA3AF"/>
          <w:sz w:val="20"/>
          <w:szCs w:val="20"/>
        </w:rPr>
        <w:t xml:space="preserve">February 2026  |  Prepared for CEO Review</w:t>
      </w:r>
    </w:p>
    <w:p>
      <w:pPr>
        <w:pStyle w:val="Heading1"/>
      </w:pPr>
      <w:r>
        <w:t xml:space="preserve">Executive Summary</w:t>
      </w:r>
    </w:p>
    <w:p>
      <w:pPr>
        <w:spacing w:after="200"/>
      </w:pPr>
      <w:r>
        <w:rPr>
          <w:rFonts w:ascii="Calibri" w:cs="Calibri" w:eastAsia="Calibri" w:hAnsi="Calibri"/>
          <w:sz w:val="22"/>
          <w:szCs w:val="22"/>
        </w:rPr>
        <w:t xml:space="preserve">The loss prevention technology market is dominated by enterprise vendors serving retailers with 50+ locations at price points starting around $25,000 per year. No vendor has successfully brought exception-based reporting to small and mid-size businesses through POS marketplace distribution. Canary occupies a genuine white space: marketplace-native, SMB-priced, adaptive LP analytics. This document maps the competitive landscape, validates our positioning, and identifies the specific segments where Canary has first-mover advantage.</w:t>
      </w:r>
    </w:p>
    <w:p>
      <w:pPr>
        <w:pStyle w:val="Heading1"/>
      </w:pPr>
      <w:r>
        <w:t xml:space="preserve">1. Market Structure</w:t>
      </w:r>
    </w:p>
    <w:p>
      <w:pPr>
        <w:spacing w:after="200"/>
      </w:pPr>
      <w:r>
        <w:rPr>
          <w:rFonts w:ascii="Calibri" w:cs="Calibri" w:eastAsia="Calibri" w:hAnsi="Calibri"/>
          <w:sz w:val="22"/>
          <w:szCs w:val="22"/>
        </w:rPr>
        <w:t xml:space="preserve">The retail loss prevention technology market segments into three distinct tiers, each serving different customer profiles with fundamentally different go-to-market strategies and technology stacks.</w:t>
      </w:r>
    </w:p>
    <w:p>
      <w:pPr>
        <w:pStyle w:val="Heading2"/>
      </w:pPr>
      <w:r>
        <w:t xml:space="preserve">Enterprise EBR Platforms ($50K+/year)</w:t>
      </w:r>
    </w:p>
    <w:p>
      <w:pPr>
        <w:spacing w:after="120"/>
      </w:pPr>
      <w:r>
        <w:rPr>
          <w:rFonts w:ascii="Calibri" w:cs="Calibri" w:eastAsia="Calibri" w:hAnsi="Calibri"/>
          <w:sz w:val="22"/>
          <w:szCs w:val="22"/>
        </w:rPr>
        <w:t xml:space="preserve">Traditional exception-based reporting platforms require dedicated LP teams, on-premise hardware, and 6+ month implementation cycles. These vendors serve the top 500 retail chains and have no economic incentive to pursue SMBs.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c>
          <w:tcPr>
            <w:tcW w:type="dxa" w:w="22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Vendor</w:t>
            </w:r>
          </w:p>
        </w:tc>
        <w:tc>
          <w:tcPr>
            <w:tcW w:type="dxa" w:w="2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Annual Price</w:t>
            </w:r>
          </w:p>
        </w:tc>
        <w:tc>
          <w:tcPr>
            <w:tcW w:type="dxa" w:w="22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Min. Locations</w:t>
            </w:r>
          </w:p>
        </w:tc>
        <w:tc>
          <w:tcPr>
            <w:tcW w:type="dxa" w:w="246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Deployment</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Appriss Retail (Sysrepublic)</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$50K-$500K+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50+</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6-12 months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Agilence</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$25K-$150K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25+</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3-6 months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StoreIQ (Zebra)</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$40K-$200K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50+</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4-8 months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Verint LP</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$100K+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100+</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6-18 months</w:t>
            </w:r>
          </w:p>
        </w:tc>
      </w:tr>
    </w:tbl>
    <w:p>
      <w:pPr>
        <w:spacing w:before="200" w:after="200"/>
      </w:pPr>
      <w:r>
        <w:rPr>
          <w:rFonts w:ascii="Calibri" w:cs="Calibri" w:eastAsia="Calibri" w:hAnsi="Calibri"/>
          <w:i/>
          <w:iCs/>
          <w:color w:val="6B7280"/>
          <w:sz w:val="22"/>
          <w:szCs w:val="22"/>
        </w:rPr>
        <w:t xml:space="preserve">Key insight: None of these vendors integrate with Square, Shopify, or Clover APIs. They require proprietary POS connections or manual data feeds. Their business model cannot profitably serve a $49/month customer.</w:t>
      </w:r>
    </w:p>
    <w:p>
      <w:pPr>
        <w:pStyle w:val="Heading2"/>
      </w:pPr>
      <w:r>
        <w:t xml:space="preserve">Mid-Market Analytics ($5K-$25K/year)</w:t>
      </w:r>
    </w:p>
    <w:p>
      <w:pPr>
        <w:spacing w:after="120"/>
      </w:pPr>
      <w:r>
        <w:rPr>
          <w:rFonts w:ascii="Calibri" w:cs="Calibri" w:eastAsia="Calibri" w:hAnsi="Calibri"/>
          <w:sz w:val="22"/>
          <w:szCs w:val="22"/>
        </w:rPr>
        <w:t xml:space="preserve">A thin layer of cloud-based analytics tools serves mid-sized retailers (10-50 locations). These platforms offer dashboards and reporting but lack real-time anomaly detection or adaptive baselines.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200"/>
        <w:gridCol w:w="2460"/>
      </w:tblGrid>
      <w:tr>
        <w:tc>
          <w:tcPr>
            <w:tcW w:type="dxa" w:w="22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Vendor</w:t>
            </w:r>
          </w:p>
        </w:tc>
        <w:tc>
          <w:tcPr>
            <w:tcW w:type="dxa" w:w="2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Annual Price</w:t>
            </w:r>
          </w:p>
        </w:tc>
        <w:tc>
          <w:tcPr>
            <w:tcW w:type="dxa" w:w="22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Approach</w:t>
            </w:r>
          </w:p>
        </w:tc>
        <w:tc>
          <w:tcPr>
            <w:tcW w:type="dxa" w:w="246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Limitation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IntelliCheck</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$5K-$20K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ID verification for returns</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Single domain only (returns)</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CAP Index</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$8K-$30K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Crime risk scoring by location</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External data only, no POS integration</w:t>
            </w:r>
          </w:p>
        </w:tc>
      </w:tr>
      <w:tr>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ThinkLP</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$10K-$50K</w:t>
            </w:r>
          </w:p>
        </w:tc>
        <w:tc>
          <w:tcPr>
            <w:tcW w:type="dxa" w:w="22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Case management and incident tracking</w:t>
            </w:r>
          </w:p>
        </w:tc>
        <w:tc>
          <w:tcPr>
            <w:tcW w:type="dxa" w:w="24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Reactive, not predictive</w:t>
            </w:r>
          </w:p>
        </w:tc>
      </w:tr>
    </w:tbl>
    <w:p>
      <w:pPr>
        <w:pStyle w:val="Heading2"/>
      </w:pPr>
      <w:r>
        <w:t xml:space="preserve">SMB POS Add-Ons ($0-$500/year)</w:t>
      </w:r>
    </w:p>
    <w:p>
      <w:pPr>
        <w:spacing w:after="200"/>
      </w:pPr>
      <w:r>
        <w:rPr>
          <w:rFonts w:ascii="Calibri" w:cs="Calibri" w:eastAsia="Calibri" w:hAnsi="Calibri"/>
          <w:sz w:val="22"/>
          <w:szCs w:val="22"/>
        </w:rPr>
        <w:t xml:space="preserve">This is Canary’s tier. Today it contains zero loss prevention tools on any major POS marketplace. The SMB add-on market includes inventory management, basic reporting, and employee scheduling tools, but nobody has brought adaptive fraud detection to this price point.</w:t>
      </w:r>
    </w:p>
    <w:p>
      <w:pPr>
        <w:pStyle w:val="Heading1"/>
      </w:pPr>
      <w:r>
        <w:t xml:space="preserve">2. The Gap We Own</w:t>
      </w:r>
    </w:p>
    <w:p>
      <w:pPr>
        <w:spacing w:after="200"/>
      </w:pPr>
      <w:r>
        <w:rPr>
          <w:rFonts w:ascii="Calibri" w:cs="Calibri" w:eastAsia="Calibri" w:hAnsi="Calibri"/>
          <w:sz w:val="22"/>
          <w:szCs w:val="22"/>
        </w:rPr>
        <w:t xml:space="preserve">The critical gap in the market is the intersection of three capabilities that no current vendor provides simultaneously: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1755"/>
        <w:gridCol w:w="1755"/>
        <w:gridCol w:w="1755"/>
        <w:gridCol w:w="1755"/>
      </w:tblGrid>
      <w:tr>
        <w:tc>
          <w:tcPr>
            <w:tcW w:type="dxa" w:w="234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Capability</w:t>
            </w:r>
          </w:p>
        </w:tc>
        <w:tc>
          <w:tcPr>
            <w:tcW w:type="dxa" w:w="1755"/>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Enterprise EBR</w:t>
            </w:r>
          </w:p>
        </w:tc>
        <w:tc>
          <w:tcPr>
            <w:tcW w:type="dxa" w:w="1755"/>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Mid-Market</w:t>
            </w:r>
          </w:p>
        </w:tc>
        <w:tc>
          <w:tcPr>
            <w:tcW w:type="dxa" w:w="1755"/>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SMB Add-Ons</w:t>
            </w:r>
          </w:p>
        </w:tc>
        <w:tc>
          <w:tcPr>
            <w:tcW w:type="dxa" w:w="1755"/>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Canary</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POS Marketplace Native</w:t>
            </w:r>
          </w:p>
        </w:tc>
        <w:tc>
          <w:tcPr>
            <w:tcW w:type="dxa" w:w="1755"/>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alibri" w:cs="Calibri" w:eastAsia="Calibri" w:hAnsi="Calibri"/>
                <w:color w:val="374151"/>
                <w:sz w:val="20"/>
                <w:szCs w:val="20"/>
              </w:rPr>
              <w:t xml:space="preserve">No</w:t>
            </w:r>
          </w:p>
        </w:tc>
        <w:tc>
          <w:tcPr>
            <w:tcW w:type="dxa" w:w="1755"/>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alibri" w:cs="Calibri" w:eastAsia="Calibri" w:hAnsi="Calibri"/>
                <w:color w:val="374151"/>
                <w:sz w:val="20"/>
                <w:szCs w:val="20"/>
              </w:rPr>
              <w:t xml:space="preserve">No</w:t>
            </w:r>
          </w:p>
        </w:tc>
        <w:tc>
          <w:tcPr>
            <w:tcW w:type="dxa" w:w="1755"/>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Calibri" w:cs="Calibri" w:eastAsia="Calibri" w:hAnsi="Calibri"/>
                <w:color w:val="374151"/>
                <w:sz w:val="20"/>
                <w:szCs w:val="20"/>
              </w:rPr>
              <w:t xml:space="preserve">Yes (basic)</w:t>
            </w:r>
          </w:p>
        </w:tc>
        <w:tc>
          <w:tcPr>
            <w:tcW w:type="dxa" w:w="1755"/>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Calibri" w:cs="Calibri" w:eastAsia="Calibri" w:hAnsi="Calibri"/>
                <w:color w:val="374151"/>
                <w:sz w:val="20"/>
                <w:szCs w:val="20"/>
              </w:rPr>
              <w:t xml:space="preserve">Yes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Adaptive Anomaly Detection</w:t>
            </w:r>
          </w:p>
        </w:tc>
        <w:tc>
          <w:tcPr>
            <w:tcW w:type="dxa" w:w="1755"/>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Calibri" w:cs="Calibri" w:eastAsia="Calibri" w:hAnsi="Calibri"/>
                <w:color w:val="374151"/>
                <w:sz w:val="20"/>
                <w:szCs w:val="20"/>
              </w:rPr>
              <w:t xml:space="preserve">Yes</w:t>
            </w:r>
          </w:p>
        </w:tc>
        <w:tc>
          <w:tcPr>
            <w:tcW w:type="dxa" w:w="1755"/>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Calibri" w:cs="Calibri" w:eastAsia="Calibri" w:hAnsi="Calibri"/>
                <w:color w:val="374151"/>
                <w:sz w:val="20"/>
                <w:szCs w:val="20"/>
              </w:rPr>
              <w:t xml:space="preserve">Limited</w:t>
            </w:r>
          </w:p>
        </w:tc>
        <w:tc>
          <w:tcPr>
            <w:tcW w:type="dxa" w:w="1755"/>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alibri" w:cs="Calibri" w:eastAsia="Calibri" w:hAnsi="Calibri"/>
                <w:color w:val="374151"/>
                <w:sz w:val="20"/>
                <w:szCs w:val="20"/>
              </w:rPr>
              <w:t xml:space="preserve">No</w:t>
            </w:r>
          </w:p>
        </w:tc>
        <w:tc>
          <w:tcPr>
            <w:tcW w:type="dxa" w:w="1755"/>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Calibri" w:cs="Calibri" w:eastAsia="Calibri" w:hAnsi="Calibri"/>
                <w:color w:val="374151"/>
                <w:sz w:val="20"/>
                <w:szCs w:val="20"/>
              </w:rPr>
              <w:t xml:space="preserve">Yes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SMB Pricing ($49-199/mo)</w:t>
            </w:r>
          </w:p>
        </w:tc>
        <w:tc>
          <w:tcPr>
            <w:tcW w:type="dxa" w:w="1755"/>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alibri" w:cs="Calibri" w:eastAsia="Calibri" w:hAnsi="Calibri"/>
                <w:color w:val="374151"/>
                <w:sz w:val="20"/>
                <w:szCs w:val="20"/>
              </w:rPr>
              <w:t xml:space="preserve">No</w:t>
            </w:r>
          </w:p>
        </w:tc>
        <w:tc>
          <w:tcPr>
            <w:tcW w:type="dxa" w:w="1755"/>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alibri" w:cs="Calibri" w:eastAsia="Calibri" w:hAnsi="Calibri"/>
                <w:color w:val="374151"/>
                <w:sz w:val="20"/>
                <w:szCs w:val="20"/>
              </w:rPr>
              <w:t xml:space="preserve">No</w:t>
            </w:r>
          </w:p>
        </w:tc>
        <w:tc>
          <w:tcPr>
            <w:tcW w:type="dxa" w:w="1755"/>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Calibri" w:cs="Calibri" w:eastAsia="Calibri" w:hAnsi="Calibri"/>
                <w:color w:val="374151"/>
                <w:sz w:val="20"/>
                <w:szCs w:val="20"/>
              </w:rPr>
              <w:t xml:space="preserve">Yes</w:t>
            </w:r>
          </w:p>
        </w:tc>
        <w:tc>
          <w:tcPr>
            <w:tcW w:type="dxa" w:w="1755"/>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Calibri" w:cs="Calibri" w:eastAsia="Calibri" w:hAnsi="Calibri"/>
                <w:color w:val="374151"/>
                <w:sz w:val="20"/>
                <w:szCs w:val="20"/>
              </w:rPr>
              <w:t xml:space="preserve">Yes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Cross-Merchant Intelligence</w:t>
            </w:r>
          </w:p>
        </w:tc>
        <w:tc>
          <w:tcPr>
            <w:tcW w:type="dxa" w:w="1755"/>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Calibri" w:cs="Calibri" w:eastAsia="Calibri" w:hAnsi="Calibri"/>
                <w:color w:val="374151"/>
                <w:sz w:val="20"/>
                <w:szCs w:val="20"/>
              </w:rPr>
              <w:t xml:space="preserve">Yes</w:t>
            </w:r>
          </w:p>
        </w:tc>
        <w:tc>
          <w:tcPr>
            <w:tcW w:type="dxa" w:w="1755"/>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alibri" w:cs="Calibri" w:eastAsia="Calibri" w:hAnsi="Calibri"/>
                <w:color w:val="374151"/>
                <w:sz w:val="20"/>
                <w:szCs w:val="20"/>
              </w:rPr>
              <w:t xml:space="preserve">No</w:t>
            </w:r>
          </w:p>
        </w:tc>
        <w:tc>
          <w:tcPr>
            <w:tcW w:type="dxa" w:w="1755"/>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alibri" w:cs="Calibri" w:eastAsia="Calibri" w:hAnsi="Calibri"/>
                <w:color w:val="374151"/>
                <w:sz w:val="20"/>
                <w:szCs w:val="20"/>
              </w:rPr>
              <w:t xml:space="preserve">No</w:t>
            </w:r>
          </w:p>
        </w:tc>
        <w:tc>
          <w:tcPr>
            <w:tcW w:type="dxa" w:w="1755"/>
            <w:tcBorders>
              <w:top w:val="single" w:color="D1D5DB" w:sz="1"/>
              <w:left w:val="single" w:color="D1D5DB" w:sz="1"/>
              <w:bottom w:val="single" w:color="D1D5DB" w:sz="1"/>
              <w:right w:val="single" w:color="D1D5DB" w:sz="1"/>
            </w:tcBorders>
            <w:shd w:fill="FEF3C7" w:val="clear"/>
            <w:tcMar>
              <w:top w:type="dxa" w:w="80"/>
              <w:left w:type="dxa" w:w="120"/>
              <w:bottom w:type="dxa" w:w="80"/>
              <w:right w:type="dxa" w:w="120"/>
            </w:tcMar>
          </w:tcPr>
          <w:p>
            <w:r>
              <w:rPr>
                <w:rFonts w:ascii="Calibri" w:cs="Calibri" w:eastAsia="Calibri" w:hAnsi="Calibri"/>
                <w:color w:val="374151"/>
                <w:sz w:val="20"/>
                <w:szCs w:val="20"/>
              </w:rPr>
              <w:t xml:space="preserve">Planned</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Multi-Domain Detection (5+)</w:t>
            </w:r>
          </w:p>
        </w:tc>
        <w:tc>
          <w:tcPr>
            <w:tcW w:type="dxa" w:w="1755"/>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Calibri" w:cs="Calibri" w:eastAsia="Calibri" w:hAnsi="Calibri"/>
                <w:color w:val="374151"/>
                <w:sz w:val="20"/>
                <w:szCs w:val="20"/>
              </w:rPr>
              <w:t xml:space="preserve">Yes</w:t>
            </w:r>
          </w:p>
        </w:tc>
        <w:tc>
          <w:tcPr>
            <w:tcW w:type="dxa" w:w="1755"/>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alibri" w:cs="Calibri" w:eastAsia="Calibri" w:hAnsi="Calibri"/>
                <w:color w:val="374151"/>
                <w:sz w:val="20"/>
                <w:szCs w:val="20"/>
              </w:rPr>
              <w:t xml:space="preserve">No (1-2)</w:t>
            </w:r>
          </w:p>
        </w:tc>
        <w:tc>
          <w:tcPr>
            <w:tcW w:type="dxa" w:w="1755"/>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alibri" w:cs="Calibri" w:eastAsia="Calibri" w:hAnsi="Calibri"/>
                <w:color w:val="374151"/>
                <w:sz w:val="20"/>
                <w:szCs w:val="20"/>
              </w:rPr>
              <w:t xml:space="preserve">No</w:t>
            </w:r>
          </w:p>
        </w:tc>
        <w:tc>
          <w:tcPr>
            <w:tcW w:type="dxa" w:w="1755"/>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Calibri" w:cs="Calibri" w:eastAsia="Calibri" w:hAnsi="Calibri"/>
                <w:color w:val="374151"/>
                <w:sz w:val="20"/>
                <w:szCs w:val="20"/>
              </w:rPr>
              <w:t xml:space="preserve">Yes</w:t>
            </w:r>
          </w:p>
        </w:tc>
      </w:tr>
      <w:tr>
        <w:tc>
          <w:tcPr>
            <w:tcW w:type="dxa" w:w="234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Self-Service Onboarding</w:t>
            </w:r>
          </w:p>
        </w:tc>
        <w:tc>
          <w:tcPr>
            <w:tcW w:type="dxa" w:w="1755"/>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alibri" w:cs="Calibri" w:eastAsia="Calibri" w:hAnsi="Calibri"/>
                <w:color w:val="374151"/>
                <w:sz w:val="20"/>
                <w:szCs w:val="20"/>
              </w:rPr>
              <w:t xml:space="preserve">No</w:t>
            </w:r>
          </w:p>
        </w:tc>
        <w:tc>
          <w:tcPr>
            <w:tcW w:type="dxa" w:w="1755"/>
            <w:tcBorders>
              <w:top w:val="single" w:color="D1D5DB" w:sz="1"/>
              <w:left w:val="single" w:color="D1D5DB" w:sz="1"/>
              <w:bottom w:val="single" w:color="D1D5DB" w:sz="1"/>
              <w:right w:val="single" w:color="D1D5DB" w:sz="1"/>
            </w:tcBorders>
            <w:shd w:fill="FEE2E2" w:val="clear"/>
            <w:tcMar>
              <w:top w:type="dxa" w:w="80"/>
              <w:left w:type="dxa" w:w="120"/>
              <w:bottom w:type="dxa" w:w="80"/>
              <w:right w:type="dxa" w:w="120"/>
            </w:tcMar>
          </w:tcPr>
          <w:p>
            <w:r>
              <w:rPr>
                <w:rFonts w:ascii="Calibri" w:cs="Calibri" w:eastAsia="Calibri" w:hAnsi="Calibri"/>
                <w:color w:val="374151"/>
                <w:sz w:val="20"/>
                <w:szCs w:val="20"/>
              </w:rPr>
              <w:t xml:space="preserve">No</w:t>
            </w:r>
          </w:p>
        </w:tc>
        <w:tc>
          <w:tcPr>
            <w:tcW w:type="dxa" w:w="1755"/>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Calibri" w:cs="Calibri" w:eastAsia="Calibri" w:hAnsi="Calibri"/>
                <w:color w:val="374151"/>
                <w:sz w:val="20"/>
                <w:szCs w:val="20"/>
              </w:rPr>
              <w:t xml:space="preserve">Yes</w:t>
            </w:r>
          </w:p>
        </w:tc>
        <w:tc>
          <w:tcPr>
            <w:tcW w:type="dxa" w:w="1755"/>
            <w:tcBorders>
              <w:top w:val="single" w:color="D1D5DB" w:sz="1"/>
              <w:left w:val="single" w:color="D1D5DB" w:sz="1"/>
              <w:bottom w:val="single" w:color="D1D5DB" w:sz="1"/>
              <w:right w:val="single" w:color="D1D5DB" w:sz="1"/>
            </w:tcBorders>
            <w:shd w:fill="D1FAE5" w:val="clear"/>
            <w:tcMar>
              <w:top w:type="dxa" w:w="80"/>
              <w:left w:type="dxa" w:w="120"/>
              <w:bottom w:type="dxa" w:w="80"/>
              <w:right w:type="dxa" w:w="120"/>
            </w:tcMar>
          </w:tcPr>
          <w:p>
            <w:r>
              <w:rPr>
                <w:rFonts w:ascii="Calibri" w:cs="Calibri" w:eastAsia="Calibri" w:hAnsi="Calibri"/>
                <w:color w:val="374151"/>
                <w:sz w:val="20"/>
                <w:szCs w:val="20"/>
              </w:rPr>
              <w:t xml:space="preserve">Yes</w:t>
            </w:r>
          </w:p>
        </w:tc>
      </w:tr>
    </w:tbl>
    <w:p>
      <w:pPr>
        <w:spacing w:before="200" w:after="200"/>
      </w:pPr>
      <w:r>
        <w:rPr>
          <w:rFonts w:ascii="Calibri" w:cs="Calibri" w:eastAsia="Calibri" w:hAnsi="Calibri"/>
          <w:b/>
          <w:bCs/>
          <w:sz w:val="22"/>
          <w:szCs w:val="22"/>
        </w:rPr>
        <w:t xml:space="preserve">Canary is the only solution that combines marketplace-native distribution, adaptive statistical detection, and SMB-accessible pricing. This is not a marginal improvement on existing tools—it is a category-creating position.</w:t>
      </w:r>
    </w:p>
    <w:p>
      <w:pPr>
        <w:pStyle w:val="Heading1"/>
      </w:pPr>
      <w:r>
        <w:t xml:space="preserve">3. Defensibility and Moat</w:t>
      </w:r>
    </w:p>
    <w:p>
      <w:pPr>
        <w:pStyle w:val="Heading2"/>
      </w:pPr>
      <w:r>
        <w:t xml:space="preserve">Network Effect (Primary Moat)</w:t>
      </w:r>
    </w:p>
    <w:p>
      <w:pPr>
        <w:spacing w:after="120"/>
      </w:pPr>
      <w:r>
        <w:rPr>
          <w:rFonts w:ascii="Calibri" w:cs="Calibri" w:eastAsia="Calibri" w:hAnsi="Calibri"/>
          <w:sz w:val="22"/>
          <w:szCs w:val="22"/>
        </w:rPr>
        <w:t xml:space="preserve">Every merchant that joins Canary makes the detection engine smarter for all merchants. The Bayesian baselines converge faster with more data. The federated learning models (Phase 3) become more accurate with more participants. Cross-merchant consumer card fingerprint detection identifies serial fraud rings that single-merchant tools miss entirely. This is the compound interest of data—validated by the PhD quantitative framework.</w:t>
      </w:r>
    </w:p>
    <w:p>
      <w:pPr>
        <w:pStyle w:val="Heading2"/>
      </w:pPr>
      <w:r>
        <w:t xml:space="preserve">Marketplace First-Mover (Secondary Moat)</w:t>
      </w:r>
    </w:p>
    <w:p>
      <w:pPr>
        <w:spacing w:after="120"/>
      </w:pPr>
      <w:r>
        <w:rPr>
          <w:rFonts w:ascii="Calibri" w:cs="Calibri" w:eastAsia="Calibri" w:hAnsi="Calibri"/>
          <w:sz w:val="22"/>
          <w:szCs w:val="22"/>
        </w:rPr>
        <w:t xml:space="preserve">Square’s App Marketplace has no loss prevention category. Canary will define it. The first LP app certified for Square establishes the category, captures organic discovery traffic, and accumulates reviews that create switching costs. Certification requires 5 active merchants and a thorough security review—a meaningful barrier that discourages fast-follower entry.</w:t>
      </w:r>
    </w:p>
    <w:p>
      <w:pPr>
        <w:pStyle w:val="Heading2"/>
      </w:pPr>
      <w:r>
        <w:t xml:space="preserve">Data Gravity (Tertiary Moat)</w:t>
      </w:r>
    </w:p>
    <w:p>
      <w:pPr>
        <w:spacing w:after="200"/>
      </w:pPr>
      <w:r>
        <w:rPr>
          <w:rFonts w:ascii="Calibri" w:cs="Calibri" w:eastAsia="Calibri" w:hAnsi="Calibri"/>
          <w:sz w:val="22"/>
          <w:szCs w:val="22"/>
        </w:rPr>
        <w:t xml:space="preserve">After 90 days of transaction ingestion, each merchant’s Bayesian posterior is deeply calibrated to their specific business patterns. Switching to a competitor means restarting from a cold model. The longer a merchant stays, the more accurate their detection becomes, creating a natural retention mechanism that compounds over time.</w:t>
      </w:r>
    </w:p>
    <w:p>
      <w:pPr>
        <w:pStyle w:val="Heading1"/>
      </w:pPr>
      <w:r>
        <w:t xml:space="preserve">4. Competitive Threats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500"/>
        <w:gridCol w:w="2360"/>
      </w:tblGrid>
      <w:tr>
        <w:tc>
          <w:tcPr>
            <w:tcW w:type="dxa" w:w="20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Threat</w:t>
            </w:r>
          </w:p>
        </w:tc>
        <w:tc>
          <w:tcPr>
            <w:tcW w:type="dxa" w:w="2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Likelihood</w:t>
            </w:r>
          </w:p>
        </w:tc>
        <w:tc>
          <w:tcPr>
            <w:tcW w:type="dxa" w:w="250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Impact</w:t>
            </w:r>
          </w:p>
        </w:tc>
        <w:tc>
          <w:tcPr>
            <w:tcW w:type="dxa" w:w="2360"/>
            <w:tcBorders>
              <w:top w:val="single" w:color="D1D5DB" w:sz="1"/>
              <w:left w:val="single" w:color="D1D5DB" w:sz="1"/>
              <w:bottom w:val="single" w:color="D1D5DB" w:sz="1"/>
              <w:right w:val="single" w:color="D1D5DB" w:sz="1"/>
            </w:tcBorders>
            <w:shd w:fill="0D1117" w:val="clear"/>
            <w:tcMar>
              <w:top w:type="dxa" w:w="80"/>
              <w:left w:type="dxa" w:w="120"/>
              <w:bottom w:type="dxa" w:w="80"/>
              <w:right w:type="dxa" w:w="120"/>
            </w:tcMar>
          </w:tcPr>
          <w:p>
            <w:r>
              <w:rPr>
                <w:rFonts w:ascii="Calibri" w:cs="Calibri" w:eastAsia="Calibri" w:hAnsi="Calibri"/>
                <w:b/>
                <w:bCs/>
                <w:color w:val="FBBF24"/>
                <w:sz w:val="20"/>
                <w:szCs w:val="20"/>
              </w:rPr>
              <w:t xml:space="preserve">Mitigation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Square builds LP natively</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Low (not core focus)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Critical</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Speed of execution; network moat; acquisition target</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Enterprise vendor goes downmarket</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Low (economics don't work)</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$49/mo unit economics impossible at enterprise cost structure</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Startup copies approach</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Medium (after we prove model)</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Medium</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12-18 month data head start; network effect; marketplace position</w:t>
            </w:r>
          </w:p>
        </w:tc>
      </w:tr>
      <w:tr>
        <w:tc>
          <w:tcPr>
            <w:tcW w:type="dxa" w:w="20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POS aggregator (e.g., Lightspeed) enters</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Low-Medium</w:t>
            </w:r>
          </w:p>
        </w:tc>
        <w:tc>
          <w:tcPr>
            <w:tcW w:type="dxa" w:w="250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Low</w:t>
            </w:r>
          </w:p>
        </w:tc>
        <w:tc>
          <w:tcPr>
            <w:tcW w:type="dxa" w:w="2360"/>
            <w:tcBorders>
              <w:top w:val="single" w:color="D1D5DB" w:sz="1"/>
              <w:left w:val="single" w:color="D1D5DB" w:sz="1"/>
              <w:bottom w:val="single" w:color="D1D5DB" w:sz="1"/>
              <w:right w:val="single" w:color="D1D5DB" w:sz="1"/>
            </w:tcBorders>
            <w:tcMar>
              <w:top w:type="dxa" w:w="80"/>
              <w:left w:type="dxa" w:w="120"/>
              <w:bottom w:type="dxa" w:w="80"/>
              <w:right w:type="dxa" w:w="120"/>
            </w:tcMar>
          </w:tcPr>
          <w:p>
            <w:r>
              <w:rPr>
                <w:rFonts w:ascii="Calibri" w:cs="Calibri" w:eastAsia="Calibri" w:hAnsi="Calibri"/>
                <w:color w:val="374151"/>
                <w:sz w:val="20"/>
                <w:szCs w:val="20"/>
              </w:rPr>
              <w:t xml:space="preserve">We are POS-agnostic; multi-platform is our roadmap advantage</w:t>
            </w:r>
          </w:p>
        </w:tc>
      </w:tr>
    </w:tbl>
    <w:p>
      <w:pPr>
        <w:spacing w:before="200" w:after="200"/>
      </w:pPr>
      <w:r>
        <w:rPr>
          <w:rFonts w:ascii="Calibri" w:cs="Calibri" w:eastAsia="Calibri" w:hAnsi="Calibri"/>
          <w:sz w:val="22"/>
          <w:szCs w:val="22"/>
        </w:rPr>
        <w:t xml:space="preserve">The most credible threat is a well-funded startup copying the approach after Canary proves the model. The mitigation is speed: be live on the marketplace with a network effect before the market notices the opportunity.</w:t>
      </w:r>
    </w:p>
    <w:p>
      <w:pPr>
        <w:pStyle w:val="Heading1"/>
      </w:pPr>
      <w:r>
        <w:t xml:space="preserve">5. Strategic Recommendation</w:t>
      </w:r>
    </w:p>
    <w:p>
      <w:pPr>
        <w:pStyle w:val="ListParagraph"/>
        <w:numPr>
          <w:ilvl w:val="0"/>
          <w:numId w:val="2"/>
        </w:numPr>
        <w:spacing w:after="80"/>
      </w:pPr>
      <w:r>
        <w:rPr>
          <w:rFonts w:ascii="Calibri" w:cs="Calibri" w:eastAsia="Calibri" w:hAnsi="Calibri"/>
          <w:b/>
          <w:bCs/>
          <w:sz w:val="22"/>
          <w:szCs w:val="22"/>
        </w:rPr>
        <w:t xml:space="preserve">Focus on restaurants and retail first</w:t>
      </w:r>
      <w:r>
        <w:rPr>
          <w:rFonts w:ascii="Calibri" w:cs="Calibri" w:eastAsia="Calibri" w:hAnsi="Calibri"/>
          <w:sz w:val="22"/>
          <w:szCs w:val="22"/>
        </w:rPr>
        <w:t xml:space="preserve"> — they represent 55-75% of Square’s merchant base and have the highest shrinkage pain points.</w:t>
      </w:r>
    </w:p>
    <w:p>
      <w:pPr>
        <w:pStyle w:val="ListParagraph"/>
        <w:numPr>
          <w:ilvl w:val="0"/>
          <w:numId w:val="2"/>
        </w:numPr>
        <w:spacing w:after="80"/>
      </w:pPr>
      <w:r>
        <w:rPr>
          <w:rFonts w:ascii="Calibri" w:cs="Calibri" w:eastAsia="Calibri" w:hAnsi="Calibri"/>
          <w:b/>
          <w:bCs/>
          <w:sz w:val="22"/>
          <w:szCs w:val="22"/>
        </w:rPr>
        <w:t xml:space="preserve">Target single-location operators</w:t>
      </w:r>
      <w:r>
        <w:rPr>
          <w:rFonts w:ascii="Calibri" w:cs="Calibri" w:eastAsia="Calibri" w:hAnsi="Calibri"/>
          <w:sz w:val="22"/>
          <w:szCs w:val="22"/>
        </w:rPr>
        <w:t xml:space="preserve"> — 80-90% of the merchant base. Lowest friction, most underserved by existing LP tools.</w:t>
      </w:r>
    </w:p>
    <w:p>
      <w:pPr>
        <w:pStyle w:val="ListParagraph"/>
        <w:numPr>
          <w:ilvl w:val="0"/>
          <w:numId w:val="2"/>
        </w:numPr>
        <w:spacing w:after="80"/>
      </w:pPr>
      <w:r>
        <w:rPr>
          <w:rFonts w:ascii="Calibri" w:cs="Calibri" w:eastAsia="Calibri" w:hAnsi="Calibri"/>
          <w:b/>
          <w:bCs/>
          <w:sz w:val="22"/>
          <w:szCs w:val="22"/>
        </w:rPr>
        <w:t xml:space="preserve">Achieve Square certification by Q3 2026</w:t>
      </w:r>
      <w:r>
        <w:rPr>
          <w:rFonts w:ascii="Calibri" w:cs="Calibri" w:eastAsia="Calibri" w:hAnsi="Calibri"/>
          <w:sz w:val="22"/>
          <w:szCs w:val="22"/>
        </w:rPr>
        <w:t xml:space="preserve"> — the marketplace listing is the critical path to organic discovery at scale.</w:t>
      </w:r>
    </w:p>
    <w:p>
      <w:pPr>
        <w:pStyle w:val="ListParagraph"/>
        <w:numPr>
          <w:ilvl w:val="0"/>
          <w:numId w:val="2"/>
        </w:numPr>
        <w:spacing w:after="80"/>
      </w:pPr>
      <w:r>
        <w:rPr>
          <w:rFonts w:ascii="Calibri" w:cs="Calibri" w:eastAsia="Calibri" w:hAnsi="Calibri"/>
          <w:b/>
          <w:bCs/>
          <w:sz w:val="22"/>
          <w:szCs w:val="22"/>
        </w:rPr>
        <w:t xml:space="preserve">Build the network moat fast</w:t>
      </w:r>
      <w:r>
        <w:rPr>
          <w:rFonts w:ascii="Calibri" w:cs="Calibri" w:eastAsia="Calibri" w:hAnsi="Calibri"/>
          <w:sz w:val="22"/>
          <w:szCs w:val="22"/>
        </w:rPr>
        <w:t xml:space="preserve"> — 200 merchants by Q4 2026 creates the data gravity that makes the model irreplaceable.</w:t>
      </w:r>
    </w:p>
    <w:p>
      <w:pPr>
        <w:pStyle w:val="ListParagraph"/>
        <w:numPr>
          <w:ilvl w:val="0"/>
          <w:numId w:val="2"/>
        </w:numPr>
        <w:spacing w:after="200"/>
      </w:pPr>
      <w:r>
        <w:rPr>
          <w:rFonts w:ascii="Calibri" w:cs="Calibri" w:eastAsia="Calibri" w:hAnsi="Calibri"/>
          <w:b/>
          <w:bCs/>
          <w:sz w:val="22"/>
          <w:szCs w:val="22"/>
        </w:rPr>
        <w:t xml:space="preserve">Expand to Shopify and Clover in 2027</w:t>
      </w:r>
      <w:r>
        <w:rPr>
          <w:rFonts w:ascii="Calibri" w:cs="Calibri" w:eastAsia="Calibri" w:hAnsi="Calibri"/>
          <w:sz w:val="22"/>
          <w:szCs w:val="22"/>
        </w:rPr>
        <w:t xml:space="preserve"> — multi-POS coverage makes Canary the default LP layer for all SMB retail.</w:t>
      </w:r>
    </w:p>
    <w:p>
      <w:pPr>
        <w:spacing w:before="200" w:after="0"/>
      </w:pPr>
      <w:r>
        <w:rPr>
          <w:rFonts w:ascii="Calibri" w:cs="Calibri" w:eastAsia="Calibri" w:hAnsi="Calibri"/>
          <w:b/>
          <w:bCs/>
          <w:color w:val="FBBF24"/>
          <w:sz w:val="24"/>
          <w:szCs w:val="24"/>
        </w:rPr>
        <w:t xml:space="preserve">Bottom Line: </w:t>
      </w:r>
      <w:r>
        <w:rPr>
          <w:rFonts w:ascii="Calibri" w:cs="Calibri" w:eastAsia="Calibri" w:hAnsi="Calibri"/>
          <w:sz w:val="22"/>
          <w:szCs w:val="22"/>
        </w:rPr>
        <w:t xml:space="preserve">The competitive landscape validates our thesis. Enterprise tools are too expensive, too complex, and too slow for SMBs. Nobody has filled the gap. Canary’s $15K path to marketplace launch, adaptive Bayesian detection, and network-effect moat position us to define a new category. The window is open. Ship it.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CA3AF"/>
        <w:sz w:val="16"/>
        <w:szCs w:val="16"/>
      </w:rPr>
      <w:t xml:space="preserve">Page </w:t>
    </w:r>
    <w:r>
      <w:rPr>
        <w:rFonts w:ascii="Calibri" w:cs="Calibri" w:eastAsia="Calibri" w:hAnsi="Calibri"/>
        <w:color w:val="9CA3A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FBBF24"/>
        <w:sz w:val="16"/>
        <w:szCs w:val="16"/>
      </w:rPr>
      <w:t xml:space="preserve">CANARY DAO LLC</w:t>
    </w:r>
    <w:r>
      <w:rPr>
        <w:rFonts w:ascii="Calibri" w:cs="Calibri" w:eastAsia="Calibri" w:hAnsi="Calibri"/>
        <w:color w:val="9CA3AF"/>
        <w:sz w:val="16"/>
        <w:szCs w:val="16"/>
      </w:rPr>
      <w:t xml:space="preserve">  |  Competitive Landscape Analysis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Calibri" w:cs="Calibri" w:eastAsia="Calibri" w:hAnsi="Calibri"/>
      <w:b/>
      <w:bCs/>
      <w:color w:val="0D1117"/>
      <w:sz w:val="36"/>
      <w:szCs w:val="36"/>
    </w:rPr>
  </w:style>
  <w:style w:type="paragraph" w:styleId="Heading2">
    <w:name w:val="Heading 2"/>
    <w:basedOn w:val="Normal"/>
    <w:next w:val="Normal"/>
    <w:qFormat/>
    <w:pPr>
      <w:spacing w:before="240" w:after="120"/>
      <w:outlineLvl w:val="1"/>
    </w:pPr>
    <w:rPr>
      <w:rFonts w:ascii="Calibri" w:cs="Calibri" w:eastAsia="Calibri" w:hAnsi="Calibri"/>
      <w:b/>
      <w:bCs/>
      <w:color w:val="0D1117"/>
      <w:sz w:val="28"/>
      <w:szCs w:val="28"/>
    </w:rPr>
  </w:style>
  <w:style w:type="paragraph" w:styleId="Heading3">
    <w:name w:val="Heading 3"/>
    <w:basedOn w:val="Normal"/>
    <w:next w:val="Normal"/>
    <w:qFormat/>
    <w:pPr>
      <w:spacing w:before="200" w:after="100"/>
      <w:outlineLvl w:val="2"/>
    </w:pPr>
    <w:rPr>
      <w:rFonts w:ascii="Calibri" w:cs="Calibri" w:eastAsia="Calibri" w:hAnsi="Calibri"/>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2026-02-15T18:27:48.839Z</dcterms:created>
  <dcterms:modified xsi:type="dcterms:W3CDTF">2026-02-15T18:27:48.839Z</dcterms:modified>
</cp:coreProperties>
</file>

<file path=docProps/custom.xml><?xml version="1.0" encoding="utf-8"?>
<Properties xmlns="http://schemas.openxmlformats.org/officeDocument/2006/custom-properties" xmlns:vt="http://schemas.openxmlformats.org/officeDocument/2006/docPropsVTypes"/>
</file>